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97" w:rsidRDefault="00263A97">
      <w:pPr>
        <w:pStyle w:val="Corpodetexto"/>
        <w:rPr>
          <w:rFonts w:ascii="Times New Roman"/>
          <w:sz w:val="24"/>
        </w:rPr>
      </w:pPr>
      <w:bookmarkStart w:id="0" w:name="_GoBack"/>
      <w:bookmarkEnd w:id="0"/>
    </w:p>
    <w:p w:rsidR="00263A97" w:rsidRDefault="00263A97">
      <w:pPr>
        <w:pStyle w:val="Corpodetexto"/>
        <w:spacing w:before="226"/>
        <w:rPr>
          <w:rFonts w:ascii="Times New Roman"/>
          <w:sz w:val="24"/>
        </w:rPr>
      </w:pPr>
    </w:p>
    <w:p w:rsidR="00263A97" w:rsidRDefault="00D73B6D">
      <w:pPr>
        <w:pStyle w:val="Ttulo"/>
        <w:spacing w:line="295" w:lineRule="auto"/>
      </w:pPr>
      <w:r>
        <w:rPr>
          <w:color w:val="161616"/>
        </w:rPr>
        <w:t>REGULAMENTO</w:t>
      </w:r>
      <w:r>
        <w:rPr>
          <w:color w:val="161616"/>
          <w:spacing w:val="-13"/>
        </w:rPr>
        <w:t xml:space="preserve"> </w:t>
      </w:r>
      <w:r>
        <w:rPr>
          <w:color w:val="161616"/>
        </w:rPr>
        <w:t>DO</w:t>
      </w:r>
      <w:r>
        <w:rPr>
          <w:color w:val="161616"/>
          <w:spacing w:val="-11"/>
        </w:rPr>
        <w:t xml:space="preserve"> </w:t>
      </w:r>
      <w:r>
        <w:rPr>
          <w:color w:val="161616"/>
        </w:rPr>
        <w:t>SUMMIT</w:t>
      </w:r>
      <w:r>
        <w:rPr>
          <w:color w:val="161616"/>
          <w:spacing w:val="-16"/>
        </w:rPr>
        <w:t xml:space="preserve"> </w:t>
      </w:r>
      <w:r>
        <w:rPr>
          <w:color w:val="161616"/>
        </w:rPr>
        <w:t>FUNDO</w:t>
      </w:r>
      <w:r>
        <w:rPr>
          <w:color w:val="161616"/>
          <w:spacing w:val="-11"/>
        </w:rPr>
        <w:t xml:space="preserve"> </w:t>
      </w:r>
      <w:r>
        <w:rPr>
          <w:color w:val="161616"/>
        </w:rPr>
        <w:t>DE</w:t>
      </w:r>
      <w:r>
        <w:rPr>
          <w:color w:val="161616"/>
          <w:spacing w:val="-11"/>
        </w:rPr>
        <w:t xml:space="preserve"> </w:t>
      </w:r>
      <w:r>
        <w:rPr>
          <w:color w:val="161616"/>
        </w:rPr>
        <w:t>INVESTIMENTO</w:t>
      </w:r>
      <w:r>
        <w:rPr>
          <w:color w:val="161616"/>
          <w:spacing w:val="-7"/>
        </w:rPr>
        <w:t xml:space="preserve"> </w:t>
      </w:r>
      <w:r>
        <w:rPr>
          <w:color w:val="161616"/>
        </w:rPr>
        <w:t xml:space="preserve">FINANCEIRO </w:t>
      </w:r>
      <w:r>
        <w:rPr>
          <w:color w:val="161616"/>
          <w:spacing w:val="-2"/>
        </w:rPr>
        <w:t>MULTIMERCADO</w:t>
      </w:r>
      <w:r w:rsidR="00CA66B1">
        <w:rPr>
          <w:color w:val="161616"/>
          <w:spacing w:val="-2"/>
        </w:rPr>
        <w:t xml:space="preserve"> – RESPONSABILIDADE LIMITADA</w:t>
      </w:r>
    </w:p>
    <w:p w:rsidR="00263A97" w:rsidRDefault="00263A97">
      <w:pPr>
        <w:pStyle w:val="Corpodetexto"/>
        <w:rPr>
          <w:rFonts w:ascii="Arial"/>
          <w:b/>
          <w:sz w:val="24"/>
        </w:rPr>
      </w:pPr>
    </w:p>
    <w:p w:rsidR="00263A97" w:rsidRDefault="00263A97">
      <w:pPr>
        <w:pStyle w:val="Corpodetexto"/>
        <w:rPr>
          <w:rFonts w:ascii="Arial"/>
          <w:b/>
          <w:sz w:val="24"/>
        </w:rPr>
      </w:pPr>
    </w:p>
    <w:p w:rsidR="00263A97" w:rsidRDefault="00263A97">
      <w:pPr>
        <w:pStyle w:val="Corpodetexto"/>
        <w:rPr>
          <w:rFonts w:ascii="Arial"/>
          <w:b/>
          <w:sz w:val="24"/>
        </w:rPr>
      </w:pPr>
    </w:p>
    <w:p w:rsidR="00263A97" w:rsidRDefault="00263A97">
      <w:pPr>
        <w:pStyle w:val="Corpodetexto"/>
        <w:rPr>
          <w:rFonts w:ascii="Arial"/>
          <w:b/>
          <w:sz w:val="24"/>
        </w:rPr>
      </w:pPr>
    </w:p>
    <w:p w:rsidR="00263A97" w:rsidRDefault="00263A97">
      <w:pPr>
        <w:pStyle w:val="Corpodetexto"/>
        <w:rPr>
          <w:rFonts w:ascii="Arial"/>
          <w:b/>
          <w:sz w:val="24"/>
        </w:rPr>
      </w:pPr>
    </w:p>
    <w:p w:rsidR="00263A97" w:rsidRDefault="00263A97">
      <w:pPr>
        <w:pStyle w:val="Corpodetexto"/>
        <w:spacing w:before="273"/>
        <w:rPr>
          <w:rFonts w:ascii="Arial"/>
          <w:b/>
          <w:sz w:val="24"/>
        </w:rPr>
      </w:pPr>
    </w:p>
    <w:p w:rsidR="00263A97" w:rsidRDefault="00CA66B1">
      <w:pPr>
        <w:ind w:left="3955"/>
      </w:pPr>
      <w:r>
        <w:t>Regulamento Consolidado</w:t>
      </w:r>
    </w:p>
    <w:p w:rsidR="00263A97" w:rsidRDefault="00263A97">
      <w:pPr>
        <w:pStyle w:val="Corpodetexto"/>
        <w:rPr>
          <w:sz w:val="22"/>
        </w:rPr>
      </w:pPr>
    </w:p>
    <w:p w:rsidR="00263A97" w:rsidRDefault="00263A97">
      <w:pPr>
        <w:pStyle w:val="Corpodetexto"/>
        <w:rPr>
          <w:sz w:val="22"/>
        </w:rPr>
      </w:pPr>
    </w:p>
    <w:p w:rsidR="00263A97" w:rsidRDefault="00263A97">
      <w:pPr>
        <w:pStyle w:val="Corpodetexto"/>
        <w:spacing w:before="30"/>
        <w:rPr>
          <w:sz w:val="22"/>
        </w:rPr>
      </w:pPr>
    </w:p>
    <w:p w:rsidR="00263A97" w:rsidRDefault="00D73B6D">
      <w:pPr>
        <w:ind w:left="727" w:right="387"/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color w:val="161616"/>
          <w:sz w:val="24"/>
        </w:rPr>
        <w:t>[restante</w:t>
      </w:r>
      <w:r>
        <w:rPr>
          <w:rFonts w:ascii="Arial" w:hAnsi="Arial"/>
          <w:i/>
          <w:color w:val="161616"/>
          <w:spacing w:val="-11"/>
          <w:sz w:val="24"/>
        </w:rPr>
        <w:t xml:space="preserve"> </w:t>
      </w:r>
      <w:r>
        <w:rPr>
          <w:rFonts w:ascii="Arial" w:hAnsi="Arial"/>
          <w:i/>
          <w:color w:val="161616"/>
          <w:sz w:val="24"/>
        </w:rPr>
        <w:t>da</w:t>
      </w:r>
      <w:r>
        <w:rPr>
          <w:rFonts w:ascii="Arial" w:hAnsi="Arial"/>
          <w:i/>
          <w:color w:val="161616"/>
          <w:spacing w:val="-4"/>
          <w:sz w:val="24"/>
        </w:rPr>
        <w:t xml:space="preserve"> </w:t>
      </w:r>
      <w:r>
        <w:rPr>
          <w:rFonts w:ascii="Arial" w:hAnsi="Arial"/>
          <w:i/>
          <w:color w:val="161616"/>
          <w:sz w:val="24"/>
        </w:rPr>
        <w:t>página</w:t>
      </w:r>
      <w:r>
        <w:rPr>
          <w:rFonts w:ascii="Arial" w:hAnsi="Arial"/>
          <w:i/>
          <w:color w:val="161616"/>
          <w:spacing w:val="-4"/>
          <w:sz w:val="24"/>
        </w:rPr>
        <w:t xml:space="preserve"> </w:t>
      </w:r>
      <w:r>
        <w:rPr>
          <w:rFonts w:ascii="Arial" w:hAnsi="Arial"/>
          <w:i/>
          <w:color w:val="161616"/>
          <w:sz w:val="24"/>
        </w:rPr>
        <w:t>intencionalmente</w:t>
      </w:r>
      <w:r>
        <w:rPr>
          <w:rFonts w:ascii="Arial" w:hAnsi="Arial"/>
          <w:i/>
          <w:color w:val="161616"/>
          <w:spacing w:val="-7"/>
          <w:sz w:val="24"/>
        </w:rPr>
        <w:t xml:space="preserve"> </w:t>
      </w:r>
      <w:r>
        <w:rPr>
          <w:rFonts w:ascii="Arial" w:hAnsi="Arial"/>
          <w:i/>
          <w:color w:val="161616"/>
          <w:sz w:val="24"/>
        </w:rPr>
        <w:t>deixada</w:t>
      </w:r>
      <w:r>
        <w:rPr>
          <w:rFonts w:ascii="Arial" w:hAnsi="Arial"/>
          <w:i/>
          <w:color w:val="161616"/>
          <w:spacing w:val="-4"/>
          <w:sz w:val="24"/>
        </w:rPr>
        <w:t xml:space="preserve"> </w:t>
      </w:r>
      <w:r>
        <w:rPr>
          <w:rFonts w:ascii="Arial" w:hAnsi="Arial"/>
          <w:i/>
          <w:color w:val="161616"/>
          <w:sz w:val="24"/>
        </w:rPr>
        <w:t>em</w:t>
      </w:r>
      <w:r>
        <w:rPr>
          <w:rFonts w:ascii="Arial" w:hAnsi="Arial"/>
          <w:i/>
          <w:color w:val="161616"/>
          <w:spacing w:val="-5"/>
          <w:sz w:val="24"/>
        </w:rPr>
        <w:t xml:space="preserve"> </w:t>
      </w:r>
      <w:r>
        <w:rPr>
          <w:rFonts w:ascii="Arial" w:hAnsi="Arial"/>
          <w:i/>
          <w:color w:val="161616"/>
          <w:spacing w:val="-2"/>
          <w:sz w:val="24"/>
        </w:rPr>
        <w:t>branco]</w:t>
      </w:r>
    </w:p>
    <w:p w:rsidR="00263A97" w:rsidRDefault="00263A97">
      <w:pPr>
        <w:jc w:val="center"/>
        <w:rPr>
          <w:rFonts w:ascii="Arial" w:hAnsi="Arial"/>
          <w:i/>
          <w:sz w:val="24"/>
        </w:rPr>
        <w:sectPr w:rsidR="00263A97">
          <w:type w:val="continuous"/>
          <w:pgSz w:w="11910" w:h="16840"/>
          <w:pgMar w:top="1920" w:right="992" w:bottom="280" w:left="283" w:header="720" w:footer="720" w:gutter="0"/>
          <w:cols w:space="720"/>
        </w:sectPr>
      </w:pPr>
    </w:p>
    <w:p w:rsidR="00263A97" w:rsidRDefault="00263A97">
      <w:pPr>
        <w:pStyle w:val="Corpodetexto"/>
        <w:rPr>
          <w:rFonts w:ascii="Arial"/>
          <w:i/>
          <w:sz w:val="22"/>
        </w:rPr>
      </w:pPr>
    </w:p>
    <w:p w:rsidR="00263A97" w:rsidRDefault="00263A97">
      <w:pPr>
        <w:pStyle w:val="Corpodetexto"/>
        <w:spacing w:before="136"/>
        <w:rPr>
          <w:rFonts w:ascii="Arial"/>
          <w:i/>
          <w:sz w:val="22"/>
        </w:rPr>
      </w:pPr>
    </w:p>
    <w:p w:rsidR="00263A97" w:rsidRDefault="00D73B6D">
      <w:pPr>
        <w:ind w:left="797"/>
        <w:jc w:val="both"/>
        <w:rPr>
          <w:rFonts w:ascii="Arial" w:hAnsi="Arial"/>
          <w:b/>
          <w:sz w:val="21"/>
        </w:rPr>
      </w:pPr>
      <w:r>
        <w:rPr>
          <w:rFonts w:ascii="Arial" w:hAnsi="Arial"/>
          <w:b/>
        </w:rPr>
        <w:t>CAPÍTULO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1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color w:val="212A34"/>
          <w:spacing w:val="-4"/>
          <w:sz w:val="21"/>
        </w:rPr>
        <w:t>FUNDO</w:t>
      </w:r>
    </w:p>
    <w:p w:rsidR="00263A97" w:rsidRPr="00CA66B1" w:rsidRDefault="00D73B6D" w:rsidP="00CA66B1">
      <w:pPr>
        <w:pStyle w:val="PargrafodaLista"/>
        <w:numPr>
          <w:ilvl w:val="1"/>
          <w:numId w:val="13"/>
        </w:numPr>
        <w:tabs>
          <w:tab w:val="left" w:pos="1476"/>
        </w:tabs>
        <w:spacing w:before="119" w:line="241" w:lineRule="exact"/>
        <w:ind w:left="1476" w:hanging="679"/>
        <w:jc w:val="both"/>
        <w:rPr>
          <w:sz w:val="21"/>
          <w:szCs w:val="21"/>
        </w:rPr>
      </w:pPr>
      <w:r>
        <w:rPr>
          <w:rFonts w:ascii="Arial" w:hAnsi="Arial"/>
          <w:b/>
          <w:sz w:val="21"/>
        </w:rPr>
        <w:t>SUMMIT</w:t>
      </w:r>
      <w:r>
        <w:rPr>
          <w:rFonts w:ascii="Arial" w:hAnsi="Arial"/>
          <w:b/>
          <w:spacing w:val="6"/>
          <w:sz w:val="21"/>
        </w:rPr>
        <w:t xml:space="preserve"> </w:t>
      </w:r>
      <w:r>
        <w:rPr>
          <w:rFonts w:ascii="Arial" w:hAnsi="Arial"/>
          <w:b/>
          <w:sz w:val="21"/>
        </w:rPr>
        <w:t>FUNDO</w:t>
      </w:r>
      <w:r>
        <w:rPr>
          <w:rFonts w:ascii="Arial" w:hAnsi="Arial"/>
          <w:b/>
          <w:spacing w:val="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6"/>
          <w:sz w:val="21"/>
        </w:rPr>
        <w:t xml:space="preserve"> </w:t>
      </w:r>
      <w:r>
        <w:rPr>
          <w:rFonts w:ascii="Arial" w:hAnsi="Arial"/>
          <w:b/>
          <w:sz w:val="21"/>
        </w:rPr>
        <w:t>INVESTIMENTO</w:t>
      </w:r>
      <w:r>
        <w:rPr>
          <w:rFonts w:ascii="Arial" w:hAnsi="Arial"/>
          <w:b/>
          <w:spacing w:val="5"/>
          <w:sz w:val="21"/>
        </w:rPr>
        <w:t xml:space="preserve"> </w:t>
      </w:r>
      <w:r>
        <w:rPr>
          <w:rFonts w:ascii="Arial" w:hAnsi="Arial"/>
          <w:b/>
          <w:sz w:val="21"/>
        </w:rPr>
        <w:t>FINANCEIRO</w:t>
      </w:r>
      <w:r>
        <w:rPr>
          <w:rFonts w:ascii="Arial" w:hAnsi="Arial"/>
          <w:b/>
          <w:spacing w:val="4"/>
          <w:sz w:val="21"/>
        </w:rPr>
        <w:t xml:space="preserve"> </w:t>
      </w:r>
      <w:r>
        <w:rPr>
          <w:rFonts w:ascii="Arial" w:hAnsi="Arial"/>
          <w:b/>
          <w:sz w:val="21"/>
        </w:rPr>
        <w:t>MULTIMERCADO</w:t>
      </w:r>
      <w:r w:rsidR="00CA66B1">
        <w:rPr>
          <w:rFonts w:ascii="Arial" w:hAnsi="Arial"/>
          <w:b/>
          <w:sz w:val="21"/>
        </w:rPr>
        <w:t xml:space="preserve"> RESPONSABILIDADE LIMITADA</w:t>
      </w:r>
      <w:proofErr w:type="gramStart"/>
      <w:r w:rsidR="00CA66B1"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5"/>
          <w:sz w:val="21"/>
        </w:rPr>
        <w:t xml:space="preserve"> </w:t>
      </w:r>
      <w:proofErr w:type="gramEnd"/>
      <w:r>
        <w:rPr>
          <w:sz w:val="21"/>
        </w:rPr>
        <w:t>(“</w:t>
      </w:r>
      <w:r>
        <w:rPr>
          <w:rFonts w:ascii="Arial" w:hAnsi="Arial"/>
          <w:b/>
          <w:sz w:val="21"/>
        </w:rPr>
        <w:t>FUNDO</w:t>
      </w:r>
      <w:r>
        <w:rPr>
          <w:sz w:val="21"/>
        </w:rPr>
        <w:t>”),</w:t>
      </w:r>
      <w:r>
        <w:rPr>
          <w:spacing w:val="3"/>
          <w:sz w:val="21"/>
        </w:rPr>
        <w:t xml:space="preserve"> </w:t>
      </w:r>
      <w:r>
        <w:rPr>
          <w:sz w:val="21"/>
        </w:rPr>
        <w:t>regido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pela</w:t>
      </w:r>
      <w:r w:rsidR="00CA66B1">
        <w:rPr>
          <w:spacing w:val="-4"/>
          <w:sz w:val="21"/>
        </w:rPr>
        <w:t xml:space="preserve"> </w:t>
      </w:r>
      <w:r w:rsidRPr="00CA66B1">
        <w:rPr>
          <w:sz w:val="21"/>
          <w:szCs w:val="21"/>
        </w:rPr>
        <w:t>Lei nº 10.406, de 10 de janeiro de 2002, conforme alterada (Código Civil), e pela parte geral e o Anexo Normativo I da Resolução nº 175, de 23 de dezembro de 2022, conforme alterada, da Comissão de Valores Mobiliários (respectivamente, “</w:t>
      </w:r>
      <w:r w:rsidRPr="00CA66B1">
        <w:rPr>
          <w:rFonts w:ascii="Arial" w:hAnsi="Arial"/>
          <w:b/>
          <w:sz w:val="21"/>
          <w:szCs w:val="21"/>
        </w:rPr>
        <w:t>CVM</w:t>
      </w:r>
      <w:r w:rsidRPr="00CA66B1">
        <w:rPr>
          <w:sz w:val="21"/>
          <w:szCs w:val="21"/>
        </w:rPr>
        <w:t>” e “</w:t>
      </w:r>
      <w:r w:rsidRPr="00CA66B1">
        <w:rPr>
          <w:rFonts w:ascii="Arial" w:hAnsi="Arial"/>
          <w:b/>
          <w:sz w:val="21"/>
          <w:szCs w:val="21"/>
        </w:rPr>
        <w:t>Resolução 1</w:t>
      </w:r>
      <w:r w:rsidRPr="00CA66B1">
        <w:rPr>
          <w:rFonts w:ascii="Arial" w:hAnsi="Arial"/>
          <w:b/>
          <w:sz w:val="21"/>
          <w:szCs w:val="21"/>
        </w:rPr>
        <w:t>75</w:t>
      </w:r>
      <w:r w:rsidRPr="00CA66B1">
        <w:rPr>
          <w:sz w:val="21"/>
          <w:szCs w:val="21"/>
        </w:rPr>
        <w:t>”), terá como principais características:</w:t>
      </w:r>
    </w:p>
    <w:p w:rsidR="00263A97" w:rsidRDefault="00263A97">
      <w:pPr>
        <w:pStyle w:val="Corpodetexto"/>
        <w:spacing w:before="9"/>
        <w:rPr>
          <w:sz w:val="10"/>
        </w:rPr>
      </w:pPr>
    </w:p>
    <w:tbl>
      <w:tblPr>
        <w:tblStyle w:val="TableNormal"/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4"/>
        <w:gridCol w:w="7178"/>
      </w:tblGrid>
      <w:tr w:rsidR="00263A97">
        <w:trPr>
          <w:trHeight w:val="486"/>
        </w:trPr>
        <w:tc>
          <w:tcPr>
            <w:tcW w:w="247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0"/>
              <w:rPr>
                <w:sz w:val="21"/>
              </w:rPr>
            </w:pPr>
            <w:r>
              <w:rPr>
                <w:color w:val="FFFFFF"/>
                <w:sz w:val="21"/>
              </w:rPr>
              <w:t>Classe</w:t>
            </w:r>
            <w:r>
              <w:rPr>
                <w:color w:val="FFFFFF"/>
                <w:spacing w:val="-9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4"/>
                <w:sz w:val="21"/>
              </w:rPr>
              <w:t xml:space="preserve"> Cotas</w:t>
            </w:r>
          </w:p>
        </w:tc>
        <w:tc>
          <w:tcPr>
            <w:tcW w:w="7178" w:type="dxa"/>
          </w:tcPr>
          <w:p w:rsidR="00263A97" w:rsidRDefault="00D73B6D">
            <w:pPr>
              <w:pStyle w:val="TableParagraph"/>
              <w:spacing w:before="112"/>
              <w:ind w:left="113"/>
              <w:rPr>
                <w:sz w:val="21"/>
              </w:rPr>
            </w:pPr>
            <w:r>
              <w:rPr>
                <w:spacing w:val="-2"/>
                <w:sz w:val="21"/>
              </w:rPr>
              <w:t>Classe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única.</w:t>
            </w:r>
          </w:p>
        </w:tc>
      </w:tr>
      <w:tr w:rsidR="00263A97">
        <w:trPr>
          <w:trHeight w:val="479"/>
        </w:trPr>
        <w:tc>
          <w:tcPr>
            <w:tcW w:w="247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0"/>
              <w:rPr>
                <w:sz w:val="21"/>
              </w:rPr>
            </w:pPr>
            <w:r>
              <w:rPr>
                <w:color w:val="FFFFFF"/>
                <w:sz w:val="21"/>
              </w:rPr>
              <w:t>Prazo</w:t>
            </w:r>
            <w:r>
              <w:rPr>
                <w:color w:val="FFFFFF"/>
                <w:spacing w:val="-8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7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Duração</w:t>
            </w:r>
          </w:p>
        </w:tc>
        <w:tc>
          <w:tcPr>
            <w:tcW w:w="7178" w:type="dxa"/>
          </w:tcPr>
          <w:p w:rsidR="00263A97" w:rsidRDefault="00D73B6D">
            <w:pPr>
              <w:pStyle w:val="TableParagraph"/>
              <w:spacing w:before="112"/>
              <w:ind w:left="113"/>
              <w:rPr>
                <w:sz w:val="21"/>
              </w:rPr>
            </w:pPr>
            <w:r>
              <w:rPr>
                <w:spacing w:val="-2"/>
                <w:sz w:val="21"/>
              </w:rPr>
              <w:t>Indeterminado.</w:t>
            </w:r>
          </w:p>
        </w:tc>
      </w:tr>
      <w:tr w:rsidR="00263A97">
        <w:trPr>
          <w:trHeight w:val="2049"/>
        </w:trPr>
        <w:tc>
          <w:tcPr>
            <w:tcW w:w="2474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234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0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Administrador</w:t>
            </w:r>
          </w:p>
        </w:tc>
        <w:tc>
          <w:tcPr>
            <w:tcW w:w="7178" w:type="dxa"/>
          </w:tcPr>
          <w:p w:rsidR="00263A97" w:rsidRDefault="00D73B6D">
            <w:pPr>
              <w:pStyle w:val="TableParagraph"/>
              <w:spacing w:before="112"/>
              <w:ind w:left="113"/>
              <w:rPr>
                <w:sz w:val="21"/>
              </w:rPr>
            </w:pP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DILLON</w:t>
            </w:r>
            <w:r>
              <w:rPr>
                <w:rFonts w:ascii="Arial" w:hAnsi="Arial"/>
                <w:b/>
                <w:spacing w:val="-9"/>
                <w:sz w:val="21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DISTRIBUIDORA</w:t>
            </w:r>
            <w:r>
              <w:rPr>
                <w:rFonts w:ascii="Arial" w:hAnsi="Arial"/>
                <w:b/>
                <w:spacing w:val="-12"/>
                <w:sz w:val="21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DE</w:t>
            </w:r>
            <w:r>
              <w:rPr>
                <w:rFonts w:ascii="Arial" w:hAnsi="Arial"/>
                <w:b/>
                <w:spacing w:val="-6"/>
                <w:sz w:val="21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TÍTULOS</w:t>
            </w:r>
            <w:r>
              <w:rPr>
                <w:rFonts w:ascii="Arial" w:hAnsi="Arial"/>
                <w:b/>
                <w:spacing w:val="-9"/>
                <w:sz w:val="21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E</w:t>
            </w:r>
            <w:r>
              <w:rPr>
                <w:rFonts w:ascii="Arial" w:hAnsi="Arial"/>
                <w:b/>
                <w:spacing w:val="-6"/>
                <w:sz w:val="21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VALORES</w:t>
            </w:r>
            <w:r>
              <w:rPr>
                <w:rFonts w:ascii="Arial" w:hAnsi="Arial"/>
                <w:b/>
                <w:spacing w:val="-9"/>
                <w:sz w:val="21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MOBILIÁRIOS</w:t>
            </w:r>
            <w:r>
              <w:rPr>
                <w:rFonts w:ascii="Arial" w:hAnsi="Arial"/>
                <w:b/>
                <w:spacing w:val="-5"/>
                <w:sz w:val="21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  <w:u w:val="single"/>
              </w:rPr>
              <w:t>S.A.</w:t>
            </w:r>
            <w:r>
              <w:rPr>
                <w:spacing w:val="-2"/>
                <w:sz w:val="21"/>
              </w:rPr>
              <w:t>,</w:t>
            </w:r>
          </w:p>
          <w:p w:rsidR="00263A97" w:rsidRDefault="00D73B6D">
            <w:pPr>
              <w:pStyle w:val="TableParagraph"/>
              <w:spacing w:before="1"/>
              <w:ind w:left="113" w:right="75"/>
              <w:jc w:val="both"/>
              <w:rPr>
                <w:rFonts w:ascii="Arial" w:hAnsi="Arial"/>
                <w:b/>
                <w:sz w:val="21"/>
              </w:rPr>
            </w:pPr>
            <w:proofErr w:type="gramStart"/>
            <w:r>
              <w:rPr>
                <w:sz w:val="21"/>
              </w:rPr>
              <w:t>instituição</w:t>
            </w:r>
            <w:proofErr w:type="gramEnd"/>
            <w:r>
              <w:rPr>
                <w:sz w:val="21"/>
              </w:rPr>
              <w:t xml:space="preserve"> financeira com sede na cidade e estado do Rio de Janeiro, na Rua da Assembléia, nº 35, 13º andar, CEP 20011-001, Centro, inscrita no CNPJ sob o nº 33.851.064/0001-55, devidamente credenciada pela CVM nos termos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do Ato Declaratório nº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11.161 pub</w:t>
            </w:r>
            <w:r>
              <w:rPr>
                <w:sz w:val="21"/>
              </w:rPr>
              <w:t>licado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no 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 14/07/2010, para o exercício da atividade de administração de carteiras de títulos e valores</w:t>
            </w:r>
            <w:r>
              <w:rPr>
                <w:spacing w:val="62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mobiliários</w:t>
            </w:r>
            <w:r>
              <w:rPr>
                <w:spacing w:val="65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(“</w:t>
            </w:r>
            <w:r>
              <w:rPr>
                <w:rFonts w:ascii="Arial" w:hAnsi="Arial"/>
                <w:b/>
                <w:sz w:val="21"/>
              </w:rPr>
              <w:t>ADMINISTRADOR</w:t>
            </w:r>
            <w:r>
              <w:rPr>
                <w:sz w:val="21"/>
              </w:rPr>
              <w:t>”,</w:t>
            </w:r>
            <w:r>
              <w:rPr>
                <w:spacing w:val="62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ou</w:t>
            </w:r>
            <w:r>
              <w:rPr>
                <w:spacing w:val="65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“</w:t>
            </w:r>
            <w:r>
              <w:rPr>
                <w:rFonts w:ascii="Arial" w:hAnsi="Arial"/>
                <w:b/>
                <w:sz w:val="21"/>
              </w:rPr>
              <w:t>Prestador</w:t>
            </w:r>
            <w:r>
              <w:rPr>
                <w:rFonts w:ascii="Arial" w:hAnsi="Arial"/>
                <w:b/>
                <w:spacing w:val="63"/>
                <w:w w:val="150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de</w:t>
            </w:r>
            <w:r>
              <w:rPr>
                <w:rFonts w:ascii="Arial" w:hAnsi="Arial"/>
                <w:b/>
                <w:spacing w:val="60"/>
                <w:w w:val="15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Serviço</w:t>
            </w:r>
          </w:p>
          <w:p w:rsidR="00263A97" w:rsidRDefault="00D73B6D">
            <w:pPr>
              <w:pStyle w:val="TableParagraph"/>
              <w:spacing w:line="225" w:lineRule="exact"/>
              <w:ind w:left="113"/>
              <w:rPr>
                <w:sz w:val="21"/>
              </w:rPr>
            </w:pPr>
            <w:proofErr w:type="gramStart"/>
            <w:r>
              <w:rPr>
                <w:rFonts w:ascii="Arial" w:hAnsi="Arial"/>
                <w:b/>
                <w:spacing w:val="-2"/>
                <w:sz w:val="21"/>
              </w:rPr>
              <w:t>Essencial</w:t>
            </w:r>
            <w:r>
              <w:rPr>
                <w:spacing w:val="-2"/>
                <w:sz w:val="21"/>
              </w:rPr>
              <w:t>”</w:t>
            </w:r>
            <w:proofErr w:type="gramEnd"/>
            <w:r>
              <w:rPr>
                <w:spacing w:val="-2"/>
                <w:sz w:val="21"/>
              </w:rPr>
              <w:t>).</w:t>
            </w:r>
          </w:p>
        </w:tc>
      </w:tr>
      <w:tr w:rsidR="00263A97">
        <w:trPr>
          <w:trHeight w:val="2296"/>
        </w:trPr>
        <w:tc>
          <w:tcPr>
            <w:tcW w:w="2474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200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0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Gestor</w:t>
            </w:r>
          </w:p>
        </w:tc>
        <w:tc>
          <w:tcPr>
            <w:tcW w:w="7178" w:type="dxa"/>
          </w:tcPr>
          <w:p w:rsidR="00263A97" w:rsidRDefault="00D73B6D">
            <w:pPr>
              <w:pStyle w:val="TableParagraph"/>
              <w:spacing w:before="117"/>
              <w:ind w:left="113"/>
              <w:rPr>
                <w:sz w:val="21"/>
              </w:rPr>
            </w:pPr>
            <w:r>
              <w:rPr>
                <w:rFonts w:ascii="Arial"/>
                <w:b/>
                <w:sz w:val="21"/>
                <w:u w:val="single"/>
              </w:rPr>
              <w:t>SECURITY</w:t>
            </w:r>
            <w:r>
              <w:rPr>
                <w:rFonts w:ascii="Arial"/>
                <w:b/>
                <w:spacing w:val="73"/>
                <w:w w:val="150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ADMINISTRADORA</w:t>
            </w:r>
            <w:r>
              <w:rPr>
                <w:rFonts w:ascii="Arial"/>
                <w:b/>
                <w:spacing w:val="71"/>
                <w:w w:val="150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DE</w:t>
            </w:r>
            <w:r>
              <w:rPr>
                <w:rFonts w:ascii="Arial"/>
                <w:b/>
                <w:spacing w:val="76"/>
                <w:w w:val="150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RECURSOS</w:t>
            </w:r>
            <w:r>
              <w:rPr>
                <w:rFonts w:ascii="Arial"/>
                <w:b/>
                <w:spacing w:val="76"/>
                <w:w w:val="150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LTDA.</w:t>
            </w:r>
            <w:r>
              <w:rPr>
                <w:sz w:val="21"/>
              </w:rPr>
              <w:t>,</w:t>
            </w:r>
            <w:r>
              <w:rPr>
                <w:spacing w:val="74"/>
                <w:w w:val="150"/>
                <w:sz w:val="21"/>
              </w:rPr>
              <w:t xml:space="preserve"> </w:t>
            </w:r>
            <w:proofErr w:type="gramStart"/>
            <w:r>
              <w:rPr>
                <w:spacing w:val="-2"/>
                <w:sz w:val="21"/>
              </w:rPr>
              <w:t>sociedade</w:t>
            </w:r>
            <w:proofErr w:type="gramEnd"/>
          </w:p>
          <w:p w:rsidR="00263A97" w:rsidRDefault="00D73B6D">
            <w:pPr>
              <w:pStyle w:val="TableParagraph"/>
              <w:spacing w:before="1"/>
              <w:ind w:left="113" w:right="80"/>
              <w:jc w:val="both"/>
              <w:rPr>
                <w:rFonts w:ascii="Arial" w:hAnsi="Arial"/>
                <w:b/>
                <w:sz w:val="21"/>
              </w:rPr>
            </w:pPr>
            <w:proofErr w:type="gramStart"/>
            <w:r>
              <w:rPr>
                <w:sz w:val="21"/>
              </w:rPr>
              <w:t>empresária</w:t>
            </w:r>
            <w:proofErr w:type="gramEnd"/>
            <w:r>
              <w:rPr>
                <w:sz w:val="21"/>
              </w:rPr>
              <w:t xml:space="preserve"> limitada, com sede na Cidade e Estado do Rio de Janeiro, na Rua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Visconde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Pirajá,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nº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430,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Salas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904,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905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906,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Bairro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Ipanema,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CEP 22.410-002, inscrita no CNPJ/ME sob o nº 02.295.841/0001-07, devidamente autorizada à prestação dos serviços de</w:t>
            </w:r>
            <w:r>
              <w:rPr>
                <w:sz w:val="21"/>
              </w:rPr>
              <w:t xml:space="preserve"> administração de carteira de valores mobiliários pela Comissão de Valores Mobiliários (“</w:t>
            </w:r>
            <w:r>
              <w:rPr>
                <w:rFonts w:ascii="Arial" w:hAnsi="Arial"/>
                <w:b/>
                <w:sz w:val="21"/>
              </w:rPr>
              <w:t>GESTOR</w:t>
            </w:r>
            <w:r>
              <w:rPr>
                <w:sz w:val="21"/>
              </w:rPr>
              <w:t>” ou “</w:t>
            </w:r>
            <w:r>
              <w:rPr>
                <w:rFonts w:ascii="Arial" w:hAnsi="Arial"/>
                <w:b/>
                <w:sz w:val="21"/>
              </w:rPr>
              <w:t>Prestador de Serviço Essencial</w:t>
            </w:r>
            <w:r>
              <w:rPr>
                <w:sz w:val="21"/>
              </w:rPr>
              <w:t>” e, quando referido conjuntamente</w:t>
            </w:r>
            <w:r>
              <w:rPr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com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26"/>
                <w:sz w:val="21"/>
              </w:rPr>
              <w:t xml:space="preserve"> </w:t>
            </w:r>
            <w:r>
              <w:rPr>
                <w:sz w:val="21"/>
              </w:rPr>
              <w:t>ADMINISTRADOR,</w:t>
            </w:r>
            <w:r>
              <w:rPr>
                <w:spacing w:val="26"/>
                <w:sz w:val="21"/>
              </w:rPr>
              <w:t xml:space="preserve"> </w:t>
            </w:r>
            <w:r>
              <w:rPr>
                <w:sz w:val="21"/>
              </w:rPr>
              <w:t>os</w:t>
            </w:r>
            <w:r>
              <w:rPr>
                <w:spacing w:val="28"/>
                <w:sz w:val="21"/>
              </w:rPr>
              <w:t xml:space="preserve"> </w:t>
            </w:r>
            <w:r>
              <w:rPr>
                <w:sz w:val="21"/>
              </w:rPr>
              <w:t>“</w:t>
            </w:r>
            <w:r>
              <w:rPr>
                <w:rFonts w:ascii="Arial" w:hAnsi="Arial"/>
                <w:b/>
                <w:sz w:val="21"/>
              </w:rPr>
              <w:t>Prestadores</w:t>
            </w:r>
            <w:r>
              <w:rPr>
                <w:rFonts w:ascii="Arial" w:hAnsi="Arial"/>
                <w:b/>
                <w:spacing w:val="26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de</w:t>
            </w:r>
            <w:r>
              <w:rPr>
                <w:rFonts w:ascii="Arial" w:hAnsi="Arial"/>
                <w:b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Serviços</w:t>
            </w:r>
          </w:p>
          <w:p w:rsidR="00263A97" w:rsidRDefault="00D73B6D">
            <w:pPr>
              <w:pStyle w:val="TableParagraph"/>
              <w:spacing w:line="226" w:lineRule="exact"/>
              <w:ind w:left="113"/>
              <w:rPr>
                <w:sz w:val="21"/>
              </w:rPr>
            </w:pPr>
            <w:proofErr w:type="gramStart"/>
            <w:r>
              <w:rPr>
                <w:rFonts w:ascii="Arial" w:hAnsi="Arial"/>
                <w:b/>
                <w:spacing w:val="-2"/>
                <w:sz w:val="21"/>
              </w:rPr>
              <w:t>Essenciais</w:t>
            </w:r>
            <w:r>
              <w:rPr>
                <w:spacing w:val="-2"/>
                <w:sz w:val="21"/>
              </w:rPr>
              <w:t>”</w:t>
            </w:r>
            <w:proofErr w:type="gramEnd"/>
            <w:r>
              <w:rPr>
                <w:spacing w:val="-2"/>
                <w:sz w:val="21"/>
              </w:rPr>
              <w:t>).</w:t>
            </w:r>
          </w:p>
        </w:tc>
      </w:tr>
      <w:tr w:rsidR="00263A97">
        <w:trPr>
          <w:trHeight w:val="479"/>
        </w:trPr>
        <w:tc>
          <w:tcPr>
            <w:tcW w:w="247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0"/>
              <w:rPr>
                <w:sz w:val="21"/>
              </w:rPr>
            </w:pPr>
            <w:r>
              <w:rPr>
                <w:color w:val="FFFFFF"/>
                <w:sz w:val="21"/>
              </w:rPr>
              <w:t>Foro</w:t>
            </w:r>
            <w:r>
              <w:rPr>
                <w:color w:val="FFFFFF"/>
                <w:spacing w:val="-4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Aplicável</w:t>
            </w:r>
          </w:p>
        </w:tc>
        <w:tc>
          <w:tcPr>
            <w:tcW w:w="7178" w:type="dxa"/>
          </w:tcPr>
          <w:p w:rsidR="00263A97" w:rsidRDefault="00D73B6D">
            <w:pPr>
              <w:pStyle w:val="TableParagraph"/>
              <w:spacing w:before="119"/>
              <w:ind w:left="113"/>
              <w:rPr>
                <w:sz w:val="20"/>
              </w:rPr>
            </w:pPr>
            <w:r>
              <w:rPr>
                <w:sz w:val="20"/>
              </w:rPr>
              <w:t>Foro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Cidade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Janeiro,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Janeiro.</w:t>
            </w:r>
          </w:p>
        </w:tc>
      </w:tr>
      <w:tr w:rsidR="00263A97">
        <w:trPr>
          <w:trHeight w:val="479"/>
        </w:trPr>
        <w:tc>
          <w:tcPr>
            <w:tcW w:w="247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0"/>
              <w:rPr>
                <w:sz w:val="21"/>
              </w:rPr>
            </w:pPr>
            <w:r>
              <w:rPr>
                <w:color w:val="FFFFFF"/>
                <w:sz w:val="21"/>
              </w:rPr>
              <w:t>Exercício</w:t>
            </w:r>
            <w:r>
              <w:rPr>
                <w:color w:val="FFFFFF"/>
                <w:spacing w:val="-12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Social</w:t>
            </w:r>
          </w:p>
        </w:tc>
        <w:tc>
          <w:tcPr>
            <w:tcW w:w="7178" w:type="dxa"/>
          </w:tcPr>
          <w:p w:rsidR="00263A97" w:rsidRDefault="00D73B6D">
            <w:pPr>
              <w:pStyle w:val="TableParagraph"/>
              <w:spacing w:before="112"/>
              <w:ind w:left="113"/>
              <w:rPr>
                <w:sz w:val="21"/>
              </w:rPr>
            </w:pPr>
            <w:r>
              <w:rPr>
                <w:sz w:val="21"/>
              </w:rPr>
              <w:t>Encerramento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último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dia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útil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mês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dezembro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cada</w:t>
            </w:r>
            <w:r>
              <w:rPr>
                <w:spacing w:val="-4"/>
                <w:sz w:val="21"/>
              </w:rPr>
              <w:t xml:space="preserve"> ano.</w:t>
            </w:r>
          </w:p>
        </w:tc>
      </w:tr>
    </w:tbl>
    <w:p w:rsidR="00263A97" w:rsidRDefault="00D73B6D">
      <w:pPr>
        <w:pStyle w:val="PargrafodaLista"/>
        <w:numPr>
          <w:ilvl w:val="1"/>
          <w:numId w:val="13"/>
        </w:numPr>
        <w:tabs>
          <w:tab w:val="left" w:pos="1475"/>
        </w:tabs>
        <w:spacing w:before="118"/>
        <w:ind w:left="797" w:right="78" w:firstLine="0"/>
        <w:jc w:val="both"/>
        <w:rPr>
          <w:sz w:val="21"/>
        </w:rPr>
      </w:pPr>
      <w:r>
        <w:rPr>
          <w:sz w:val="21"/>
        </w:rPr>
        <w:t>O</w:t>
      </w:r>
      <w:r>
        <w:rPr>
          <w:spacing w:val="-6"/>
          <w:sz w:val="21"/>
        </w:rPr>
        <w:t xml:space="preserve"> </w:t>
      </w:r>
      <w:r>
        <w:rPr>
          <w:sz w:val="21"/>
        </w:rPr>
        <w:t>Anexo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cada</w:t>
      </w:r>
      <w:r>
        <w:rPr>
          <w:spacing w:val="-9"/>
          <w:sz w:val="21"/>
        </w:rPr>
        <w:t xml:space="preserve"> </w:t>
      </w:r>
      <w:r>
        <w:rPr>
          <w:sz w:val="21"/>
        </w:rPr>
        <w:t>classe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cotas,</w:t>
      </w:r>
      <w:r>
        <w:rPr>
          <w:spacing w:val="-4"/>
          <w:sz w:val="21"/>
        </w:rPr>
        <w:t xml:space="preserve"> </w:t>
      </w:r>
      <w:r>
        <w:rPr>
          <w:sz w:val="21"/>
        </w:rPr>
        <w:t>conforme</w:t>
      </w:r>
      <w:r>
        <w:rPr>
          <w:spacing w:val="-4"/>
          <w:sz w:val="21"/>
        </w:rPr>
        <w:t xml:space="preserve"> </w:t>
      </w:r>
      <w:r>
        <w:rPr>
          <w:sz w:val="21"/>
        </w:rPr>
        <w:t>aplicável</w:t>
      </w:r>
      <w:proofErr w:type="gramStart"/>
      <w:r>
        <w:rPr>
          <w:sz w:val="21"/>
        </w:rPr>
        <w:t>,</w:t>
      </w:r>
      <w:r>
        <w:rPr>
          <w:spacing w:val="-6"/>
          <w:sz w:val="21"/>
        </w:rPr>
        <w:t xml:space="preserve"> </w:t>
      </w:r>
      <w:r>
        <w:rPr>
          <w:sz w:val="21"/>
        </w:rPr>
        <w:t>dispõe</w:t>
      </w:r>
      <w:proofErr w:type="gramEnd"/>
      <w:r>
        <w:rPr>
          <w:sz w:val="21"/>
        </w:rPr>
        <w:t>,</w:t>
      </w:r>
      <w:r>
        <w:rPr>
          <w:spacing w:val="-6"/>
          <w:sz w:val="21"/>
        </w:rPr>
        <w:t xml:space="preserve"> </w:t>
      </w:r>
      <w:r>
        <w:rPr>
          <w:sz w:val="21"/>
        </w:rPr>
        <w:t>sem</w:t>
      </w:r>
      <w:r>
        <w:rPr>
          <w:spacing w:val="-5"/>
          <w:sz w:val="21"/>
        </w:rPr>
        <w:t xml:space="preserve"> </w:t>
      </w:r>
      <w:r>
        <w:rPr>
          <w:sz w:val="21"/>
        </w:rPr>
        <w:t>prejuízo de</w:t>
      </w:r>
      <w:r>
        <w:rPr>
          <w:spacing w:val="-8"/>
          <w:sz w:val="21"/>
        </w:rPr>
        <w:t xml:space="preserve"> </w:t>
      </w:r>
      <w:r>
        <w:rPr>
          <w:sz w:val="21"/>
        </w:rPr>
        <w:t>outros</w:t>
      </w:r>
      <w:r>
        <w:rPr>
          <w:spacing w:val="-6"/>
          <w:sz w:val="21"/>
        </w:rPr>
        <w:t xml:space="preserve"> </w:t>
      </w:r>
      <w:r>
        <w:rPr>
          <w:sz w:val="21"/>
        </w:rPr>
        <w:t>requisitos e informações previstos na regulamentação, sobre as respectivas: (i) características gerais, incluindo a indicação</w:t>
      </w:r>
      <w:r>
        <w:rPr>
          <w:spacing w:val="-4"/>
          <w:sz w:val="21"/>
        </w:rPr>
        <w:t xml:space="preserve"> </w:t>
      </w:r>
      <w:r>
        <w:rPr>
          <w:sz w:val="21"/>
        </w:rPr>
        <w:t>dos</w:t>
      </w:r>
      <w:r>
        <w:rPr>
          <w:spacing w:val="-6"/>
          <w:sz w:val="21"/>
        </w:rPr>
        <w:t xml:space="preserve"> </w:t>
      </w:r>
      <w:r>
        <w:rPr>
          <w:sz w:val="21"/>
        </w:rPr>
        <w:t>demais</w:t>
      </w:r>
      <w:r>
        <w:rPr>
          <w:spacing w:val="-2"/>
          <w:sz w:val="21"/>
        </w:rPr>
        <w:t xml:space="preserve"> </w:t>
      </w:r>
      <w:r>
        <w:rPr>
          <w:sz w:val="21"/>
        </w:rPr>
        <w:t>prestadores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serviços;</w:t>
      </w:r>
      <w:r>
        <w:rPr>
          <w:spacing w:val="-4"/>
          <w:sz w:val="21"/>
        </w:rPr>
        <w:t xml:space="preserve"> </w:t>
      </w:r>
      <w:r>
        <w:rPr>
          <w:sz w:val="21"/>
        </w:rPr>
        <w:t>(ii)</w:t>
      </w:r>
      <w:r>
        <w:rPr>
          <w:spacing w:val="-8"/>
          <w:sz w:val="21"/>
        </w:rPr>
        <w:t xml:space="preserve"> </w:t>
      </w:r>
      <w:r>
        <w:rPr>
          <w:sz w:val="21"/>
        </w:rPr>
        <w:t>responsabilidade</w:t>
      </w:r>
      <w:r>
        <w:rPr>
          <w:spacing w:val="-8"/>
          <w:sz w:val="21"/>
        </w:rPr>
        <w:t xml:space="preserve"> </w:t>
      </w:r>
      <w:r>
        <w:rPr>
          <w:sz w:val="21"/>
        </w:rPr>
        <w:t>dos</w:t>
      </w:r>
      <w:r>
        <w:rPr>
          <w:spacing w:val="-6"/>
          <w:sz w:val="21"/>
        </w:rPr>
        <w:t xml:space="preserve"> </w:t>
      </w:r>
      <w:r>
        <w:rPr>
          <w:sz w:val="21"/>
        </w:rPr>
        <w:t>cotistas</w:t>
      </w:r>
      <w:r>
        <w:rPr>
          <w:spacing w:val="-6"/>
          <w:sz w:val="21"/>
        </w:rPr>
        <w:t xml:space="preserve"> </w:t>
      </w:r>
      <w:r>
        <w:rPr>
          <w:sz w:val="21"/>
        </w:rPr>
        <w:t>e</w:t>
      </w:r>
      <w:r>
        <w:rPr>
          <w:spacing w:val="-10"/>
          <w:sz w:val="21"/>
        </w:rPr>
        <w:t xml:space="preserve"> </w:t>
      </w:r>
      <w:r>
        <w:rPr>
          <w:sz w:val="21"/>
        </w:rPr>
        <w:t>regime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insolvência;</w:t>
      </w:r>
    </w:p>
    <w:p w:rsidR="00263A97" w:rsidRDefault="00D73B6D">
      <w:pPr>
        <w:pStyle w:val="Corpodetexto"/>
        <w:ind w:left="797" w:right="85"/>
        <w:jc w:val="both"/>
      </w:pPr>
      <w:r>
        <w:t>(iii) resgate e amortização; (iv) assembleia especial de cotistas e demais procedimentos aplicáveis às manifestações de vontade dos cotistas; (v) remuneração; (vi) política de investimento e composição e diversificação da carteira; e (vii) fatores de risco</w:t>
      </w:r>
      <w:r>
        <w:t>.</w:t>
      </w:r>
    </w:p>
    <w:p w:rsidR="00263A97" w:rsidRDefault="00263A97">
      <w:pPr>
        <w:pStyle w:val="Corpodetexto"/>
        <w:spacing w:before="40"/>
      </w:pPr>
    </w:p>
    <w:p w:rsidR="00263A97" w:rsidRDefault="00D73B6D">
      <w:pPr>
        <w:pStyle w:val="Ttulo1"/>
        <w:jc w:val="both"/>
      </w:pPr>
      <w:r>
        <w:rPr>
          <w:sz w:val="22"/>
        </w:rPr>
        <w:t>CAPÍTULO</w:t>
      </w:r>
      <w:r>
        <w:rPr>
          <w:spacing w:val="-11"/>
          <w:sz w:val="22"/>
        </w:rPr>
        <w:t xml:space="preserve"> </w:t>
      </w:r>
      <w:r>
        <w:rPr>
          <w:sz w:val="22"/>
        </w:rPr>
        <w:t>2</w:t>
      </w:r>
      <w:r>
        <w:rPr>
          <w:spacing w:val="-10"/>
          <w:sz w:val="22"/>
        </w:rPr>
        <w:t xml:space="preserve"> </w:t>
      </w:r>
      <w:r>
        <w:rPr>
          <w:sz w:val="22"/>
        </w:rPr>
        <w:t>–</w:t>
      </w:r>
      <w:r>
        <w:rPr>
          <w:spacing w:val="-15"/>
          <w:sz w:val="22"/>
        </w:rPr>
        <w:t xml:space="preserve"> </w:t>
      </w:r>
      <w:r>
        <w:t>RESPONSABILIDADE</w:t>
      </w:r>
      <w:r>
        <w:rPr>
          <w:spacing w:val="-7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PRESTADORES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SERVIÇOS</w:t>
      </w:r>
      <w:r>
        <w:rPr>
          <w:spacing w:val="-7"/>
        </w:rPr>
        <w:t xml:space="preserve"> </w:t>
      </w:r>
      <w:r>
        <w:rPr>
          <w:spacing w:val="-2"/>
        </w:rPr>
        <w:t>ESSENCIAIS</w:t>
      </w:r>
    </w:p>
    <w:p w:rsidR="00263A97" w:rsidRDefault="00263A97">
      <w:pPr>
        <w:pStyle w:val="Corpodetexto"/>
        <w:spacing w:before="38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12"/>
        </w:numPr>
        <w:tabs>
          <w:tab w:val="left" w:pos="1475"/>
        </w:tabs>
        <w:ind w:right="78" w:firstLine="0"/>
        <w:jc w:val="both"/>
        <w:rPr>
          <w:sz w:val="21"/>
        </w:rPr>
      </w:pPr>
      <w:r>
        <w:rPr>
          <w:sz w:val="21"/>
        </w:rPr>
        <w:t>Os</w:t>
      </w:r>
      <w:r>
        <w:rPr>
          <w:spacing w:val="-2"/>
          <w:sz w:val="21"/>
        </w:rPr>
        <w:t xml:space="preserve"> </w:t>
      </w:r>
      <w:r>
        <w:rPr>
          <w:sz w:val="21"/>
        </w:rPr>
        <w:t>Prestadores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Serviços</w:t>
      </w:r>
      <w:r>
        <w:rPr>
          <w:spacing w:val="-4"/>
          <w:sz w:val="21"/>
        </w:rPr>
        <w:t xml:space="preserve"> </w:t>
      </w:r>
      <w:r>
        <w:rPr>
          <w:sz w:val="21"/>
        </w:rPr>
        <w:t>Essenciais</w:t>
      </w:r>
      <w:r>
        <w:rPr>
          <w:spacing w:val="-2"/>
          <w:sz w:val="21"/>
        </w:rPr>
        <w:t xml:space="preserve"> </w:t>
      </w:r>
      <w:r>
        <w:rPr>
          <w:sz w:val="21"/>
        </w:rPr>
        <w:t>e</w:t>
      </w:r>
      <w:r>
        <w:rPr>
          <w:spacing w:val="-5"/>
          <w:sz w:val="21"/>
        </w:rPr>
        <w:t xml:space="preserve"> </w:t>
      </w:r>
      <w:r>
        <w:rPr>
          <w:sz w:val="21"/>
        </w:rPr>
        <w:t>demais</w:t>
      </w:r>
      <w:r>
        <w:rPr>
          <w:spacing w:val="-4"/>
          <w:sz w:val="21"/>
        </w:rPr>
        <w:t xml:space="preserve"> </w:t>
      </w:r>
      <w:r>
        <w:rPr>
          <w:sz w:val="21"/>
        </w:rPr>
        <w:t>prestadores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serviços</w:t>
      </w:r>
      <w:r>
        <w:rPr>
          <w:spacing w:val="-4"/>
          <w:sz w:val="21"/>
        </w:rPr>
        <w:t xml:space="preserve"> </w:t>
      </w:r>
      <w:r>
        <w:rPr>
          <w:sz w:val="21"/>
        </w:rPr>
        <w:t>do</w:t>
      </w:r>
      <w:r>
        <w:rPr>
          <w:spacing w:val="-6"/>
          <w:sz w:val="21"/>
        </w:rPr>
        <w:t xml:space="preserve"> </w:t>
      </w:r>
      <w:r>
        <w:rPr>
          <w:sz w:val="21"/>
        </w:rPr>
        <w:t>FUNDO</w:t>
      </w:r>
      <w:r>
        <w:rPr>
          <w:spacing w:val="-2"/>
          <w:sz w:val="21"/>
        </w:rPr>
        <w:t xml:space="preserve"> </w:t>
      </w:r>
      <w:r>
        <w:rPr>
          <w:sz w:val="21"/>
        </w:rPr>
        <w:t>respondem perante</w:t>
      </w:r>
      <w:r>
        <w:rPr>
          <w:spacing w:val="-4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CVM,</w:t>
      </w:r>
      <w:r>
        <w:rPr>
          <w:spacing w:val="-6"/>
          <w:sz w:val="21"/>
        </w:rPr>
        <w:t xml:space="preserve"> </w:t>
      </w:r>
      <w:r>
        <w:rPr>
          <w:sz w:val="21"/>
        </w:rPr>
        <w:t>nas</w:t>
      </w:r>
      <w:r>
        <w:rPr>
          <w:spacing w:val="-6"/>
          <w:sz w:val="21"/>
        </w:rPr>
        <w:t xml:space="preserve"> </w:t>
      </w:r>
      <w:r>
        <w:rPr>
          <w:sz w:val="21"/>
        </w:rPr>
        <w:t>suas</w:t>
      </w:r>
      <w:r>
        <w:rPr>
          <w:spacing w:val="-6"/>
          <w:sz w:val="21"/>
        </w:rPr>
        <w:t xml:space="preserve"> </w:t>
      </w:r>
      <w:r>
        <w:rPr>
          <w:sz w:val="21"/>
        </w:rPr>
        <w:t>respectivas</w:t>
      </w:r>
      <w:r>
        <w:rPr>
          <w:spacing w:val="-2"/>
          <w:sz w:val="21"/>
        </w:rPr>
        <w:t xml:space="preserve"> </w:t>
      </w:r>
      <w:r>
        <w:rPr>
          <w:sz w:val="21"/>
        </w:rPr>
        <w:t>esferas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atuação,</w:t>
      </w:r>
      <w:r>
        <w:rPr>
          <w:spacing w:val="-3"/>
          <w:sz w:val="21"/>
        </w:rPr>
        <w:t xml:space="preserve"> </w:t>
      </w:r>
      <w:r>
        <w:rPr>
          <w:sz w:val="21"/>
        </w:rPr>
        <w:t>por</w:t>
      </w:r>
      <w:r>
        <w:rPr>
          <w:spacing w:val="-6"/>
          <w:sz w:val="21"/>
        </w:rPr>
        <w:t xml:space="preserve"> </w:t>
      </w:r>
      <w:r>
        <w:rPr>
          <w:sz w:val="21"/>
        </w:rPr>
        <w:t>seus</w:t>
      </w:r>
      <w:r>
        <w:rPr>
          <w:spacing w:val="-6"/>
          <w:sz w:val="21"/>
        </w:rPr>
        <w:t xml:space="preserve"> </w:t>
      </w:r>
      <w:r>
        <w:rPr>
          <w:sz w:val="21"/>
        </w:rPr>
        <w:t>próprios atos</w:t>
      </w:r>
      <w:r>
        <w:rPr>
          <w:spacing w:val="-6"/>
          <w:sz w:val="21"/>
        </w:rPr>
        <w:t xml:space="preserve"> </w:t>
      </w:r>
      <w:r>
        <w:rPr>
          <w:sz w:val="21"/>
        </w:rPr>
        <w:t>e</w:t>
      </w:r>
      <w:r>
        <w:rPr>
          <w:spacing w:val="-8"/>
          <w:sz w:val="21"/>
        </w:rPr>
        <w:t xml:space="preserve"> </w:t>
      </w:r>
      <w:r>
        <w:rPr>
          <w:sz w:val="21"/>
        </w:rPr>
        <w:t>omissões</w:t>
      </w:r>
      <w:r>
        <w:rPr>
          <w:spacing w:val="-6"/>
          <w:sz w:val="21"/>
        </w:rPr>
        <w:t xml:space="preserve"> </w:t>
      </w:r>
      <w:r>
        <w:rPr>
          <w:sz w:val="21"/>
        </w:rPr>
        <w:t>contrários</w:t>
      </w:r>
      <w:r>
        <w:rPr>
          <w:spacing w:val="-8"/>
          <w:sz w:val="21"/>
        </w:rPr>
        <w:t xml:space="preserve"> </w:t>
      </w:r>
      <w:r>
        <w:rPr>
          <w:sz w:val="21"/>
        </w:rPr>
        <w:t>à lei, ao regulamento do FUNDO ou à regulamentação vigente, sem prejuízo do exercício do dever de fiscalizar, nas hipóteses previstas na regulamentação aplicável.</w:t>
      </w:r>
    </w:p>
    <w:p w:rsidR="00263A97" w:rsidRDefault="00D73B6D">
      <w:pPr>
        <w:pStyle w:val="PargrafodaLista"/>
        <w:numPr>
          <w:ilvl w:val="2"/>
          <w:numId w:val="12"/>
        </w:numPr>
        <w:tabs>
          <w:tab w:val="left" w:pos="1755"/>
          <w:tab w:val="left" w:pos="1761"/>
        </w:tabs>
        <w:spacing w:before="119"/>
        <w:ind w:right="68" w:hanging="677"/>
        <w:jc w:val="both"/>
        <w:rPr>
          <w:sz w:val="21"/>
        </w:rPr>
      </w:pPr>
      <w:r>
        <w:rPr>
          <w:sz w:val="21"/>
        </w:rPr>
        <w:t>Não</w:t>
      </w:r>
      <w:r>
        <w:rPr>
          <w:spacing w:val="-3"/>
          <w:sz w:val="21"/>
        </w:rPr>
        <w:t xml:space="preserve"> </w:t>
      </w:r>
      <w:r>
        <w:rPr>
          <w:sz w:val="21"/>
        </w:rPr>
        <w:t>obstante</w:t>
      </w:r>
      <w:r>
        <w:rPr>
          <w:spacing w:val="-4"/>
          <w:sz w:val="21"/>
        </w:rPr>
        <w:t xml:space="preserve"> </w:t>
      </w:r>
      <w:r>
        <w:rPr>
          <w:sz w:val="21"/>
        </w:rPr>
        <w:t>as atribuições previstas</w:t>
      </w:r>
      <w:r>
        <w:rPr>
          <w:spacing w:val="-2"/>
          <w:sz w:val="21"/>
        </w:rPr>
        <w:t xml:space="preserve"> </w:t>
      </w:r>
      <w:r>
        <w:rPr>
          <w:sz w:val="21"/>
        </w:rPr>
        <w:t>neste</w:t>
      </w:r>
      <w:r>
        <w:rPr>
          <w:spacing w:val="-2"/>
          <w:sz w:val="21"/>
        </w:rPr>
        <w:t xml:space="preserve"> </w:t>
      </w:r>
      <w:r>
        <w:rPr>
          <w:sz w:val="21"/>
        </w:rPr>
        <w:t>regulamento</w:t>
      </w:r>
      <w:r>
        <w:rPr>
          <w:spacing w:val="-1"/>
          <w:sz w:val="21"/>
        </w:rPr>
        <w:t xml:space="preserve"> </w:t>
      </w:r>
      <w:r>
        <w:rPr>
          <w:sz w:val="21"/>
        </w:rPr>
        <w:t>e</w:t>
      </w:r>
      <w:r>
        <w:rPr>
          <w:spacing w:val="-3"/>
          <w:sz w:val="21"/>
        </w:rPr>
        <w:t xml:space="preserve"> </w:t>
      </w:r>
      <w:r>
        <w:rPr>
          <w:sz w:val="21"/>
        </w:rPr>
        <w:t>na</w:t>
      </w:r>
      <w:r>
        <w:rPr>
          <w:spacing w:val="-3"/>
          <w:sz w:val="21"/>
        </w:rPr>
        <w:t xml:space="preserve"> </w:t>
      </w:r>
      <w:r>
        <w:rPr>
          <w:sz w:val="21"/>
        </w:rPr>
        <w:t>regulamentação aplicá</w:t>
      </w:r>
      <w:r>
        <w:rPr>
          <w:sz w:val="21"/>
        </w:rPr>
        <w:t>vel</w:t>
      </w:r>
      <w:proofErr w:type="gramStart"/>
      <w:r>
        <w:rPr>
          <w:sz w:val="21"/>
        </w:rPr>
        <w:t>, cabe</w:t>
      </w:r>
      <w:proofErr w:type="gramEnd"/>
      <w:r>
        <w:rPr>
          <w:sz w:val="21"/>
        </w:rPr>
        <w:t xml:space="preserve"> ao ADMINISTRADOR praticar os atos necessários à administração do FUNDO, o que inclui, mas não se limita à contratação, em nome do FUNDO ou de classe de cotas, dos seguintes serviços: (a) tesouraria, controle e processamento dos ativos; (b) escrit</w:t>
      </w:r>
      <w:r>
        <w:rPr>
          <w:sz w:val="21"/>
        </w:rPr>
        <w:t>uração das cotas; (c) auditoria independente; (d) custódia; e, eventualmente, (e) outros serviços em benefício do FUNDO ou da classe de cotas.</w:t>
      </w:r>
    </w:p>
    <w:p w:rsidR="00263A97" w:rsidRDefault="00D73B6D">
      <w:pPr>
        <w:pStyle w:val="PargrafodaLista"/>
        <w:numPr>
          <w:ilvl w:val="2"/>
          <w:numId w:val="12"/>
        </w:numPr>
        <w:tabs>
          <w:tab w:val="left" w:pos="1755"/>
          <w:tab w:val="left" w:pos="1761"/>
        </w:tabs>
        <w:spacing w:before="121"/>
        <w:ind w:right="77" w:hanging="677"/>
        <w:jc w:val="both"/>
        <w:rPr>
          <w:sz w:val="21"/>
        </w:rPr>
      </w:pPr>
      <w:r>
        <w:rPr>
          <w:sz w:val="21"/>
        </w:rPr>
        <w:t>Não</w:t>
      </w:r>
      <w:r>
        <w:rPr>
          <w:spacing w:val="-2"/>
          <w:sz w:val="21"/>
        </w:rPr>
        <w:t xml:space="preserve"> </w:t>
      </w:r>
      <w:r>
        <w:rPr>
          <w:sz w:val="21"/>
        </w:rPr>
        <w:t>obstante</w:t>
      </w:r>
      <w:r>
        <w:rPr>
          <w:spacing w:val="-4"/>
          <w:sz w:val="21"/>
        </w:rPr>
        <w:t xml:space="preserve"> </w:t>
      </w:r>
      <w:r>
        <w:rPr>
          <w:sz w:val="21"/>
        </w:rPr>
        <w:t>as</w:t>
      </w:r>
      <w:r>
        <w:rPr>
          <w:spacing w:val="-2"/>
          <w:sz w:val="21"/>
        </w:rPr>
        <w:t xml:space="preserve"> </w:t>
      </w:r>
      <w:r>
        <w:rPr>
          <w:sz w:val="21"/>
        </w:rPr>
        <w:t>atribuições previstas</w:t>
      </w:r>
      <w:r>
        <w:rPr>
          <w:spacing w:val="-2"/>
          <w:sz w:val="21"/>
        </w:rPr>
        <w:t xml:space="preserve"> </w:t>
      </w:r>
      <w:r>
        <w:rPr>
          <w:sz w:val="21"/>
        </w:rPr>
        <w:t>neste</w:t>
      </w:r>
      <w:r>
        <w:rPr>
          <w:spacing w:val="-3"/>
          <w:sz w:val="21"/>
        </w:rPr>
        <w:t xml:space="preserve"> </w:t>
      </w:r>
      <w:r>
        <w:rPr>
          <w:sz w:val="21"/>
        </w:rPr>
        <w:t>regulamento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2"/>
          <w:sz w:val="21"/>
        </w:rPr>
        <w:t xml:space="preserve"> </w:t>
      </w:r>
      <w:r>
        <w:rPr>
          <w:sz w:val="21"/>
        </w:rPr>
        <w:t>na</w:t>
      </w:r>
      <w:r>
        <w:rPr>
          <w:spacing w:val="-4"/>
          <w:sz w:val="21"/>
        </w:rPr>
        <w:t xml:space="preserve"> </w:t>
      </w:r>
      <w:r>
        <w:rPr>
          <w:sz w:val="21"/>
        </w:rPr>
        <w:t>regulamentação</w:t>
      </w:r>
      <w:r>
        <w:rPr>
          <w:spacing w:val="-2"/>
          <w:sz w:val="21"/>
        </w:rPr>
        <w:t xml:space="preserve"> </w:t>
      </w:r>
      <w:r>
        <w:rPr>
          <w:sz w:val="21"/>
        </w:rPr>
        <w:t>aplicável, cabe ao</w:t>
      </w:r>
      <w:r>
        <w:rPr>
          <w:spacing w:val="-11"/>
          <w:sz w:val="21"/>
        </w:rPr>
        <w:t xml:space="preserve"> </w:t>
      </w:r>
      <w:r>
        <w:rPr>
          <w:sz w:val="21"/>
        </w:rPr>
        <w:t>GESTOR</w:t>
      </w:r>
      <w:r>
        <w:rPr>
          <w:spacing w:val="-14"/>
          <w:sz w:val="21"/>
        </w:rPr>
        <w:t xml:space="preserve"> </w:t>
      </w:r>
      <w:r>
        <w:rPr>
          <w:sz w:val="21"/>
        </w:rPr>
        <w:t>praticar</w:t>
      </w:r>
      <w:r>
        <w:rPr>
          <w:spacing w:val="-13"/>
          <w:sz w:val="21"/>
        </w:rPr>
        <w:t xml:space="preserve"> </w:t>
      </w:r>
      <w:r>
        <w:rPr>
          <w:sz w:val="21"/>
        </w:rPr>
        <w:t>os</w:t>
      </w:r>
      <w:r>
        <w:rPr>
          <w:spacing w:val="-11"/>
          <w:sz w:val="21"/>
        </w:rPr>
        <w:t xml:space="preserve"> </w:t>
      </w:r>
      <w:r>
        <w:rPr>
          <w:sz w:val="21"/>
        </w:rPr>
        <w:t>atos</w:t>
      </w:r>
      <w:r>
        <w:rPr>
          <w:spacing w:val="-11"/>
          <w:sz w:val="21"/>
        </w:rPr>
        <w:t xml:space="preserve"> </w:t>
      </w:r>
      <w:r>
        <w:rPr>
          <w:sz w:val="21"/>
        </w:rPr>
        <w:t>necessários</w:t>
      </w:r>
      <w:r>
        <w:rPr>
          <w:spacing w:val="-11"/>
          <w:sz w:val="21"/>
        </w:rPr>
        <w:t xml:space="preserve"> </w:t>
      </w:r>
      <w:r>
        <w:rPr>
          <w:sz w:val="21"/>
        </w:rPr>
        <w:t>à</w:t>
      </w:r>
      <w:r>
        <w:rPr>
          <w:spacing w:val="-11"/>
          <w:sz w:val="21"/>
        </w:rPr>
        <w:t xml:space="preserve"> </w:t>
      </w:r>
      <w:r>
        <w:rPr>
          <w:sz w:val="21"/>
        </w:rPr>
        <w:t>gestão</w:t>
      </w:r>
      <w:r>
        <w:rPr>
          <w:spacing w:val="-11"/>
          <w:sz w:val="21"/>
        </w:rPr>
        <w:t xml:space="preserve"> </w:t>
      </w:r>
      <w:r>
        <w:rPr>
          <w:sz w:val="21"/>
        </w:rPr>
        <w:t>da</w:t>
      </w:r>
      <w:r>
        <w:rPr>
          <w:spacing w:val="-11"/>
          <w:sz w:val="21"/>
        </w:rPr>
        <w:t xml:space="preserve"> </w:t>
      </w:r>
      <w:r>
        <w:rPr>
          <w:sz w:val="21"/>
        </w:rPr>
        <w:t>carteira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ativos</w:t>
      </w:r>
      <w:r>
        <w:rPr>
          <w:spacing w:val="-11"/>
          <w:sz w:val="21"/>
        </w:rPr>
        <w:t xml:space="preserve"> </w:t>
      </w:r>
      <w:r>
        <w:rPr>
          <w:sz w:val="21"/>
        </w:rPr>
        <w:t>do</w:t>
      </w:r>
      <w:r>
        <w:rPr>
          <w:spacing w:val="-11"/>
          <w:sz w:val="21"/>
        </w:rPr>
        <w:t xml:space="preserve"> </w:t>
      </w:r>
      <w:r>
        <w:rPr>
          <w:sz w:val="21"/>
        </w:rPr>
        <w:t>FUNDO,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3"/>
          <w:sz w:val="21"/>
        </w:rPr>
        <w:t xml:space="preserve"> </w:t>
      </w:r>
      <w:r>
        <w:rPr>
          <w:sz w:val="21"/>
        </w:rPr>
        <w:t>que</w:t>
      </w:r>
      <w:r>
        <w:rPr>
          <w:spacing w:val="-13"/>
          <w:sz w:val="21"/>
        </w:rPr>
        <w:t xml:space="preserve"> </w:t>
      </w:r>
      <w:r>
        <w:rPr>
          <w:sz w:val="21"/>
        </w:rPr>
        <w:t>inclui</w:t>
      </w:r>
      <w:proofErr w:type="gramStart"/>
      <w:r>
        <w:rPr>
          <w:sz w:val="21"/>
        </w:rPr>
        <w:t xml:space="preserve"> mas</w:t>
      </w:r>
      <w:proofErr w:type="gramEnd"/>
      <w:r>
        <w:rPr>
          <w:spacing w:val="12"/>
          <w:sz w:val="21"/>
        </w:rPr>
        <w:t xml:space="preserve"> </w:t>
      </w:r>
      <w:r>
        <w:rPr>
          <w:sz w:val="21"/>
        </w:rPr>
        <w:t>não</w:t>
      </w:r>
      <w:r>
        <w:rPr>
          <w:spacing w:val="14"/>
          <w:sz w:val="21"/>
        </w:rPr>
        <w:t xml:space="preserve"> </w:t>
      </w:r>
      <w:r>
        <w:rPr>
          <w:sz w:val="21"/>
        </w:rPr>
        <w:t>se</w:t>
      </w:r>
      <w:r>
        <w:rPr>
          <w:spacing w:val="14"/>
          <w:sz w:val="21"/>
        </w:rPr>
        <w:t xml:space="preserve"> </w:t>
      </w:r>
      <w:r>
        <w:rPr>
          <w:sz w:val="21"/>
        </w:rPr>
        <w:t>limita</w:t>
      </w:r>
      <w:r>
        <w:rPr>
          <w:spacing w:val="14"/>
          <w:sz w:val="21"/>
        </w:rPr>
        <w:t xml:space="preserve"> </w:t>
      </w:r>
      <w:r>
        <w:rPr>
          <w:sz w:val="21"/>
        </w:rPr>
        <w:t>à contratação,</w:t>
      </w:r>
      <w:r>
        <w:rPr>
          <w:spacing w:val="12"/>
          <w:sz w:val="21"/>
        </w:rPr>
        <w:t xml:space="preserve"> </w:t>
      </w:r>
      <w:r>
        <w:rPr>
          <w:sz w:val="21"/>
        </w:rPr>
        <w:t>em</w:t>
      </w:r>
      <w:r>
        <w:rPr>
          <w:spacing w:val="13"/>
          <w:sz w:val="21"/>
        </w:rPr>
        <w:t xml:space="preserve"> </w:t>
      </w:r>
      <w:r>
        <w:rPr>
          <w:sz w:val="21"/>
        </w:rPr>
        <w:t>nome do</w:t>
      </w:r>
      <w:r>
        <w:rPr>
          <w:spacing w:val="14"/>
          <w:sz w:val="21"/>
        </w:rPr>
        <w:t xml:space="preserve"> </w:t>
      </w:r>
      <w:r>
        <w:rPr>
          <w:sz w:val="21"/>
        </w:rPr>
        <w:t>FUNDO ou</w:t>
      </w:r>
      <w:r>
        <w:rPr>
          <w:spacing w:val="12"/>
          <w:sz w:val="21"/>
        </w:rPr>
        <w:t xml:space="preserve"> </w:t>
      </w:r>
      <w:r>
        <w:rPr>
          <w:sz w:val="21"/>
        </w:rPr>
        <w:t>da</w:t>
      </w:r>
      <w:r>
        <w:rPr>
          <w:spacing w:val="12"/>
          <w:sz w:val="21"/>
        </w:rPr>
        <w:t xml:space="preserve"> </w:t>
      </w:r>
      <w:r>
        <w:rPr>
          <w:sz w:val="21"/>
        </w:rPr>
        <w:t>classe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cotas, dos</w:t>
      </w:r>
      <w:r>
        <w:rPr>
          <w:spacing w:val="12"/>
          <w:sz w:val="21"/>
        </w:rPr>
        <w:t xml:space="preserve"> </w:t>
      </w:r>
      <w:r>
        <w:rPr>
          <w:sz w:val="21"/>
        </w:rPr>
        <w:t>seguintes</w:t>
      </w:r>
    </w:p>
    <w:p w:rsidR="00263A97" w:rsidRDefault="00263A97">
      <w:pPr>
        <w:pStyle w:val="PargrafodaLista"/>
        <w:rPr>
          <w:sz w:val="21"/>
        </w:rPr>
        <w:sectPr w:rsidR="00263A97">
          <w:headerReference w:type="default" r:id="rId8"/>
          <w:footerReference w:type="default" r:id="rId9"/>
          <w:pgSz w:w="11910" w:h="16840"/>
          <w:pgMar w:top="1960" w:right="992" w:bottom="380" w:left="283" w:header="1468" w:footer="186" w:gutter="0"/>
          <w:pgNumType w:start="2"/>
          <w:cols w:space="720"/>
        </w:sectPr>
      </w:pPr>
    </w:p>
    <w:p w:rsidR="00263A97" w:rsidRDefault="00D73B6D">
      <w:pPr>
        <w:spacing w:before="241"/>
        <w:ind w:left="1761" w:right="77"/>
        <w:jc w:val="both"/>
      </w:pPr>
      <w:proofErr w:type="gramStart"/>
      <w:r>
        <w:rPr>
          <w:sz w:val="21"/>
        </w:rPr>
        <w:lastRenderedPageBreak/>
        <w:t>serviços</w:t>
      </w:r>
      <w:proofErr w:type="gramEnd"/>
      <w:r>
        <w:rPr>
          <w:sz w:val="21"/>
        </w:rPr>
        <w:t>: (a) intermediação de operações para carteira de ativos; (b) distribuição de cotas; (c) consultoria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investimentos;</w:t>
      </w:r>
      <w:r>
        <w:rPr>
          <w:spacing w:val="-2"/>
          <w:sz w:val="21"/>
        </w:rPr>
        <w:t xml:space="preserve"> </w:t>
      </w:r>
      <w:r>
        <w:rPr>
          <w:sz w:val="21"/>
        </w:rPr>
        <w:t>(d)</w:t>
      </w:r>
      <w:r>
        <w:rPr>
          <w:spacing w:val="-6"/>
          <w:sz w:val="21"/>
        </w:rPr>
        <w:t xml:space="preserve"> </w:t>
      </w:r>
      <w:r>
        <w:rPr>
          <w:sz w:val="21"/>
        </w:rPr>
        <w:t>classificação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risco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6"/>
          <w:sz w:val="21"/>
        </w:rPr>
        <w:t xml:space="preserve"> </w:t>
      </w:r>
      <w:r>
        <w:rPr>
          <w:sz w:val="21"/>
        </w:rPr>
        <w:t>agência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classificação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risco</w:t>
      </w:r>
      <w:r>
        <w:rPr>
          <w:spacing w:val="-9"/>
          <w:sz w:val="21"/>
        </w:rPr>
        <w:t xml:space="preserve"> </w:t>
      </w:r>
      <w:r>
        <w:rPr>
          <w:sz w:val="21"/>
        </w:rPr>
        <w:t xml:space="preserve">de </w:t>
      </w:r>
      <w:r>
        <w:t>crédito;</w:t>
      </w:r>
      <w:r>
        <w:rPr>
          <w:spacing w:val="27"/>
        </w:rPr>
        <w:t xml:space="preserve"> </w:t>
      </w:r>
      <w:r>
        <w:t>(e)</w:t>
      </w:r>
      <w:r>
        <w:rPr>
          <w:spacing w:val="25"/>
        </w:rPr>
        <w:t xml:space="preserve"> </w:t>
      </w:r>
      <w:r>
        <w:t>formador</w:t>
      </w:r>
      <w:r>
        <w:rPr>
          <w:spacing w:val="27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mercado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classe</w:t>
      </w:r>
      <w:r>
        <w:rPr>
          <w:spacing w:val="23"/>
        </w:rPr>
        <w:t xml:space="preserve"> </w:t>
      </w:r>
      <w:r>
        <w:t>fechada;</w:t>
      </w:r>
      <w:r>
        <w:rPr>
          <w:spacing w:val="27"/>
        </w:rPr>
        <w:t xml:space="preserve"> </w:t>
      </w:r>
      <w:r>
        <w:t>(f)</w:t>
      </w:r>
      <w:r>
        <w:rPr>
          <w:spacing w:val="26"/>
        </w:rPr>
        <w:t xml:space="preserve"> </w:t>
      </w:r>
      <w:r>
        <w:t>cogestão</w:t>
      </w:r>
      <w:r>
        <w:rPr>
          <w:spacing w:val="23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carteira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ativos; e, eventualmente, (g) outros serviços em benefício do FUNDO ou da classe de cotas.</w:t>
      </w:r>
    </w:p>
    <w:p w:rsidR="00263A97" w:rsidRDefault="00D73B6D">
      <w:pPr>
        <w:pStyle w:val="PargrafodaLista"/>
        <w:numPr>
          <w:ilvl w:val="2"/>
          <w:numId w:val="12"/>
        </w:numPr>
        <w:tabs>
          <w:tab w:val="left" w:pos="1755"/>
          <w:tab w:val="left" w:pos="1761"/>
        </w:tabs>
        <w:spacing w:before="122"/>
        <w:ind w:right="75" w:hanging="677"/>
        <w:jc w:val="both"/>
        <w:rPr>
          <w:sz w:val="21"/>
        </w:rPr>
      </w:pPr>
      <w:r>
        <w:rPr>
          <w:sz w:val="21"/>
        </w:rPr>
        <w:t>Caso</w:t>
      </w:r>
      <w:r>
        <w:rPr>
          <w:spacing w:val="-7"/>
          <w:sz w:val="21"/>
        </w:rPr>
        <w:t xml:space="preserve"> </w:t>
      </w:r>
      <w:r>
        <w:rPr>
          <w:sz w:val="21"/>
        </w:rPr>
        <w:t>o</w:t>
      </w:r>
      <w:r>
        <w:rPr>
          <w:spacing w:val="-7"/>
          <w:sz w:val="21"/>
        </w:rPr>
        <w:t xml:space="preserve"> </w:t>
      </w:r>
      <w:r>
        <w:rPr>
          <w:sz w:val="21"/>
        </w:rPr>
        <w:t>prestador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serviço</w:t>
      </w:r>
      <w:r>
        <w:rPr>
          <w:spacing w:val="-7"/>
          <w:sz w:val="21"/>
        </w:rPr>
        <w:t xml:space="preserve"> </w:t>
      </w:r>
      <w:r>
        <w:rPr>
          <w:sz w:val="21"/>
        </w:rPr>
        <w:t>contratado</w:t>
      </w:r>
      <w:r>
        <w:rPr>
          <w:spacing w:val="-5"/>
          <w:sz w:val="21"/>
        </w:rPr>
        <w:t xml:space="preserve"> </w:t>
      </w:r>
      <w:r>
        <w:rPr>
          <w:sz w:val="21"/>
        </w:rPr>
        <w:t>pelos</w:t>
      </w:r>
      <w:r>
        <w:rPr>
          <w:spacing w:val="-5"/>
          <w:sz w:val="21"/>
        </w:rPr>
        <w:t xml:space="preserve"> </w:t>
      </w:r>
      <w:r>
        <w:rPr>
          <w:sz w:val="21"/>
        </w:rPr>
        <w:t>Prestadores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Serviços</w:t>
      </w:r>
      <w:r>
        <w:rPr>
          <w:spacing w:val="-7"/>
          <w:sz w:val="21"/>
        </w:rPr>
        <w:t xml:space="preserve"> </w:t>
      </w:r>
      <w:r>
        <w:rPr>
          <w:sz w:val="21"/>
        </w:rPr>
        <w:t>Essenciais</w:t>
      </w:r>
      <w:r>
        <w:rPr>
          <w:spacing w:val="-5"/>
          <w:sz w:val="21"/>
        </w:rPr>
        <w:t xml:space="preserve"> </w:t>
      </w:r>
      <w:r>
        <w:rPr>
          <w:sz w:val="21"/>
        </w:rPr>
        <w:t>não</w:t>
      </w:r>
      <w:r>
        <w:rPr>
          <w:spacing w:val="-5"/>
          <w:sz w:val="21"/>
        </w:rPr>
        <w:t xml:space="preserve"> </w:t>
      </w:r>
      <w:r>
        <w:rPr>
          <w:sz w:val="21"/>
        </w:rPr>
        <w:t>seja</w:t>
      </w:r>
      <w:r>
        <w:rPr>
          <w:spacing w:val="-10"/>
          <w:sz w:val="21"/>
        </w:rPr>
        <w:t xml:space="preserve"> </w:t>
      </w:r>
      <w:r>
        <w:rPr>
          <w:sz w:val="21"/>
        </w:rPr>
        <w:t>um participante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z w:val="21"/>
        </w:rPr>
        <w:t>mercado</w:t>
      </w:r>
      <w:r>
        <w:rPr>
          <w:spacing w:val="-11"/>
          <w:sz w:val="21"/>
        </w:rPr>
        <w:t xml:space="preserve"> </w:t>
      </w:r>
      <w:r>
        <w:rPr>
          <w:sz w:val="21"/>
        </w:rPr>
        <w:t>regulado</w:t>
      </w:r>
      <w:r>
        <w:rPr>
          <w:spacing w:val="-13"/>
          <w:sz w:val="21"/>
        </w:rPr>
        <w:t xml:space="preserve"> </w:t>
      </w:r>
      <w:r>
        <w:rPr>
          <w:sz w:val="21"/>
        </w:rPr>
        <w:t>pela</w:t>
      </w:r>
      <w:r>
        <w:rPr>
          <w:spacing w:val="-8"/>
          <w:sz w:val="21"/>
        </w:rPr>
        <w:t xml:space="preserve"> </w:t>
      </w:r>
      <w:r>
        <w:rPr>
          <w:sz w:val="21"/>
        </w:rPr>
        <w:t>CVM,</w:t>
      </w:r>
      <w:r>
        <w:rPr>
          <w:spacing w:val="-11"/>
          <w:sz w:val="21"/>
        </w:rPr>
        <w:t xml:space="preserve"> </w:t>
      </w:r>
      <w:r>
        <w:rPr>
          <w:sz w:val="21"/>
        </w:rPr>
        <w:t>ou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3"/>
          <w:sz w:val="21"/>
        </w:rPr>
        <w:t xml:space="preserve"> </w:t>
      </w:r>
      <w:r>
        <w:rPr>
          <w:sz w:val="21"/>
        </w:rPr>
        <w:t>serviço</w:t>
      </w:r>
      <w:r>
        <w:rPr>
          <w:spacing w:val="-11"/>
          <w:sz w:val="21"/>
        </w:rPr>
        <w:t xml:space="preserve"> </w:t>
      </w:r>
      <w:r>
        <w:rPr>
          <w:sz w:val="21"/>
        </w:rPr>
        <w:t>prestado</w:t>
      </w:r>
      <w:r>
        <w:rPr>
          <w:spacing w:val="-11"/>
          <w:sz w:val="21"/>
        </w:rPr>
        <w:t xml:space="preserve"> </w:t>
      </w:r>
      <w:r>
        <w:rPr>
          <w:sz w:val="21"/>
        </w:rPr>
        <w:t>ao</w:t>
      </w:r>
      <w:r>
        <w:rPr>
          <w:spacing w:val="-11"/>
          <w:sz w:val="21"/>
        </w:rPr>
        <w:t xml:space="preserve"> </w:t>
      </w:r>
      <w:r>
        <w:rPr>
          <w:sz w:val="21"/>
        </w:rPr>
        <w:t>FUNDO</w:t>
      </w:r>
      <w:r>
        <w:rPr>
          <w:spacing w:val="-11"/>
          <w:sz w:val="21"/>
        </w:rPr>
        <w:t xml:space="preserve"> </w:t>
      </w:r>
      <w:r>
        <w:rPr>
          <w:sz w:val="21"/>
        </w:rPr>
        <w:t>não</w:t>
      </w:r>
      <w:r>
        <w:rPr>
          <w:spacing w:val="-11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encontre dentro da esfera de atuação da CVM, os Prestadores de Serviços Essenciais serão responsáveis apenas pela</w:t>
      </w:r>
      <w:r>
        <w:rPr>
          <w:spacing w:val="-7"/>
          <w:sz w:val="21"/>
        </w:rPr>
        <w:t xml:space="preserve"> </w:t>
      </w:r>
      <w:r>
        <w:rPr>
          <w:sz w:val="21"/>
        </w:rPr>
        <w:t>fiscalização de</w:t>
      </w:r>
      <w:r>
        <w:rPr>
          <w:spacing w:val="-4"/>
          <w:sz w:val="21"/>
        </w:rPr>
        <w:t xml:space="preserve"> </w:t>
      </w:r>
      <w:r>
        <w:rPr>
          <w:sz w:val="21"/>
        </w:rPr>
        <w:t>tal</w:t>
      </w:r>
      <w:r>
        <w:rPr>
          <w:spacing w:val="-4"/>
          <w:sz w:val="21"/>
        </w:rPr>
        <w:t xml:space="preserve"> </w:t>
      </w:r>
      <w:r>
        <w:rPr>
          <w:sz w:val="21"/>
        </w:rPr>
        <w:t>serviço.</w:t>
      </w:r>
      <w:r>
        <w:rPr>
          <w:sz w:val="21"/>
        </w:rPr>
        <w:t xml:space="preserve"> As atribuições e a</w:t>
      </w:r>
      <w:r>
        <w:rPr>
          <w:spacing w:val="-4"/>
          <w:sz w:val="21"/>
        </w:rPr>
        <w:t xml:space="preserve"> </w:t>
      </w:r>
      <w:r>
        <w:rPr>
          <w:sz w:val="21"/>
        </w:rPr>
        <w:t>responsabilidade</w:t>
      </w:r>
      <w:r>
        <w:rPr>
          <w:spacing w:val="-2"/>
          <w:sz w:val="21"/>
        </w:rPr>
        <w:t xml:space="preserve"> </w:t>
      </w:r>
      <w:r>
        <w:rPr>
          <w:sz w:val="21"/>
        </w:rPr>
        <w:t>pela prestação</w:t>
      </w:r>
      <w:r>
        <w:rPr>
          <w:spacing w:val="-14"/>
          <w:sz w:val="21"/>
        </w:rPr>
        <w:t xml:space="preserve"> </w:t>
      </w:r>
      <w:r>
        <w:rPr>
          <w:sz w:val="21"/>
        </w:rPr>
        <w:t>deste</w:t>
      </w:r>
      <w:r>
        <w:rPr>
          <w:spacing w:val="-15"/>
          <w:sz w:val="21"/>
        </w:rPr>
        <w:t xml:space="preserve"> </w:t>
      </w:r>
      <w:r>
        <w:rPr>
          <w:sz w:val="21"/>
        </w:rPr>
        <w:t>tipo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serviço</w:t>
      </w:r>
      <w:r>
        <w:rPr>
          <w:spacing w:val="-13"/>
          <w:sz w:val="21"/>
        </w:rPr>
        <w:t xml:space="preserve"> </w:t>
      </w:r>
      <w:r>
        <w:rPr>
          <w:sz w:val="21"/>
        </w:rPr>
        <w:t>perante</w:t>
      </w:r>
      <w:r>
        <w:rPr>
          <w:spacing w:val="-15"/>
          <w:sz w:val="21"/>
        </w:rPr>
        <w:t xml:space="preserve"> </w:t>
      </w:r>
      <w:r>
        <w:rPr>
          <w:sz w:val="21"/>
        </w:rPr>
        <w:t>o</w:t>
      </w:r>
      <w:r>
        <w:rPr>
          <w:spacing w:val="-13"/>
          <w:sz w:val="21"/>
        </w:rPr>
        <w:t xml:space="preserve"> </w:t>
      </w:r>
      <w:r>
        <w:rPr>
          <w:sz w:val="21"/>
        </w:rPr>
        <w:t>FUNDO</w:t>
      </w:r>
      <w:r>
        <w:rPr>
          <w:spacing w:val="-13"/>
          <w:sz w:val="21"/>
        </w:rPr>
        <w:t xml:space="preserve"> </w:t>
      </w:r>
      <w:r>
        <w:rPr>
          <w:sz w:val="21"/>
        </w:rPr>
        <w:t>e</w:t>
      </w:r>
      <w:r>
        <w:rPr>
          <w:spacing w:val="-13"/>
          <w:sz w:val="21"/>
        </w:rPr>
        <w:t xml:space="preserve"> </w:t>
      </w:r>
      <w:r>
        <w:rPr>
          <w:sz w:val="21"/>
        </w:rPr>
        <w:t>seus</w:t>
      </w:r>
      <w:r>
        <w:rPr>
          <w:spacing w:val="-11"/>
          <w:sz w:val="21"/>
        </w:rPr>
        <w:t xml:space="preserve"> </w:t>
      </w:r>
      <w:r>
        <w:rPr>
          <w:sz w:val="21"/>
        </w:rPr>
        <w:t>cotistas</w:t>
      </w:r>
      <w:r>
        <w:rPr>
          <w:spacing w:val="-11"/>
          <w:sz w:val="21"/>
        </w:rPr>
        <w:t xml:space="preserve"> </w:t>
      </w:r>
      <w:r>
        <w:rPr>
          <w:sz w:val="21"/>
        </w:rPr>
        <w:t>continuarão</w:t>
      </w:r>
      <w:r>
        <w:rPr>
          <w:spacing w:val="-15"/>
          <w:sz w:val="21"/>
        </w:rPr>
        <w:t xml:space="preserve"> </w:t>
      </w:r>
      <w:r>
        <w:rPr>
          <w:sz w:val="21"/>
        </w:rPr>
        <w:t>a</w:t>
      </w:r>
      <w:r>
        <w:rPr>
          <w:spacing w:val="-15"/>
          <w:sz w:val="21"/>
        </w:rPr>
        <w:t xml:space="preserve"> </w:t>
      </w:r>
      <w:r>
        <w:rPr>
          <w:sz w:val="21"/>
        </w:rPr>
        <w:t>exclusivo</w:t>
      </w:r>
      <w:r>
        <w:rPr>
          <w:spacing w:val="-12"/>
          <w:sz w:val="21"/>
        </w:rPr>
        <w:t xml:space="preserve"> </w:t>
      </w:r>
      <w:r>
        <w:rPr>
          <w:sz w:val="21"/>
        </w:rPr>
        <w:t>cargo do respectivo prestador de serviço ora contratado.</w:t>
      </w:r>
    </w:p>
    <w:p w:rsidR="00263A97" w:rsidRDefault="00D73B6D">
      <w:pPr>
        <w:pStyle w:val="PargrafodaLista"/>
        <w:numPr>
          <w:ilvl w:val="1"/>
          <w:numId w:val="12"/>
        </w:numPr>
        <w:tabs>
          <w:tab w:val="left" w:pos="1475"/>
        </w:tabs>
        <w:spacing w:before="118"/>
        <w:ind w:right="81" w:firstLine="0"/>
        <w:jc w:val="both"/>
        <w:rPr>
          <w:sz w:val="21"/>
        </w:rPr>
      </w:pPr>
      <w:r>
        <w:rPr>
          <w:sz w:val="21"/>
        </w:rPr>
        <w:t>Os Prestadores de Serviços Essenciais respondem, perante os cotistas, em suas respectivas esferas de atuação, por eventuais prejuízos causados em virtude de condutas contrárias a este regulamento ou</w:t>
      </w:r>
      <w:r>
        <w:rPr>
          <w:spacing w:val="-5"/>
          <w:sz w:val="21"/>
        </w:rPr>
        <w:t xml:space="preserve"> </w:t>
      </w:r>
      <w:r>
        <w:rPr>
          <w:sz w:val="21"/>
        </w:rPr>
        <w:t>à</w:t>
      </w:r>
      <w:r>
        <w:rPr>
          <w:spacing w:val="-3"/>
          <w:sz w:val="21"/>
        </w:rPr>
        <w:t xml:space="preserve"> </w:t>
      </w:r>
      <w:r>
        <w:rPr>
          <w:sz w:val="21"/>
        </w:rPr>
        <w:t>regulamentação</w:t>
      </w:r>
      <w:r>
        <w:rPr>
          <w:spacing w:val="-5"/>
          <w:sz w:val="21"/>
        </w:rPr>
        <w:t xml:space="preserve"> </w:t>
      </w:r>
      <w:r>
        <w:rPr>
          <w:sz w:val="21"/>
        </w:rPr>
        <w:t>aplicável, comprovados</w:t>
      </w:r>
      <w:r>
        <w:rPr>
          <w:spacing w:val="-1"/>
          <w:sz w:val="21"/>
        </w:rPr>
        <w:t xml:space="preserve"> </w:t>
      </w:r>
      <w:r>
        <w:rPr>
          <w:sz w:val="21"/>
        </w:rPr>
        <w:t>em sentença</w:t>
      </w:r>
      <w:r>
        <w:rPr>
          <w:spacing w:val="-3"/>
          <w:sz w:val="21"/>
        </w:rPr>
        <w:t xml:space="preserve"> </w:t>
      </w:r>
      <w:r>
        <w:rPr>
          <w:sz w:val="21"/>
        </w:rPr>
        <w:t>judic</w:t>
      </w:r>
      <w:r>
        <w:rPr>
          <w:sz w:val="21"/>
        </w:rPr>
        <w:t>ial ou</w:t>
      </w:r>
      <w:r>
        <w:rPr>
          <w:spacing w:val="-3"/>
          <w:sz w:val="21"/>
        </w:rPr>
        <w:t xml:space="preserve"> </w:t>
      </w:r>
      <w:r>
        <w:rPr>
          <w:sz w:val="21"/>
        </w:rPr>
        <w:t>arbitral</w:t>
      </w:r>
      <w:r>
        <w:rPr>
          <w:spacing w:val="-3"/>
          <w:sz w:val="21"/>
        </w:rPr>
        <w:t xml:space="preserve"> </w:t>
      </w:r>
      <w:r>
        <w:rPr>
          <w:sz w:val="21"/>
        </w:rPr>
        <w:t>transitada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em </w:t>
      </w:r>
      <w:r>
        <w:rPr>
          <w:spacing w:val="-2"/>
          <w:sz w:val="21"/>
        </w:rPr>
        <w:t>julgado.</w:t>
      </w:r>
    </w:p>
    <w:p w:rsidR="00263A97" w:rsidRDefault="00D73B6D">
      <w:pPr>
        <w:pStyle w:val="PargrafodaLista"/>
        <w:numPr>
          <w:ilvl w:val="2"/>
          <w:numId w:val="12"/>
        </w:numPr>
        <w:tabs>
          <w:tab w:val="left" w:pos="1755"/>
          <w:tab w:val="left" w:pos="1761"/>
        </w:tabs>
        <w:spacing w:before="124"/>
        <w:ind w:right="85" w:hanging="677"/>
        <w:jc w:val="both"/>
        <w:rPr>
          <w:sz w:val="21"/>
        </w:rPr>
      </w:pPr>
      <w:r>
        <w:rPr>
          <w:sz w:val="21"/>
        </w:rPr>
        <w:t>Os Prestadores de Serviços Essenciais não serão responsabilizados por prejuízos, danos ou perdas, inclusive de rentabilidade, que o FUNDO venha a sofrer em virtude da realização de suas operações.</w:t>
      </w:r>
    </w:p>
    <w:p w:rsidR="00263A97" w:rsidRDefault="00D73B6D">
      <w:pPr>
        <w:pStyle w:val="PargrafodaLista"/>
        <w:numPr>
          <w:ilvl w:val="1"/>
          <w:numId w:val="12"/>
        </w:numPr>
        <w:tabs>
          <w:tab w:val="left" w:pos="1475"/>
        </w:tabs>
        <w:spacing w:before="113"/>
        <w:ind w:right="81" w:firstLine="0"/>
        <w:jc w:val="both"/>
        <w:rPr>
          <w:sz w:val="21"/>
        </w:rPr>
      </w:pPr>
      <w:r>
        <w:rPr>
          <w:sz w:val="21"/>
        </w:rPr>
        <w:t>Não há solidariedade entre os prestadores de serviços do FUNDO, incluindo os Prestadores de Serviços Essenciais, e a contratação de outros prestadores de serviços não altera o regime de responsabilidade dos Prestadores de Serviços Essenciais e demais prest</w:t>
      </w:r>
      <w:r>
        <w:rPr>
          <w:sz w:val="21"/>
        </w:rPr>
        <w:t>adores de serviço perante os cotistas, o FUNDO ou a CVM.</w:t>
      </w:r>
    </w:p>
    <w:p w:rsidR="00263A97" w:rsidRDefault="00D73B6D">
      <w:pPr>
        <w:pStyle w:val="PargrafodaLista"/>
        <w:numPr>
          <w:ilvl w:val="1"/>
          <w:numId w:val="12"/>
        </w:numPr>
        <w:tabs>
          <w:tab w:val="left" w:pos="1475"/>
        </w:tabs>
        <w:spacing w:before="126"/>
        <w:ind w:right="71" w:firstLine="0"/>
        <w:jc w:val="both"/>
        <w:rPr>
          <w:sz w:val="21"/>
        </w:rPr>
      </w:pPr>
      <w:r>
        <w:rPr>
          <w:sz w:val="21"/>
        </w:rPr>
        <w:t>Os investimentos no FUNDO não são garantidos pelo ADMINISTRADOR, pelo GESTOR, por qualquer mecanismo de seguro ou pelo Fundo Garantidor de Crédito – FGC.</w:t>
      </w:r>
    </w:p>
    <w:p w:rsidR="00263A97" w:rsidRDefault="00263A97">
      <w:pPr>
        <w:pStyle w:val="Corpodetexto"/>
        <w:spacing w:before="37"/>
      </w:pPr>
    </w:p>
    <w:p w:rsidR="00263A97" w:rsidRDefault="00D73B6D">
      <w:pPr>
        <w:pStyle w:val="Ttulo1"/>
      </w:pPr>
      <w:r>
        <w:rPr>
          <w:sz w:val="22"/>
        </w:rPr>
        <w:t>CAPÍTULO</w:t>
      </w:r>
      <w:r>
        <w:rPr>
          <w:spacing w:val="-12"/>
          <w:sz w:val="22"/>
        </w:rPr>
        <w:t xml:space="preserve"> </w:t>
      </w:r>
      <w:r>
        <w:rPr>
          <w:sz w:val="22"/>
        </w:rPr>
        <w:t>3</w:t>
      </w:r>
      <w:r>
        <w:rPr>
          <w:spacing w:val="-10"/>
          <w:sz w:val="22"/>
        </w:rPr>
        <w:t xml:space="preserve"> </w:t>
      </w:r>
      <w:r>
        <w:rPr>
          <w:sz w:val="22"/>
        </w:rPr>
        <w:t>–</w:t>
      </w:r>
      <w:r>
        <w:rPr>
          <w:spacing w:val="-10"/>
          <w:sz w:val="22"/>
        </w:rPr>
        <w:t xml:space="preserve"> </w:t>
      </w:r>
      <w:r>
        <w:t>ENCARGOS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RATEIO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DESPESAS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CONTINGÊNCIAS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FUNDO</w:t>
      </w:r>
    </w:p>
    <w:p w:rsidR="00263A97" w:rsidRDefault="00263A97">
      <w:pPr>
        <w:pStyle w:val="Corpodetexto"/>
        <w:spacing w:before="33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11"/>
        </w:numPr>
        <w:tabs>
          <w:tab w:val="left" w:pos="1475"/>
        </w:tabs>
        <w:spacing w:line="242" w:lineRule="auto"/>
        <w:ind w:right="78" w:firstLine="0"/>
        <w:jc w:val="both"/>
        <w:rPr>
          <w:sz w:val="21"/>
        </w:rPr>
      </w:pPr>
      <w:r>
        <w:rPr>
          <w:sz w:val="21"/>
        </w:rPr>
        <w:t xml:space="preserve">O FUNDO terá encargos que lhe poderão ser </w:t>
      </w:r>
      <w:proofErr w:type="gramStart"/>
      <w:r>
        <w:rPr>
          <w:sz w:val="21"/>
        </w:rPr>
        <w:t>debitados</w:t>
      </w:r>
      <w:proofErr w:type="gramEnd"/>
      <w:r>
        <w:rPr>
          <w:sz w:val="21"/>
        </w:rPr>
        <w:t xml:space="preserve"> diretamente, nos termos da Resolução 175, e quaisquer despesas que não constituam encargos correm por conta do Prestador de Serviço Essencial que a tiver contratado.</w:t>
      </w:r>
    </w:p>
    <w:p w:rsidR="00263A97" w:rsidRDefault="00263A97">
      <w:pPr>
        <w:pStyle w:val="Corpodetexto"/>
        <w:spacing w:before="33"/>
      </w:pPr>
    </w:p>
    <w:p w:rsidR="00263A97" w:rsidRDefault="00D73B6D">
      <w:pPr>
        <w:ind w:left="797"/>
        <w:rPr>
          <w:rFonts w:ascii="Arial" w:hAnsi="Arial"/>
          <w:b/>
          <w:sz w:val="21"/>
        </w:rPr>
      </w:pPr>
      <w:r>
        <w:rPr>
          <w:rFonts w:ascii="Arial" w:hAnsi="Arial"/>
          <w:b/>
        </w:rPr>
        <w:t>CAPÍTULO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4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z w:val="21"/>
        </w:rPr>
        <w:t>ASSEMBLEIA</w:t>
      </w:r>
      <w:r>
        <w:rPr>
          <w:rFonts w:ascii="Arial" w:hAnsi="Arial"/>
          <w:b/>
          <w:spacing w:val="-13"/>
          <w:sz w:val="21"/>
        </w:rPr>
        <w:t xml:space="preserve"> </w:t>
      </w:r>
      <w:r>
        <w:rPr>
          <w:rFonts w:ascii="Arial" w:hAnsi="Arial"/>
          <w:b/>
          <w:sz w:val="21"/>
        </w:rPr>
        <w:t>GERAL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COTISTAS</w:t>
      </w:r>
    </w:p>
    <w:p w:rsidR="00263A97" w:rsidRDefault="00263A97">
      <w:pPr>
        <w:pStyle w:val="Corpodetexto"/>
        <w:spacing w:before="35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10"/>
        </w:numPr>
        <w:tabs>
          <w:tab w:val="left" w:pos="1475"/>
        </w:tabs>
        <w:spacing w:before="1"/>
        <w:ind w:right="78" w:firstLine="0"/>
        <w:jc w:val="both"/>
        <w:rPr>
          <w:sz w:val="21"/>
        </w:rPr>
      </w:pP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assembleia</w:t>
      </w:r>
      <w:r>
        <w:rPr>
          <w:spacing w:val="-5"/>
          <w:sz w:val="21"/>
        </w:rPr>
        <w:t xml:space="preserve"> </w:t>
      </w:r>
      <w:r>
        <w:rPr>
          <w:sz w:val="21"/>
        </w:rPr>
        <w:t>geral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cotistas</w:t>
      </w:r>
      <w:r>
        <w:rPr>
          <w:spacing w:val="-2"/>
          <w:sz w:val="21"/>
        </w:rPr>
        <w:t xml:space="preserve"> </w:t>
      </w:r>
      <w:r>
        <w:rPr>
          <w:sz w:val="21"/>
        </w:rPr>
        <w:t>é</w:t>
      </w:r>
      <w:r>
        <w:rPr>
          <w:spacing w:val="-5"/>
          <w:sz w:val="21"/>
        </w:rPr>
        <w:t xml:space="preserve"> </w:t>
      </w:r>
      <w:r>
        <w:rPr>
          <w:sz w:val="21"/>
        </w:rPr>
        <w:t>responsável</w:t>
      </w:r>
      <w:r>
        <w:rPr>
          <w:spacing w:val="-2"/>
          <w:sz w:val="21"/>
        </w:rPr>
        <w:t xml:space="preserve"> </w:t>
      </w:r>
      <w:r>
        <w:rPr>
          <w:sz w:val="21"/>
        </w:rPr>
        <w:t>por</w:t>
      </w:r>
      <w:r>
        <w:rPr>
          <w:spacing w:val="-4"/>
          <w:sz w:val="21"/>
        </w:rPr>
        <w:t xml:space="preserve"> </w:t>
      </w:r>
      <w:r>
        <w:rPr>
          <w:sz w:val="21"/>
        </w:rPr>
        <w:t>deliberar</w:t>
      </w:r>
      <w:r>
        <w:rPr>
          <w:spacing w:val="-4"/>
          <w:sz w:val="21"/>
        </w:rPr>
        <w:t xml:space="preserve"> </w:t>
      </w:r>
      <w:r>
        <w:rPr>
          <w:sz w:val="21"/>
        </w:rPr>
        <w:t>sobre</w:t>
      </w:r>
      <w:r>
        <w:rPr>
          <w:spacing w:val="-4"/>
          <w:sz w:val="21"/>
        </w:rPr>
        <w:t xml:space="preserve"> </w:t>
      </w:r>
      <w:r>
        <w:rPr>
          <w:sz w:val="21"/>
        </w:rPr>
        <w:t>as</w:t>
      </w:r>
      <w:r>
        <w:rPr>
          <w:spacing w:val="-2"/>
          <w:sz w:val="21"/>
        </w:rPr>
        <w:t xml:space="preserve"> </w:t>
      </w:r>
      <w:r>
        <w:rPr>
          <w:sz w:val="21"/>
        </w:rPr>
        <w:t>matérias</w:t>
      </w:r>
      <w:r>
        <w:rPr>
          <w:spacing w:val="-4"/>
          <w:sz w:val="21"/>
        </w:rPr>
        <w:t xml:space="preserve"> </w:t>
      </w:r>
      <w:r>
        <w:rPr>
          <w:sz w:val="21"/>
        </w:rPr>
        <w:t>comuns</w:t>
      </w:r>
      <w:r>
        <w:rPr>
          <w:spacing w:val="-2"/>
          <w:sz w:val="21"/>
        </w:rPr>
        <w:t xml:space="preserve"> </w:t>
      </w:r>
      <w:r>
        <w:rPr>
          <w:sz w:val="21"/>
        </w:rPr>
        <w:t>à</w:t>
      </w:r>
      <w:r>
        <w:rPr>
          <w:spacing w:val="-5"/>
          <w:sz w:val="21"/>
        </w:rPr>
        <w:t xml:space="preserve"> </w:t>
      </w:r>
      <w:r>
        <w:rPr>
          <w:sz w:val="21"/>
        </w:rPr>
        <w:t>classe</w:t>
      </w:r>
      <w:r>
        <w:rPr>
          <w:spacing w:val="-4"/>
          <w:sz w:val="21"/>
        </w:rPr>
        <w:t xml:space="preserve"> </w:t>
      </w:r>
      <w:r>
        <w:rPr>
          <w:sz w:val="21"/>
        </w:rPr>
        <w:t>de cotas, na forma prevista na Resolução 175 e alterações posteriores.</w:t>
      </w:r>
    </w:p>
    <w:p w:rsidR="00263A97" w:rsidRDefault="00D73B6D">
      <w:pPr>
        <w:pStyle w:val="PargrafodaLista"/>
        <w:numPr>
          <w:ilvl w:val="2"/>
          <w:numId w:val="10"/>
        </w:numPr>
        <w:tabs>
          <w:tab w:val="left" w:pos="1755"/>
          <w:tab w:val="left" w:pos="1761"/>
        </w:tabs>
        <w:spacing w:before="119"/>
        <w:ind w:right="83" w:hanging="677"/>
        <w:jc w:val="both"/>
        <w:rPr>
          <w:sz w:val="21"/>
        </w:rPr>
      </w:pPr>
      <w:r>
        <w:rPr>
          <w:sz w:val="21"/>
        </w:rPr>
        <w:t>A convocação ocorrerá, no mínimo, com 10 (dez) dias de antecedência da data da realização da assembleia, exclusivamente por meio eletrônico.</w:t>
      </w:r>
    </w:p>
    <w:p w:rsidR="00263A97" w:rsidRDefault="00D73B6D">
      <w:pPr>
        <w:pStyle w:val="PargrafodaLista"/>
        <w:numPr>
          <w:ilvl w:val="2"/>
          <w:numId w:val="10"/>
        </w:numPr>
        <w:tabs>
          <w:tab w:val="left" w:pos="1756"/>
        </w:tabs>
        <w:spacing w:before="124"/>
        <w:ind w:left="1756" w:hanging="669"/>
        <w:jc w:val="both"/>
        <w:rPr>
          <w:sz w:val="21"/>
        </w:rPr>
      </w:pP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instalação</w:t>
      </w:r>
      <w:r>
        <w:rPr>
          <w:spacing w:val="-9"/>
          <w:sz w:val="21"/>
        </w:rPr>
        <w:t xml:space="preserve"> </w:t>
      </w:r>
      <w:r>
        <w:rPr>
          <w:sz w:val="21"/>
        </w:rPr>
        <w:t>ocorrerá</w:t>
      </w:r>
      <w:r>
        <w:rPr>
          <w:spacing w:val="-8"/>
          <w:sz w:val="21"/>
        </w:rPr>
        <w:t xml:space="preserve"> </w:t>
      </w:r>
      <w:r>
        <w:rPr>
          <w:sz w:val="21"/>
        </w:rPr>
        <w:t>com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presença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qualquer</w:t>
      </w:r>
      <w:r>
        <w:rPr>
          <w:spacing w:val="-6"/>
          <w:sz w:val="21"/>
        </w:rPr>
        <w:t xml:space="preserve"> </w:t>
      </w:r>
      <w:r>
        <w:rPr>
          <w:sz w:val="21"/>
        </w:rPr>
        <w:t>número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cotistas.</w:t>
      </w:r>
    </w:p>
    <w:p w:rsidR="00263A97" w:rsidRDefault="00D73B6D">
      <w:pPr>
        <w:pStyle w:val="PargrafodaLista"/>
        <w:numPr>
          <w:ilvl w:val="2"/>
          <w:numId w:val="10"/>
        </w:numPr>
        <w:tabs>
          <w:tab w:val="left" w:pos="1756"/>
        </w:tabs>
        <w:spacing w:before="119"/>
        <w:ind w:left="1756" w:hanging="669"/>
        <w:jc w:val="both"/>
        <w:rPr>
          <w:sz w:val="21"/>
        </w:rPr>
      </w:pPr>
      <w:r>
        <w:rPr>
          <w:sz w:val="21"/>
        </w:rPr>
        <w:t>A</w:t>
      </w:r>
      <w:r>
        <w:rPr>
          <w:spacing w:val="-12"/>
          <w:sz w:val="21"/>
        </w:rPr>
        <w:t xml:space="preserve"> </w:t>
      </w:r>
      <w:r>
        <w:rPr>
          <w:sz w:val="21"/>
        </w:rPr>
        <w:t>presença</w:t>
      </w:r>
      <w:r>
        <w:rPr>
          <w:spacing w:val="-10"/>
          <w:sz w:val="21"/>
        </w:rPr>
        <w:t xml:space="preserve"> </w:t>
      </w:r>
      <w:r>
        <w:rPr>
          <w:sz w:val="21"/>
        </w:rPr>
        <w:t>da</w:t>
      </w:r>
      <w:r>
        <w:rPr>
          <w:spacing w:val="-7"/>
          <w:sz w:val="21"/>
        </w:rPr>
        <w:t xml:space="preserve"> </w:t>
      </w:r>
      <w:r>
        <w:rPr>
          <w:sz w:val="21"/>
        </w:rPr>
        <w:t>totalidade</w:t>
      </w:r>
      <w:r>
        <w:rPr>
          <w:spacing w:val="-8"/>
          <w:sz w:val="21"/>
        </w:rPr>
        <w:t xml:space="preserve"> </w:t>
      </w:r>
      <w:r>
        <w:rPr>
          <w:sz w:val="21"/>
        </w:rPr>
        <w:t>dos</w:t>
      </w:r>
      <w:r>
        <w:rPr>
          <w:spacing w:val="-4"/>
          <w:sz w:val="21"/>
        </w:rPr>
        <w:t xml:space="preserve"> </w:t>
      </w:r>
      <w:r>
        <w:rPr>
          <w:sz w:val="21"/>
        </w:rPr>
        <w:t>cotistas</w:t>
      </w:r>
      <w:r>
        <w:rPr>
          <w:spacing w:val="-6"/>
          <w:sz w:val="21"/>
        </w:rPr>
        <w:t xml:space="preserve"> </w:t>
      </w:r>
      <w:r>
        <w:rPr>
          <w:sz w:val="21"/>
        </w:rPr>
        <w:t>suprirá</w:t>
      </w:r>
      <w:r>
        <w:rPr>
          <w:spacing w:val="-10"/>
          <w:sz w:val="21"/>
        </w:rPr>
        <w:t xml:space="preserve"> </w:t>
      </w:r>
      <w:r>
        <w:rPr>
          <w:sz w:val="21"/>
        </w:rPr>
        <w:t>eventual</w:t>
      </w:r>
      <w:r>
        <w:rPr>
          <w:spacing w:val="-8"/>
          <w:sz w:val="21"/>
        </w:rPr>
        <w:t xml:space="preserve"> </w:t>
      </w:r>
      <w:r>
        <w:rPr>
          <w:sz w:val="21"/>
        </w:rPr>
        <w:t>ausência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convocação.</w:t>
      </w:r>
    </w:p>
    <w:p w:rsidR="00263A97" w:rsidRDefault="00D73B6D">
      <w:pPr>
        <w:pStyle w:val="PargrafodaLista"/>
        <w:numPr>
          <w:ilvl w:val="2"/>
          <w:numId w:val="10"/>
        </w:numPr>
        <w:tabs>
          <w:tab w:val="left" w:pos="1755"/>
          <w:tab w:val="left" w:pos="1761"/>
        </w:tabs>
        <w:spacing w:before="118" w:line="242" w:lineRule="auto"/>
        <w:ind w:right="74" w:hanging="677"/>
        <w:jc w:val="both"/>
        <w:rPr>
          <w:sz w:val="21"/>
        </w:rPr>
      </w:pPr>
      <w:r>
        <w:rPr>
          <w:sz w:val="21"/>
        </w:rPr>
        <w:t>Serão utilizados quaisquer meios ou canais, conforme especificados no respectivo aviso de convocação, para a coleta das manifestações dos cotistas.</w:t>
      </w:r>
    </w:p>
    <w:p w:rsidR="00263A97" w:rsidRDefault="00D73B6D">
      <w:pPr>
        <w:pStyle w:val="PargrafodaLista"/>
        <w:numPr>
          <w:ilvl w:val="2"/>
          <w:numId w:val="10"/>
        </w:numPr>
        <w:tabs>
          <w:tab w:val="left" w:pos="1755"/>
          <w:tab w:val="left" w:pos="1761"/>
        </w:tabs>
        <w:spacing w:before="115"/>
        <w:ind w:right="83" w:hanging="677"/>
        <w:jc w:val="both"/>
        <w:rPr>
          <w:sz w:val="21"/>
        </w:rPr>
      </w:pPr>
      <w:r>
        <w:rPr>
          <w:sz w:val="21"/>
        </w:rPr>
        <w:t>A cada</w:t>
      </w:r>
      <w:r>
        <w:rPr>
          <w:spacing w:val="-2"/>
          <w:sz w:val="21"/>
        </w:rPr>
        <w:t xml:space="preserve"> </w:t>
      </w:r>
      <w:r>
        <w:rPr>
          <w:sz w:val="21"/>
        </w:rPr>
        <w:t>cotista</w:t>
      </w:r>
      <w:r>
        <w:rPr>
          <w:spacing w:val="-4"/>
          <w:sz w:val="21"/>
        </w:rPr>
        <w:t xml:space="preserve"> </w:t>
      </w:r>
      <w:r>
        <w:rPr>
          <w:sz w:val="21"/>
        </w:rPr>
        <w:t>cabe</w:t>
      </w:r>
      <w:r>
        <w:rPr>
          <w:spacing w:val="-2"/>
          <w:sz w:val="21"/>
        </w:rPr>
        <w:t xml:space="preserve"> </w:t>
      </w:r>
      <w:r>
        <w:rPr>
          <w:sz w:val="21"/>
        </w:rPr>
        <w:t>uma</w:t>
      </w:r>
      <w:r>
        <w:rPr>
          <w:spacing w:val="-1"/>
          <w:sz w:val="21"/>
        </w:rPr>
        <w:t xml:space="preserve"> </w:t>
      </w:r>
      <w:r>
        <w:rPr>
          <w:sz w:val="21"/>
        </w:rPr>
        <w:t>quantidade de</w:t>
      </w:r>
      <w:r>
        <w:rPr>
          <w:spacing w:val="-3"/>
          <w:sz w:val="21"/>
        </w:rPr>
        <w:t xml:space="preserve"> </w:t>
      </w:r>
      <w:r>
        <w:rPr>
          <w:sz w:val="21"/>
        </w:rPr>
        <w:t>votos representativa</w:t>
      </w:r>
      <w:r>
        <w:rPr>
          <w:spacing w:val="-3"/>
          <w:sz w:val="21"/>
        </w:rPr>
        <w:t xml:space="preserve"> </w:t>
      </w:r>
      <w:r>
        <w:rPr>
          <w:sz w:val="21"/>
        </w:rPr>
        <w:t>de sua participação</w:t>
      </w:r>
      <w:r>
        <w:rPr>
          <w:spacing w:val="-4"/>
          <w:sz w:val="21"/>
        </w:rPr>
        <w:t xml:space="preserve"> </w:t>
      </w:r>
      <w:r>
        <w:rPr>
          <w:sz w:val="21"/>
        </w:rPr>
        <w:t>na classe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de </w:t>
      </w:r>
      <w:r>
        <w:rPr>
          <w:spacing w:val="-2"/>
          <w:sz w:val="21"/>
        </w:rPr>
        <w:t>cotas.</w:t>
      </w:r>
    </w:p>
    <w:p w:rsidR="00263A97" w:rsidRDefault="00D73B6D">
      <w:pPr>
        <w:pStyle w:val="PargrafodaLista"/>
        <w:numPr>
          <w:ilvl w:val="2"/>
          <w:numId w:val="10"/>
        </w:numPr>
        <w:tabs>
          <w:tab w:val="left" w:pos="1755"/>
          <w:tab w:val="left" w:pos="1761"/>
        </w:tabs>
        <w:spacing w:before="119"/>
        <w:ind w:right="80" w:hanging="677"/>
        <w:jc w:val="both"/>
        <w:rPr>
          <w:sz w:val="21"/>
        </w:rPr>
      </w:pPr>
      <w:r>
        <w:rPr>
          <w:sz w:val="21"/>
        </w:rPr>
        <w:t>O quórum para</w:t>
      </w:r>
      <w:r>
        <w:rPr>
          <w:spacing w:val="-1"/>
          <w:sz w:val="21"/>
        </w:rPr>
        <w:t xml:space="preserve"> </w:t>
      </w:r>
      <w:r>
        <w:rPr>
          <w:sz w:val="21"/>
        </w:rPr>
        <w:t>aprovação é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maioria simples dos votos dos presentes, independentemente da matéria.</w:t>
      </w:r>
    </w:p>
    <w:p w:rsidR="00263A97" w:rsidRDefault="00D73B6D">
      <w:pPr>
        <w:pStyle w:val="PargrafodaLista"/>
        <w:numPr>
          <w:ilvl w:val="2"/>
          <w:numId w:val="10"/>
        </w:numPr>
        <w:tabs>
          <w:tab w:val="left" w:pos="1755"/>
          <w:tab w:val="left" w:pos="1761"/>
        </w:tabs>
        <w:spacing w:before="120" w:line="242" w:lineRule="auto"/>
        <w:ind w:right="82" w:hanging="677"/>
        <w:jc w:val="both"/>
        <w:rPr>
          <w:sz w:val="21"/>
        </w:rPr>
      </w:pPr>
      <w:r>
        <w:rPr>
          <w:sz w:val="21"/>
        </w:rPr>
        <w:t xml:space="preserve">As deliberações relativas exclusivamente às demonstrações contábeis que não contiverem opinião modificada podem ser </w:t>
      </w:r>
      <w:r>
        <w:rPr>
          <w:sz w:val="21"/>
        </w:rPr>
        <w:t>consideradas automaticamente aprovadas caso a assembleia correspondente não seja instalada em virtude do não comparecimento de quaisquer cotistas.</w:t>
      </w:r>
    </w:p>
    <w:p w:rsidR="00263A97" w:rsidRDefault="00D73B6D">
      <w:pPr>
        <w:pStyle w:val="PargrafodaLista"/>
        <w:numPr>
          <w:ilvl w:val="1"/>
          <w:numId w:val="10"/>
        </w:numPr>
        <w:tabs>
          <w:tab w:val="left" w:pos="1475"/>
        </w:tabs>
        <w:spacing w:before="113"/>
        <w:ind w:right="76" w:firstLine="0"/>
        <w:jc w:val="both"/>
        <w:rPr>
          <w:sz w:val="21"/>
        </w:rPr>
      </w:pPr>
      <w:r>
        <w:rPr>
          <w:sz w:val="21"/>
        </w:rPr>
        <w:t>As deliberações privativas de assembleia de cotistas poderão ser adotadas em consulta formal, por</w:t>
      </w:r>
      <w:r>
        <w:rPr>
          <w:spacing w:val="-6"/>
          <w:sz w:val="21"/>
        </w:rPr>
        <w:t xml:space="preserve"> </w:t>
      </w:r>
      <w:r>
        <w:rPr>
          <w:sz w:val="21"/>
        </w:rPr>
        <w:t>meio</w:t>
      </w:r>
      <w:r>
        <w:rPr>
          <w:spacing w:val="-5"/>
          <w:sz w:val="21"/>
        </w:rPr>
        <w:t xml:space="preserve"> </w:t>
      </w:r>
      <w:r>
        <w:rPr>
          <w:sz w:val="21"/>
        </w:rPr>
        <w:t>eletrô</w:t>
      </w:r>
      <w:r>
        <w:rPr>
          <w:sz w:val="21"/>
        </w:rPr>
        <w:t>nico,</w:t>
      </w:r>
      <w:r>
        <w:rPr>
          <w:spacing w:val="-4"/>
          <w:sz w:val="21"/>
        </w:rPr>
        <w:t xml:space="preserve"> </w:t>
      </w:r>
      <w:r>
        <w:rPr>
          <w:sz w:val="21"/>
        </w:rPr>
        <w:t>dirigido</w:t>
      </w:r>
      <w:r>
        <w:rPr>
          <w:spacing w:val="-10"/>
          <w:sz w:val="21"/>
        </w:rPr>
        <w:t xml:space="preserve"> </w:t>
      </w:r>
      <w:r>
        <w:rPr>
          <w:sz w:val="21"/>
        </w:rPr>
        <w:t>pelo</w:t>
      </w:r>
      <w:r>
        <w:rPr>
          <w:spacing w:val="-8"/>
          <w:sz w:val="21"/>
        </w:rPr>
        <w:t xml:space="preserve"> </w:t>
      </w:r>
      <w:r>
        <w:rPr>
          <w:sz w:val="21"/>
        </w:rPr>
        <w:t>ADMINISTRADOR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cada</w:t>
      </w:r>
      <w:r>
        <w:rPr>
          <w:spacing w:val="-6"/>
          <w:sz w:val="21"/>
        </w:rPr>
        <w:t xml:space="preserve"> </w:t>
      </w:r>
      <w:r>
        <w:rPr>
          <w:sz w:val="21"/>
        </w:rPr>
        <w:t>cotista,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10"/>
          <w:sz w:val="21"/>
        </w:rPr>
        <w:t xml:space="preserve"> </w:t>
      </w:r>
      <w:r>
        <w:rPr>
          <w:sz w:val="21"/>
        </w:rPr>
        <w:t>resposta</w:t>
      </w:r>
      <w:r>
        <w:rPr>
          <w:spacing w:val="-5"/>
          <w:sz w:val="21"/>
        </w:rPr>
        <w:t xml:space="preserve"> </w:t>
      </w:r>
      <w:r>
        <w:rPr>
          <w:sz w:val="21"/>
        </w:rPr>
        <w:t>no</w:t>
      </w:r>
      <w:r>
        <w:rPr>
          <w:spacing w:val="-8"/>
          <w:sz w:val="21"/>
        </w:rPr>
        <w:t xml:space="preserve"> </w:t>
      </w:r>
      <w:r>
        <w:rPr>
          <w:sz w:val="21"/>
        </w:rPr>
        <w:t>prazo</w:t>
      </w:r>
      <w:r>
        <w:rPr>
          <w:spacing w:val="-8"/>
          <w:sz w:val="21"/>
        </w:rPr>
        <w:t xml:space="preserve"> </w:t>
      </w:r>
      <w:r>
        <w:rPr>
          <w:sz w:val="21"/>
        </w:rPr>
        <w:t>mínimo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proofErr w:type="gramStart"/>
      <w:r>
        <w:rPr>
          <w:sz w:val="21"/>
        </w:rPr>
        <w:t>10</w:t>
      </w:r>
      <w:proofErr w:type="gramEnd"/>
    </w:p>
    <w:p w:rsidR="00263A97" w:rsidRDefault="00263A97">
      <w:pPr>
        <w:pStyle w:val="PargrafodaLista"/>
        <w:rPr>
          <w:sz w:val="21"/>
        </w:rPr>
        <w:sectPr w:rsidR="00263A97">
          <w:pgSz w:w="11910" w:h="16840"/>
          <w:pgMar w:top="1960" w:right="992" w:bottom="380" w:left="283" w:header="1468" w:footer="186" w:gutter="0"/>
          <w:cols w:space="720"/>
        </w:sectPr>
      </w:pPr>
    </w:p>
    <w:p w:rsidR="00263A97" w:rsidRDefault="00263A97">
      <w:pPr>
        <w:pStyle w:val="Corpodetexto"/>
      </w:pPr>
    </w:p>
    <w:p w:rsidR="00263A97" w:rsidRDefault="00263A97">
      <w:pPr>
        <w:pStyle w:val="Corpodetexto"/>
        <w:spacing w:before="38"/>
      </w:pPr>
    </w:p>
    <w:p w:rsidR="00263A97" w:rsidRDefault="00D73B6D">
      <w:pPr>
        <w:pStyle w:val="Corpodetexto"/>
        <w:spacing w:before="1"/>
        <w:ind w:left="797"/>
      </w:pPr>
      <w:r>
        <w:t>(dez)</w:t>
      </w:r>
      <w:r>
        <w:rPr>
          <w:spacing w:val="-17"/>
        </w:rPr>
        <w:t xml:space="preserve"> </w:t>
      </w:r>
      <w:r>
        <w:t>dias</w:t>
      </w:r>
      <w:r>
        <w:rPr>
          <w:spacing w:val="-15"/>
        </w:rPr>
        <w:t xml:space="preserve"> </w:t>
      </w:r>
      <w:r>
        <w:t>corridos</w:t>
      </w:r>
      <w:r>
        <w:rPr>
          <w:spacing w:val="-15"/>
        </w:rPr>
        <w:t xml:space="preserve"> </w:t>
      </w:r>
      <w:r>
        <w:t>contado</w:t>
      </w:r>
      <w:r>
        <w:rPr>
          <w:spacing w:val="-19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consulta.</w:t>
      </w:r>
      <w:r>
        <w:rPr>
          <w:spacing w:val="-17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quórum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deliberação</w:t>
      </w:r>
      <w:r>
        <w:rPr>
          <w:spacing w:val="-18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consulta</w:t>
      </w:r>
      <w:r>
        <w:rPr>
          <w:spacing w:val="-19"/>
        </w:rPr>
        <w:t xml:space="preserve"> </w:t>
      </w:r>
      <w:r>
        <w:t>formal</w:t>
      </w:r>
      <w:r>
        <w:rPr>
          <w:spacing w:val="-14"/>
        </w:rPr>
        <w:t xml:space="preserve"> </w:t>
      </w:r>
      <w:r>
        <w:t>é</w:t>
      </w:r>
      <w:r>
        <w:rPr>
          <w:spacing w:val="-1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maioria</w:t>
      </w:r>
      <w:r>
        <w:rPr>
          <w:spacing w:val="-20"/>
        </w:rPr>
        <w:t xml:space="preserve"> </w:t>
      </w:r>
      <w:r>
        <w:t>simples, independentemente da matéria.</w:t>
      </w:r>
    </w:p>
    <w:p w:rsidR="00263A97" w:rsidRDefault="00D73B6D">
      <w:pPr>
        <w:pStyle w:val="PargrafodaLista"/>
        <w:numPr>
          <w:ilvl w:val="1"/>
          <w:numId w:val="10"/>
        </w:numPr>
        <w:tabs>
          <w:tab w:val="left" w:pos="1475"/>
        </w:tabs>
        <w:spacing w:before="124"/>
        <w:ind w:right="78" w:firstLine="0"/>
        <w:jc w:val="both"/>
        <w:rPr>
          <w:sz w:val="21"/>
        </w:rPr>
      </w:pPr>
      <w:r>
        <w:rPr>
          <w:sz w:val="21"/>
        </w:rPr>
        <w:t>Este regulamento pode ser alterado, independentemente da assembleia geral de cotistas, nos casos previstos na Resolução 175.</w:t>
      </w:r>
    </w:p>
    <w:p w:rsidR="00263A97" w:rsidRDefault="00263A97">
      <w:pPr>
        <w:pStyle w:val="Corpodetexto"/>
        <w:spacing w:before="34"/>
      </w:pPr>
    </w:p>
    <w:p w:rsidR="00263A97" w:rsidRDefault="00D73B6D">
      <w:pPr>
        <w:pStyle w:val="Ttulo1"/>
      </w:pPr>
      <w:r>
        <w:rPr>
          <w:sz w:val="22"/>
        </w:rPr>
        <w:t>CAPÍTULO</w:t>
      </w:r>
      <w:r>
        <w:rPr>
          <w:spacing w:val="-13"/>
          <w:sz w:val="22"/>
        </w:rPr>
        <w:t xml:space="preserve"> </w:t>
      </w:r>
      <w:r>
        <w:rPr>
          <w:sz w:val="22"/>
        </w:rPr>
        <w:t>5</w:t>
      </w:r>
      <w:r>
        <w:rPr>
          <w:spacing w:val="-11"/>
          <w:sz w:val="22"/>
        </w:rPr>
        <w:t xml:space="preserve"> </w:t>
      </w:r>
      <w:r>
        <w:rPr>
          <w:sz w:val="22"/>
        </w:rPr>
        <w:t>–</w:t>
      </w:r>
      <w:r>
        <w:rPr>
          <w:spacing w:val="-12"/>
          <w:sz w:val="22"/>
        </w:rPr>
        <w:t xml:space="preserve"> </w:t>
      </w:r>
      <w:r>
        <w:t>DIVULGAÇÃO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INFORMAÇÕES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SERVIÇO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ATENDIMENTO</w:t>
      </w:r>
      <w:r>
        <w:rPr>
          <w:spacing w:val="-5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rPr>
          <w:spacing w:val="-2"/>
        </w:rPr>
        <w:t>COTISTA</w:t>
      </w:r>
    </w:p>
    <w:p w:rsidR="00263A97" w:rsidRDefault="00263A97">
      <w:pPr>
        <w:pStyle w:val="Corpodetexto"/>
        <w:spacing w:before="36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9"/>
        </w:numPr>
        <w:tabs>
          <w:tab w:val="left" w:pos="1475"/>
        </w:tabs>
        <w:ind w:right="80" w:firstLine="0"/>
        <w:jc w:val="both"/>
        <w:rPr>
          <w:sz w:val="21"/>
        </w:rPr>
      </w:pPr>
      <w:r>
        <w:rPr>
          <w:sz w:val="21"/>
        </w:rPr>
        <w:t>Os Prestadores de Serviços Essenciais disponibilizarão</w:t>
      </w:r>
      <w:r>
        <w:rPr>
          <w:sz w:val="21"/>
        </w:rPr>
        <w:t xml:space="preserve"> em suas páginas na rede mundial de computadores ou encaminharão de forma eletrônica as informações de envio obrigatório previstas na regulamentação aplicável.</w:t>
      </w:r>
    </w:p>
    <w:p w:rsidR="00263A97" w:rsidRDefault="00D73B6D">
      <w:pPr>
        <w:pStyle w:val="PargrafodaLista"/>
        <w:numPr>
          <w:ilvl w:val="1"/>
          <w:numId w:val="9"/>
        </w:numPr>
        <w:tabs>
          <w:tab w:val="left" w:pos="1475"/>
        </w:tabs>
        <w:spacing w:before="120" w:line="242" w:lineRule="auto"/>
        <w:ind w:right="83" w:firstLine="0"/>
        <w:jc w:val="both"/>
        <w:rPr>
          <w:sz w:val="21"/>
        </w:rPr>
      </w:pPr>
      <w:r>
        <w:rPr>
          <w:sz w:val="21"/>
        </w:rPr>
        <w:t>O</w:t>
      </w:r>
      <w:r>
        <w:rPr>
          <w:spacing w:val="-15"/>
          <w:sz w:val="21"/>
        </w:rPr>
        <w:t xml:space="preserve"> </w:t>
      </w:r>
      <w:r>
        <w:rPr>
          <w:sz w:val="21"/>
        </w:rPr>
        <w:t>ADMINISTRADOR</w:t>
      </w:r>
      <w:r>
        <w:rPr>
          <w:spacing w:val="-15"/>
          <w:sz w:val="21"/>
        </w:rPr>
        <w:t xml:space="preserve"> </w:t>
      </w:r>
      <w:r>
        <w:rPr>
          <w:sz w:val="21"/>
        </w:rPr>
        <w:t>mantém</w:t>
      </w:r>
      <w:r>
        <w:rPr>
          <w:spacing w:val="-12"/>
          <w:sz w:val="21"/>
        </w:rPr>
        <w:t xml:space="preserve"> </w:t>
      </w:r>
      <w:r>
        <w:rPr>
          <w:sz w:val="21"/>
        </w:rPr>
        <w:t>serviço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atendimento</w:t>
      </w:r>
      <w:r>
        <w:rPr>
          <w:spacing w:val="-11"/>
          <w:sz w:val="21"/>
        </w:rPr>
        <w:t xml:space="preserve"> </w:t>
      </w:r>
      <w:r>
        <w:rPr>
          <w:sz w:val="21"/>
        </w:rPr>
        <w:t>ao</w:t>
      </w:r>
      <w:r>
        <w:rPr>
          <w:spacing w:val="-13"/>
          <w:sz w:val="21"/>
        </w:rPr>
        <w:t xml:space="preserve"> </w:t>
      </w:r>
      <w:r>
        <w:rPr>
          <w:sz w:val="21"/>
        </w:rPr>
        <w:t>cotista,</w:t>
      </w:r>
      <w:r>
        <w:rPr>
          <w:spacing w:val="-13"/>
          <w:sz w:val="21"/>
        </w:rPr>
        <w:t xml:space="preserve"> </w:t>
      </w:r>
      <w:r>
        <w:rPr>
          <w:sz w:val="21"/>
        </w:rPr>
        <w:t>responsável</w:t>
      </w:r>
      <w:r>
        <w:rPr>
          <w:spacing w:val="-15"/>
          <w:sz w:val="21"/>
        </w:rPr>
        <w:t xml:space="preserve"> </w:t>
      </w:r>
      <w:r>
        <w:rPr>
          <w:sz w:val="21"/>
        </w:rPr>
        <w:t>pelo</w:t>
      </w:r>
      <w:r>
        <w:rPr>
          <w:spacing w:val="-12"/>
          <w:sz w:val="21"/>
        </w:rPr>
        <w:t xml:space="preserve"> </w:t>
      </w:r>
      <w:r>
        <w:rPr>
          <w:sz w:val="21"/>
        </w:rPr>
        <w:t>esclarecimento de dúvidas e pelo recebimento de reclamações, que pode ser acessado nos meios abaixo:</w:t>
      </w:r>
    </w:p>
    <w:p w:rsidR="00263A97" w:rsidRDefault="00263A97">
      <w:pPr>
        <w:pStyle w:val="Corpodetexto"/>
        <w:rPr>
          <w:sz w:val="20"/>
        </w:rPr>
      </w:pPr>
    </w:p>
    <w:p w:rsidR="00263A97" w:rsidRDefault="00263A97">
      <w:pPr>
        <w:pStyle w:val="Corpodetexto"/>
        <w:spacing w:before="24" w:after="1"/>
        <w:rPr>
          <w:sz w:val="20"/>
        </w:rPr>
      </w:pPr>
    </w:p>
    <w:tbl>
      <w:tblPr>
        <w:tblStyle w:val="TableNormal"/>
        <w:tblW w:w="0" w:type="auto"/>
        <w:tblInd w:w="25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3722"/>
      </w:tblGrid>
      <w:tr w:rsidR="00263A97">
        <w:trPr>
          <w:trHeight w:val="390"/>
        </w:trPr>
        <w:tc>
          <w:tcPr>
            <w:tcW w:w="2515" w:type="dxa"/>
            <w:shd w:val="clear" w:color="auto" w:fill="E26B0A"/>
          </w:tcPr>
          <w:p w:rsidR="00263A97" w:rsidRDefault="00D73B6D">
            <w:pPr>
              <w:pStyle w:val="TableParagraph"/>
              <w:spacing w:before="33"/>
              <w:ind w:left="23" w:right="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Website</w:t>
            </w:r>
          </w:p>
        </w:tc>
        <w:tc>
          <w:tcPr>
            <w:tcW w:w="3722" w:type="dxa"/>
          </w:tcPr>
          <w:p w:rsidR="00263A97" w:rsidRDefault="00D73B6D">
            <w:pPr>
              <w:pStyle w:val="TableParagraph"/>
              <w:spacing w:before="33"/>
              <w:ind w:left="29"/>
              <w:jc w:val="center"/>
              <w:rPr>
                <w:sz w:val="21"/>
              </w:rPr>
            </w:pPr>
            <w:hyperlink r:id="rId10">
              <w:r>
                <w:rPr>
                  <w:color w:val="0000FF"/>
                  <w:spacing w:val="-2"/>
                  <w:sz w:val="21"/>
                  <w:u w:val="single" w:color="0000FF"/>
                </w:rPr>
                <w:t>http://www.dillon.com.br/index.html</w:t>
              </w:r>
            </w:hyperlink>
          </w:p>
        </w:tc>
      </w:tr>
      <w:tr w:rsidR="00263A97">
        <w:trPr>
          <w:trHeight w:val="350"/>
        </w:trPr>
        <w:tc>
          <w:tcPr>
            <w:tcW w:w="2515" w:type="dxa"/>
            <w:shd w:val="clear" w:color="auto" w:fill="E26B0A"/>
          </w:tcPr>
          <w:p w:rsidR="00263A97" w:rsidRDefault="00D73B6D">
            <w:pPr>
              <w:pStyle w:val="TableParagraph"/>
              <w:spacing w:before="33"/>
              <w:ind w:left="23"/>
              <w:jc w:val="center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Ouvidoria</w:t>
            </w:r>
          </w:p>
        </w:tc>
        <w:tc>
          <w:tcPr>
            <w:tcW w:w="3722" w:type="dxa"/>
          </w:tcPr>
          <w:p w:rsidR="00263A97" w:rsidRDefault="00D73B6D">
            <w:pPr>
              <w:pStyle w:val="TableParagraph"/>
              <w:spacing w:before="33"/>
              <w:ind w:left="29" w:right="6"/>
              <w:jc w:val="center"/>
              <w:rPr>
                <w:sz w:val="21"/>
              </w:rPr>
            </w:pPr>
            <w:r>
              <w:rPr>
                <w:sz w:val="21"/>
              </w:rPr>
              <w:t>0800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723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1388</w:t>
            </w:r>
          </w:p>
        </w:tc>
      </w:tr>
    </w:tbl>
    <w:p w:rsidR="00263A97" w:rsidRDefault="00263A97">
      <w:pPr>
        <w:pStyle w:val="Corpodetexto"/>
        <w:spacing w:before="113"/>
      </w:pPr>
    </w:p>
    <w:p w:rsidR="00263A97" w:rsidRDefault="00D73B6D">
      <w:pPr>
        <w:spacing w:before="1"/>
        <w:ind w:left="923" w:right="202"/>
        <w:jc w:val="center"/>
        <w:rPr>
          <w:sz w:val="21"/>
        </w:rPr>
      </w:pPr>
      <w:r>
        <w:rPr>
          <w:sz w:val="21"/>
        </w:rPr>
        <w:t>*</w:t>
      </w:r>
      <w:r>
        <w:rPr>
          <w:spacing w:val="-2"/>
          <w:sz w:val="21"/>
        </w:rPr>
        <w:t xml:space="preserve"> </w:t>
      </w:r>
      <w:r>
        <w:rPr>
          <w:sz w:val="21"/>
        </w:rPr>
        <w:t>*</w:t>
      </w:r>
      <w:r>
        <w:rPr>
          <w:spacing w:val="-2"/>
          <w:sz w:val="21"/>
        </w:rPr>
        <w:t xml:space="preserve"> </w:t>
      </w:r>
      <w:r>
        <w:rPr>
          <w:spacing w:val="-10"/>
          <w:sz w:val="21"/>
        </w:rPr>
        <w:t>*</w:t>
      </w:r>
    </w:p>
    <w:p w:rsidR="00263A97" w:rsidRDefault="00263A97">
      <w:pPr>
        <w:jc w:val="center"/>
        <w:rPr>
          <w:sz w:val="21"/>
        </w:rPr>
        <w:sectPr w:rsidR="00263A97">
          <w:pgSz w:w="11910" w:h="16840"/>
          <w:pgMar w:top="1960" w:right="992" w:bottom="380" w:left="283" w:header="1468" w:footer="186" w:gutter="0"/>
          <w:cols w:space="720"/>
        </w:sectPr>
      </w:pPr>
    </w:p>
    <w:p w:rsidR="00263A97" w:rsidRDefault="00263A97">
      <w:pPr>
        <w:pStyle w:val="Corpodetexto"/>
      </w:pPr>
    </w:p>
    <w:p w:rsidR="00263A97" w:rsidRDefault="00263A97">
      <w:pPr>
        <w:pStyle w:val="Corpodetexto"/>
        <w:spacing w:before="65"/>
      </w:pPr>
    </w:p>
    <w:p w:rsidR="00263A97" w:rsidRDefault="00D73B6D">
      <w:pPr>
        <w:pStyle w:val="Ttulo1"/>
        <w:ind w:left="923" w:right="202"/>
        <w:jc w:val="center"/>
      </w:pPr>
      <w:r>
        <w:rPr>
          <w:u w:val="single"/>
        </w:rPr>
        <w:t>ANEXO</w:t>
      </w:r>
      <w:r>
        <w:rPr>
          <w:spacing w:val="-10"/>
          <w:u w:val="single"/>
        </w:rPr>
        <w:t xml:space="preserve"> I</w:t>
      </w:r>
    </w:p>
    <w:p w:rsidR="00263A97" w:rsidRDefault="00263A97">
      <w:pPr>
        <w:pStyle w:val="Corpodetexto"/>
        <w:rPr>
          <w:rFonts w:ascii="Arial"/>
          <w:b/>
          <w:sz w:val="20"/>
        </w:rPr>
      </w:pPr>
    </w:p>
    <w:p w:rsidR="00263A97" w:rsidRDefault="00D73B6D">
      <w:pPr>
        <w:pStyle w:val="Corpodetexto"/>
        <w:spacing w:before="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682751</wp:posOffset>
                </wp:positionH>
                <wp:positionV relativeFrom="paragraph">
                  <wp:posOffset>164203</wp:posOffset>
                </wp:positionV>
                <wp:extent cx="6195060" cy="46990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95060" cy="469900"/>
                          <a:chOff x="0" y="0"/>
                          <a:chExt cx="6195060" cy="4699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047" y="3048"/>
                            <a:ext cx="6189345" cy="463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9345" h="463550">
                                <a:moveTo>
                                  <a:pt x="6188964" y="463295"/>
                                </a:moveTo>
                                <a:lnTo>
                                  <a:pt x="0" y="463295"/>
                                </a:lnTo>
                                <a:lnTo>
                                  <a:pt x="0" y="0"/>
                                </a:lnTo>
                                <a:lnTo>
                                  <a:pt x="6188964" y="0"/>
                                </a:lnTo>
                                <a:lnTo>
                                  <a:pt x="6188964" y="463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6B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19506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5060" h="469900">
                                <a:moveTo>
                                  <a:pt x="6193536" y="469392"/>
                                </a:moveTo>
                                <a:lnTo>
                                  <a:pt x="1524" y="469392"/>
                                </a:lnTo>
                                <a:lnTo>
                                  <a:pt x="0" y="467868"/>
                                </a:lnTo>
                                <a:lnTo>
                                  <a:pt x="0" y="1524"/>
                                </a:lnTo>
                                <a:lnTo>
                                  <a:pt x="1524" y="0"/>
                                </a:lnTo>
                                <a:lnTo>
                                  <a:pt x="6193536" y="0"/>
                                </a:lnTo>
                                <a:lnTo>
                                  <a:pt x="6195060" y="1524"/>
                                </a:lnTo>
                                <a:lnTo>
                                  <a:pt x="6195060" y="3048"/>
                                </a:lnTo>
                                <a:lnTo>
                                  <a:pt x="7620" y="3048"/>
                                </a:lnTo>
                                <a:lnTo>
                                  <a:pt x="3048" y="6096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463296"/>
                                </a:lnTo>
                                <a:lnTo>
                                  <a:pt x="3048" y="463296"/>
                                </a:lnTo>
                                <a:lnTo>
                                  <a:pt x="7620" y="466344"/>
                                </a:lnTo>
                                <a:lnTo>
                                  <a:pt x="6195060" y="466344"/>
                                </a:lnTo>
                                <a:lnTo>
                                  <a:pt x="6195060" y="467868"/>
                                </a:lnTo>
                                <a:lnTo>
                                  <a:pt x="6193536" y="469392"/>
                                </a:lnTo>
                                <a:close/>
                              </a:path>
                              <a:path w="6195060" h="469900">
                                <a:moveTo>
                                  <a:pt x="7620" y="6096"/>
                                </a:moveTo>
                                <a:lnTo>
                                  <a:pt x="3048" y="6096"/>
                                </a:lnTo>
                                <a:lnTo>
                                  <a:pt x="7620" y="3048"/>
                                </a:lnTo>
                                <a:lnTo>
                                  <a:pt x="7620" y="6096"/>
                                </a:lnTo>
                                <a:close/>
                              </a:path>
                              <a:path w="6195060" h="469900">
                                <a:moveTo>
                                  <a:pt x="6188964" y="6096"/>
                                </a:moveTo>
                                <a:lnTo>
                                  <a:pt x="7620" y="6096"/>
                                </a:lnTo>
                                <a:lnTo>
                                  <a:pt x="7620" y="3048"/>
                                </a:lnTo>
                                <a:lnTo>
                                  <a:pt x="6188964" y="3048"/>
                                </a:lnTo>
                                <a:lnTo>
                                  <a:pt x="6188964" y="6096"/>
                                </a:lnTo>
                                <a:close/>
                              </a:path>
                              <a:path w="6195060" h="469900">
                                <a:moveTo>
                                  <a:pt x="6188964" y="466344"/>
                                </a:moveTo>
                                <a:lnTo>
                                  <a:pt x="6188964" y="3048"/>
                                </a:lnTo>
                                <a:lnTo>
                                  <a:pt x="6192012" y="6096"/>
                                </a:lnTo>
                                <a:lnTo>
                                  <a:pt x="6195060" y="6096"/>
                                </a:lnTo>
                                <a:lnTo>
                                  <a:pt x="6195060" y="463296"/>
                                </a:lnTo>
                                <a:lnTo>
                                  <a:pt x="6192012" y="463296"/>
                                </a:lnTo>
                                <a:lnTo>
                                  <a:pt x="6188964" y="466344"/>
                                </a:lnTo>
                                <a:close/>
                              </a:path>
                              <a:path w="6195060" h="469900">
                                <a:moveTo>
                                  <a:pt x="6195060" y="6096"/>
                                </a:moveTo>
                                <a:lnTo>
                                  <a:pt x="6192012" y="6096"/>
                                </a:lnTo>
                                <a:lnTo>
                                  <a:pt x="6188964" y="3048"/>
                                </a:lnTo>
                                <a:lnTo>
                                  <a:pt x="6195060" y="3048"/>
                                </a:lnTo>
                                <a:lnTo>
                                  <a:pt x="6195060" y="6096"/>
                                </a:lnTo>
                                <a:close/>
                              </a:path>
                              <a:path w="6195060" h="469900">
                                <a:moveTo>
                                  <a:pt x="7620" y="466344"/>
                                </a:moveTo>
                                <a:lnTo>
                                  <a:pt x="3048" y="463296"/>
                                </a:lnTo>
                                <a:lnTo>
                                  <a:pt x="7620" y="463296"/>
                                </a:lnTo>
                                <a:lnTo>
                                  <a:pt x="7620" y="466344"/>
                                </a:lnTo>
                                <a:close/>
                              </a:path>
                              <a:path w="6195060" h="469900">
                                <a:moveTo>
                                  <a:pt x="6188964" y="466344"/>
                                </a:moveTo>
                                <a:lnTo>
                                  <a:pt x="7620" y="466344"/>
                                </a:lnTo>
                                <a:lnTo>
                                  <a:pt x="7620" y="463296"/>
                                </a:lnTo>
                                <a:lnTo>
                                  <a:pt x="6188964" y="463296"/>
                                </a:lnTo>
                                <a:lnTo>
                                  <a:pt x="6188964" y="466344"/>
                                </a:lnTo>
                                <a:close/>
                              </a:path>
                              <a:path w="6195060" h="469900">
                                <a:moveTo>
                                  <a:pt x="6195060" y="466344"/>
                                </a:moveTo>
                                <a:lnTo>
                                  <a:pt x="6188964" y="466344"/>
                                </a:lnTo>
                                <a:lnTo>
                                  <a:pt x="6192012" y="463296"/>
                                </a:lnTo>
                                <a:lnTo>
                                  <a:pt x="6195060" y="463296"/>
                                </a:lnTo>
                                <a:lnTo>
                                  <a:pt x="6195060" y="466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6195060" cy="469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63A97" w:rsidRDefault="00D73B6D">
                              <w:pPr>
                                <w:spacing w:before="122"/>
                                <w:ind w:left="844"/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CLASSE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ÚNICA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COTAS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SUMMIT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FUNDO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21"/>
                                </w:rPr>
                                <w:t xml:space="preserve"> INVESTIMENTO</w:t>
                              </w:r>
                            </w:p>
                            <w:p w:rsidR="00263A97" w:rsidRDefault="00D73B6D">
                              <w:pPr>
                                <w:spacing w:before="8"/>
                                <w:ind w:left="3004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1"/>
                                </w:rPr>
                                <w:t>FINANCEIRO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1"/>
                                </w:rPr>
                                <w:t>MULTIMERCADO</w:t>
                              </w:r>
                              <w:r w:rsidR="00CA66B1"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1"/>
                                </w:rPr>
                                <w:t xml:space="preserve"> RESPONSABILIDADE LIMITADA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53.75pt;margin-top:12.95pt;width:487.8pt;height:37pt;z-index:-15728640;mso-wrap-distance-left:0;mso-wrap-distance-right:0;mso-position-horizontal-relative:page" coordsize="61950,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">
                <v:shape id="Graphic 6" o:spid="_x0000_s1027" style="position:absolute;left:30;top:30;width:61893;height:4635;visibility:visible;mso-wrap-style:square;v-text-anchor:top" coordsize="6189345,46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qMdMUA&#10;AADaAAAADwAAAGRycy9kb3ducmV2LnhtbESPQWvCQBSE74L/YXlCL2I2DdXW6CoiSr1YaCyU3h7Z&#10;ZxKafRuy2yT++25B6HGYmW+Y9XYwteiodZVlBY9RDII4t7riQsHH5Th7AeE8ssbaMim4kYPtZjxa&#10;Y6ptz+/UZb4QAcIuRQWl900qpctLMugi2xAH72pbgz7ItpC6xT7ATS2TOF5IgxWHhRIb2peUf2c/&#10;RsH12U6T+ekT3w6DfL15ef566pZKPUyG3QqEp8H/h+/tk1awgL8r4Qb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+ox0xQAAANoAAAAPAAAAAAAAAAAAAAAAAJgCAABkcnMv&#10;ZG93bnJldi54bWxQSwUGAAAAAAQABAD1AAAAigMAAAAA&#10;" path="m6188964,463295l,463295,,,6188964,r,463295xe" fillcolor="#e46b0a" stroked="f">
                  <v:path arrowok="t"/>
                </v:shape>
                <v:shape id="Graphic 7" o:spid="_x0000_s1028" style="position:absolute;width:61950;height:4699;visibility:visible;mso-wrap-style:square;v-text-anchor:top" coordsize="6195060,469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QUgLwA&#10;AADaAAAADwAAAGRycy9kb3ducmV2LnhtbESPwQrCMBBE74L/EFbwZlN7UKlGEUH0avXibWnWttps&#10;ShNt/XsjCB6HmXnDrDa9qcWLWldZVjCNYhDEudUVFwou5/1kAcJ5ZI21ZVLwJgeb9XCwwlTbjk/0&#10;ynwhAoRdigpK75tUSpeXZNBFtiEO3s22Bn2QbSF1i12Am1omcTyTBisOCyU2tCspf2RPo6CjbXe8&#10;X+6HU40uq6xtOEmuSo1H/XYJwlPv/+Ff+6gVzOF7JdwAuf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7RBSAvAAAANoAAAAPAAAAAAAAAAAAAAAAAJgCAABkcnMvZG93bnJldi54&#10;bWxQSwUGAAAAAAQABAD1AAAAgQMAAAAA&#10;" path="m6193536,469392r-6192012,l,467868,,1524,1524,,6193536,r1524,1524l6195060,3048,7620,3048,3048,6096r4572,l7620,463296r-4572,l7620,466344r6187440,l6195060,467868r-1524,1524xem7620,6096r-4572,l7620,3048r,3048xem6188964,6096l7620,6096r,-3048l6188964,3048r,3048xem6188964,466344r,-463296l6192012,6096r3048,l6195060,463296r-3048,l6188964,466344xem6195060,6096r-3048,l6188964,3048r6096,l6195060,6096xem7620,466344l3048,463296r4572,l7620,466344xem6188964,466344r-6181344,l7620,463296r6181344,l6188964,466344xem6195060,466344r-6096,l6192012,463296r3048,l6195060,466344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9" type="#_x0000_t202" style="position:absolute;width:61950;height:4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263A97" w:rsidRDefault="00D73B6D">
                        <w:pPr>
                          <w:spacing w:before="122"/>
                          <w:ind w:left="844"/>
                          <w:rPr>
                            <w:rFonts w:ascii="Arial" w:hAnsi="Arial"/>
                            <w:b/>
                            <w:sz w:val="21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CLASSE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ÚNICA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COTAS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DO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SUMMIT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FUNDO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1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21"/>
                          </w:rPr>
                          <w:t xml:space="preserve"> INVESTIMENTO</w:t>
                        </w:r>
                      </w:p>
                      <w:p w:rsidR="00263A97" w:rsidRDefault="00D73B6D">
                        <w:pPr>
                          <w:spacing w:before="8"/>
                          <w:ind w:left="3004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1"/>
                          </w:rPr>
                          <w:t>FINANCEIRO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1"/>
                          </w:rPr>
                          <w:t>MULTIMERCADO</w:t>
                        </w:r>
                        <w:r w:rsidR="00CA66B1">
                          <w:rPr>
                            <w:rFonts w:ascii="Arial"/>
                            <w:b/>
                            <w:color w:val="FFFFFF"/>
                            <w:spacing w:val="-2"/>
                            <w:sz w:val="21"/>
                          </w:rPr>
                          <w:t xml:space="preserve"> RESPONSABILIDADE LIMITADA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63A97" w:rsidRDefault="00D73B6D">
      <w:pPr>
        <w:spacing w:before="132"/>
        <w:ind w:left="797"/>
        <w:rPr>
          <w:rFonts w:ascii="Arial" w:hAnsi="Arial"/>
          <w:b/>
          <w:sz w:val="21"/>
        </w:rPr>
      </w:pPr>
      <w:r>
        <w:rPr>
          <w:rFonts w:ascii="Arial" w:hAnsi="Arial"/>
          <w:b/>
        </w:rPr>
        <w:t>CAPÍTULO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1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z w:val="21"/>
        </w:rPr>
        <w:t>CARACTERÍSTICAS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GERAIS</w:t>
      </w:r>
    </w:p>
    <w:p w:rsidR="00263A97" w:rsidRDefault="00D73B6D">
      <w:pPr>
        <w:pStyle w:val="PargrafodaLista"/>
        <w:numPr>
          <w:ilvl w:val="1"/>
          <w:numId w:val="8"/>
        </w:numPr>
        <w:tabs>
          <w:tab w:val="left" w:pos="1476"/>
        </w:tabs>
        <w:spacing w:before="116"/>
        <w:ind w:hanging="679"/>
        <w:rPr>
          <w:sz w:val="21"/>
        </w:rPr>
      </w:pPr>
      <w:r>
        <w:rPr>
          <w:sz w:val="21"/>
        </w:rPr>
        <w:t>As</w:t>
      </w:r>
      <w:r>
        <w:rPr>
          <w:spacing w:val="-12"/>
          <w:sz w:val="21"/>
        </w:rPr>
        <w:t xml:space="preserve"> </w:t>
      </w:r>
      <w:r>
        <w:rPr>
          <w:sz w:val="21"/>
        </w:rPr>
        <w:t>principais</w:t>
      </w:r>
      <w:r>
        <w:rPr>
          <w:spacing w:val="-8"/>
          <w:sz w:val="21"/>
        </w:rPr>
        <w:t xml:space="preserve"> </w:t>
      </w:r>
      <w:r>
        <w:rPr>
          <w:sz w:val="21"/>
        </w:rPr>
        <w:t>características</w:t>
      </w:r>
      <w:r>
        <w:rPr>
          <w:spacing w:val="-6"/>
          <w:sz w:val="21"/>
        </w:rPr>
        <w:t xml:space="preserve"> </w:t>
      </w:r>
      <w:r>
        <w:rPr>
          <w:sz w:val="21"/>
        </w:rPr>
        <w:t>da</w:t>
      </w:r>
      <w:r>
        <w:rPr>
          <w:spacing w:val="-9"/>
          <w:sz w:val="21"/>
        </w:rPr>
        <w:t xml:space="preserve"> </w:t>
      </w:r>
      <w:r>
        <w:rPr>
          <w:sz w:val="21"/>
        </w:rPr>
        <w:t>classe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cotas</w:t>
      </w:r>
      <w:r>
        <w:rPr>
          <w:spacing w:val="-9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r>
        <w:rPr>
          <w:sz w:val="21"/>
        </w:rPr>
        <w:t>FUNDO</w:t>
      </w:r>
      <w:r>
        <w:rPr>
          <w:spacing w:val="-7"/>
          <w:sz w:val="21"/>
        </w:rPr>
        <w:t xml:space="preserve"> </w:t>
      </w:r>
      <w:r>
        <w:rPr>
          <w:sz w:val="21"/>
        </w:rPr>
        <w:t>estão</w:t>
      </w:r>
      <w:r>
        <w:rPr>
          <w:spacing w:val="-9"/>
          <w:sz w:val="21"/>
        </w:rPr>
        <w:t xml:space="preserve"> </w:t>
      </w:r>
      <w:r>
        <w:rPr>
          <w:sz w:val="21"/>
        </w:rPr>
        <w:t>descritas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abaixo:</w:t>
      </w:r>
    </w:p>
    <w:p w:rsidR="00263A97" w:rsidRDefault="00263A97">
      <w:pPr>
        <w:pStyle w:val="Corpodetexto"/>
        <w:spacing w:before="4"/>
        <w:rPr>
          <w:sz w:val="11"/>
        </w:rPr>
      </w:pPr>
    </w:p>
    <w:tbl>
      <w:tblPr>
        <w:tblStyle w:val="TableNormal"/>
        <w:tblW w:w="0" w:type="auto"/>
        <w:tblInd w:w="7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4"/>
        <w:gridCol w:w="6994"/>
      </w:tblGrid>
      <w:tr w:rsidR="00263A97">
        <w:trPr>
          <w:trHeight w:val="479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Regime</w:t>
            </w:r>
            <w:r>
              <w:rPr>
                <w:color w:val="FFFFFF"/>
                <w:spacing w:val="-8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7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Classes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/>
              <w:rPr>
                <w:sz w:val="21"/>
              </w:rPr>
            </w:pPr>
            <w:r>
              <w:rPr>
                <w:sz w:val="21"/>
              </w:rPr>
              <w:t>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cotas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FUNDO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são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classe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única.</w:t>
            </w:r>
          </w:p>
        </w:tc>
      </w:tr>
      <w:tr w:rsidR="00263A97">
        <w:trPr>
          <w:trHeight w:val="479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Tipo</w:t>
            </w:r>
            <w:r>
              <w:rPr>
                <w:color w:val="FFFFFF"/>
                <w:spacing w:val="-8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4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Condomínio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6"/>
              <w:rPr>
                <w:sz w:val="21"/>
              </w:rPr>
            </w:pPr>
            <w:r>
              <w:rPr>
                <w:spacing w:val="-2"/>
                <w:sz w:val="21"/>
              </w:rPr>
              <w:t>Fechado.</w:t>
            </w:r>
          </w:p>
        </w:tc>
      </w:tr>
      <w:tr w:rsidR="00263A97">
        <w:trPr>
          <w:trHeight w:val="486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Prazo</w:t>
            </w:r>
            <w:r>
              <w:rPr>
                <w:color w:val="FFFFFF"/>
                <w:spacing w:val="-8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7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Duração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6"/>
              <w:rPr>
                <w:sz w:val="21"/>
              </w:rPr>
            </w:pPr>
            <w:r>
              <w:rPr>
                <w:spacing w:val="-2"/>
                <w:sz w:val="21"/>
              </w:rPr>
              <w:t>Indeterminado.</w:t>
            </w:r>
          </w:p>
        </w:tc>
      </w:tr>
      <w:tr w:rsidR="00263A97">
        <w:trPr>
          <w:trHeight w:val="479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5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Categoria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8"/>
              <w:rPr>
                <w:sz w:val="21"/>
              </w:rPr>
            </w:pPr>
            <w:r>
              <w:rPr>
                <w:spacing w:val="-2"/>
                <w:sz w:val="21"/>
              </w:rPr>
              <w:t>Fundo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investimento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financeiro.</w:t>
            </w:r>
          </w:p>
        </w:tc>
      </w:tr>
      <w:tr w:rsidR="00263A97">
        <w:trPr>
          <w:trHeight w:val="479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5"/>
              <w:rPr>
                <w:sz w:val="21"/>
              </w:rPr>
            </w:pPr>
            <w:r>
              <w:rPr>
                <w:color w:val="FFFFFF"/>
                <w:spacing w:val="-4"/>
                <w:sz w:val="21"/>
              </w:rPr>
              <w:t>Tipo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/>
              <w:rPr>
                <w:sz w:val="21"/>
              </w:rPr>
            </w:pPr>
            <w:r>
              <w:rPr>
                <w:spacing w:val="-2"/>
                <w:sz w:val="21"/>
              </w:rPr>
              <w:t>Multimercado.</w:t>
            </w:r>
          </w:p>
        </w:tc>
      </w:tr>
      <w:tr w:rsidR="00263A97">
        <w:trPr>
          <w:trHeight w:val="2049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7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5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Objetivo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76"/>
              <w:jc w:val="both"/>
              <w:rPr>
                <w:sz w:val="21"/>
              </w:rPr>
            </w:pPr>
            <w:r>
              <w:rPr>
                <w:sz w:val="21"/>
              </w:rPr>
              <w:t xml:space="preserve">O objetivo da classe é obter ganhos de capital mediante operações nos mercados de juros, câmbio, commodities e dívida, utilizando-se dos instrumentos disponíveis tanto nos mercados à </w:t>
            </w:r>
            <w:proofErr w:type="gramStart"/>
            <w:r>
              <w:rPr>
                <w:sz w:val="21"/>
              </w:rPr>
              <w:t>vista</w:t>
            </w:r>
            <w:proofErr w:type="gramEnd"/>
          </w:p>
          <w:p w:rsidR="00263A97" w:rsidRDefault="00D73B6D">
            <w:pPr>
              <w:pStyle w:val="TableParagraph"/>
              <w:spacing w:before="123"/>
              <w:ind w:left="117" w:right="88"/>
              <w:jc w:val="both"/>
              <w:rPr>
                <w:sz w:val="21"/>
              </w:rPr>
            </w:pPr>
            <w:r>
              <w:rPr>
                <w:sz w:val="21"/>
              </w:rPr>
              <w:t>O objetivo da classe de cotas não representa, sob qualquer hipótese</w:t>
            </w:r>
            <w:r>
              <w:rPr>
                <w:sz w:val="21"/>
              </w:rPr>
              <w:t>, garantia do FUNDO ou de seus Prestadores de Serviços Essenciais quanto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à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segurança,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rentabilidade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liquidez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dos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títulos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componentes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 sua carteira.</w:t>
            </w:r>
          </w:p>
        </w:tc>
      </w:tr>
      <w:tr w:rsidR="00263A97">
        <w:trPr>
          <w:trHeight w:val="479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5"/>
              <w:rPr>
                <w:sz w:val="21"/>
              </w:rPr>
            </w:pPr>
            <w:r>
              <w:rPr>
                <w:color w:val="FFFFFF"/>
                <w:spacing w:val="-4"/>
                <w:sz w:val="21"/>
              </w:rPr>
              <w:t>Público-Alvo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/>
              <w:rPr>
                <w:sz w:val="21"/>
              </w:rPr>
            </w:pPr>
            <w:r>
              <w:rPr>
                <w:sz w:val="21"/>
              </w:rPr>
              <w:t>Investidor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profissional.</w:t>
            </w:r>
          </w:p>
        </w:tc>
      </w:tr>
      <w:tr w:rsidR="00263A97">
        <w:trPr>
          <w:trHeight w:val="1809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Custódia</w:t>
            </w:r>
            <w:r>
              <w:rPr>
                <w:color w:val="FFFFFF"/>
                <w:spacing w:val="-7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e</w:t>
            </w:r>
            <w:r>
              <w:rPr>
                <w:color w:val="FFFFFF"/>
                <w:spacing w:val="-6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Tesouraria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5" w:line="241" w:lineRule="exact"/>
              <w:ind w:left="117"/>
              <w:jc w:val="bot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  <w:u w:val="single"/>
              </w:rPr>
              <w:t>MASTER</w:t>
            </w:r>
            <w:r>
              <w:rPr>
                <w:rFonts w:ascii="Arial"/>
                <w:b/>
                <w:spacing w:val="70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S/A</w:t>
            </w:r>
            <w:r>
              <w:rPr>
                <w:rFonts w:ascii="Arial"/>
                <w:b/>
                <w:spacing w:val="65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CORRETORA</w:t>
            </w:r>
            <w:r>
              <w:rPr>
                <w:rFonts w:ascii="Arial"/>
                <w:b/>
                <w:spacing w:val="66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DE</w:t>
            </w:r>
            <w:r>
              <w:rPr>
                <w:rFonts w:ascii="Arial"/>
                <w:b/>
                <w:spacing w:val="72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CAMBIO,</w:t>
            </w:r>
            <w:r>
              <w:rPr>
                <w:rFonts w:ascii="Arial"/>
                <w:b/>
                <w:spacing w:val="71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TITULOS</w:t>
            </w:r>
            <w:r>
              <w:rPr>
                <w:rFonts w:ascii="Arial"/>
                <w:b/>
                <w:spacing w:val="70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E</w:t>
            </w:r>
            <w:r>
              <w:rPr>
                <w:rFonts w:ascii="Arial"/>
                <w:b/>
                <w:spacing w:val="73"/>
                <w:sz w:val="21"/>
                <w:u w:val="single"/>
              </w:rPr>
              <w:t xml:space="preserve"> </w:t>
            </w:r>
            <w:proofErr w:type="gramStart"/>
            <w:r>
              <w:rPr>
                <w:rFonts w:ascii="Arial"/>
                <w:b/>
                <w:spacing w:val="-2"/>
                <w:sz w:val="21"/>
                <w:u w:val="single"/>
              </w:rPr>
              <w:t>VALORES</w:t>
            </w:r>
            <w:proofErr w:type="gramEnd"/>
          </w:p>
          <w:p w:rsidR="00263A97" w:rsidRDefault="00D73B6D">
            <w:pPr>
              <w:pStyle w:val="TableParagraph"/>
              <w:ind w:left="117" w:right="76"/>
              <w:jc w:val="both"/>
              <w:rPr>
                <w:sz w:val="21"/>
              </w:rPr>
            </w:pPr>
            <w:r>
              <w:rPr>
                <w:rFonts w:ascii="Arial" w:hAnsi="Arial"/>
                <w:b/>
                <w:sz w:val="21"/>
                <w:u w:val="single"/>
              </w:rPr>
              <w:t>MOBILIARIOS</w:t>
            </w:r>
            <w:r>
              <w:rPr>
                <w:sz w:val="21"/>
              </w:rPr>
              <w:t>, Sociedade Anônima Fechada situada na Cidade do Rio de Janeiro, Estado do Rio de Janeiro, na Praça de Botafogo, 228, sala 1702,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CEP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22.250-906,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inscrita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CNPJ/ME sob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n°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33.886.862/0001</w:t>
            </w:r>
            <w:proofErr w:type="gramStart"/>
            <w:r>
              <w:rPr>
                <w:spacing w:val="-2"/>
                <w:sz w:val="21"/>
              </w:rPr>
              <w:t>-</w:t>
            </w:r>
            <w:proofErr w:type="gramEnd"/>
          </w:p>
          <w:p w:rsidR="00263A97" w:rsidRDefault="00D73B6D">
            <w:pPr>
              <w:pStyle w:val="TableParagraph"/>
              <w:ind w:left="117"/>
              <w:jc w:val="both"/>
              <w:rPr>
                <w:sz w:val="21"/>
              </w:rPr>
            </w:pPr>
            <w:r>
              <w:rPr>
                <w:sz w:val="21"/>
              </w:rPr>
              <w:t>12,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sz w:val="21"/>
              </w:rPr>
              <w:t>devidamente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autorizada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à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prestação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dos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serviços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15"/>
                <w:sz w:val="21"/>
              </w:rPr>
              <w:t xml:space="preserve"> </w:t>
            </w:r>
            <w:proofErr w:type="gramStart"/>
            <w:r>
              <w:rPr>
                <w:spacing w:val="-2"/>
                <w:sz w:val="21"/>
              </w:rPr>
              <w:t>administração</w:t>
            </w:r>
            <w:proofErr w:type="gramEnd"/>
          </w:p>
          <w:p w:rsidR="00263A97" w:rsidRDefault="00D73B6D">
            <w:pPr>
              <w:pStyle w:val="TableParagraph"/>
              <w:spacing w:line="240" w:lineRule="exact"/>
              <w:ind w:left="117" w:right="76"/>
              <w:jc w:val="both"/>
              <w:rPr>
                <w:sz w:val="21"/>
              </w:rPr>
            </w:pPr>
            <w:proofErr w:type="gramStart"/>
            <w:r>
              <w:rPr>
                <w:sz w:val="21"/>
              </w:rPr>
              <w:t>de</w:t>
            </w:r>
            <w:proofErr w:type="gramEnd"/>
            <w:r>
              <w:rPr>
                <w:sz w:val="21"/>
              </w:rPr>
              <w:t xml:space="preserve"> carteira de valores mobiliários por meio do Ato Declaratório CVM nº 19.745, de 14 de abril de 2022. (“</w:t>
            </w:r>
            <w:r>
              <w:rPr>
                <w:rFonts w:ascii="Arial" w:hAnsi="Arial"/>
                <w:b/>
                <w:sz w:val="21"/>
              </w:rPr>
              <w:t>CUSTODIANTE</w:t>
            </w:r>
            <w:r>
              <w:rPr>
                <w:sz w:val="21"/>
              </w:rPr>
              <w:t>”).</w:t>
            </w:r>
          </w:p>
        </w:tc>
      </w:tr>
      <w:tr w:rsidR="00263A97">
        <w:trPr>
          <w:trHeight w:val="724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tabs>
                <w:tab w:val="left" w:pos="2563"/>
              </w:tabs>
              <w:spacing w:before="112"/>
              <w:ind w:left="115" w:right="90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Controladoria</w:t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pacing w:val="-10"/>
                <w:sz w:val="21"/>
              </w:rPr>
              <w:t xml:space="preserve">e </w:t>
            </w:r>
            <w:r>
              <w:rPr>
                <w:color w:val="FFFFFF"/>
                <w:spacing w:val="-2"/>
                <w:sz w:val="21"/>
              </w:rPr>
              <w:t>Escrituração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  <w:u w:val="single"/>
              </w:rPr>
              <w:t>MASTER</w:t>
            </w:r>
            <w:r>
              <w:rPr>
                <w:rFonts w:ascii="Arial"/>
                <w:b/>
                <w:spacing w:val="-3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S/A</w:t>
            </w:r>
            <w:r>
              <w:rPr>
                <w:rFonts w:ascii="Arial"/>
                <w:b/>
                <w:spacing w:val="-11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CORRETORA</w:t>
            </w:r>
            <w:r>
              <w:rPr>
                <w:rFonts w:ascii="Arial"/>
                <w:b/>
                <w:spacing w:val="-8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DE</w:t>
            </w:r>
            <w:r>
              <w:rPr>
                <w:rFonts w:ascii="Arial"/>
                <w:b/>
                <w:spacing w:val="-3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CAMBIO,</w:t>
            </w:r>
            <w:r>
              <w:rPr>
                <w:rFonts w:ascii="Arial"/>
                <w:b/>
                <w:spacing w:val="-5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TITULOS</w:t>
            </w:r>
            <w:r>
              <w:rPr>
                <w:rFonts w:ascii="Arial"/>
                <w:b/>
                <w:spacing w:val="-3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E</w:t>
            </w:r>
            <w:r>
              <w:rPr>
                <w:rFonts w:ascii="Arial"/>
                <w:b/>
                <w:spacing w:val="-3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z w:val="21"/>
                <w:u w:val="single"/>
              </w:rPr>
              <w:t>VALORES</w:t>
            </w:r>
            <w:proofErr w:type="gramStart"/>
            <w:r>
              <w:rPr>
                <w:rFonts w:ascii="Arial"/>
                <w:b/>
                <w:spacing w:val="-4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pacing w:val="-4"/>
                <w:sz w:val="21"/>
              </w:rPr>
              <w:t xml:space="preserve"> </w:t>
            </w:r>
            <w:proofErr w:type="gramEnd"/>
            <w:r>
              <w:rPr>
                <w:rFonts w:ascii="Arial"/>
                <w:b/>
                <w:spacing w:val="-2"/>
                <w:sz w:val="21"/>
                <w:u w:val="single"/>
              </w:rPr>
              <w:t>MOBILIARIOS.</w:t>
            </w:r>
          </w:p>
        </w:tc>
      </w:tr>
      <w:tr w:rsidR="00263A97">
        <w:trPr>
          <w:trHeight w:val="1204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tabs>
                <w:tab w:val="left" w:pos="1143"/>
                <w:tab w:val="left" w:pos="1491"/>
                <w:tab w:val="left" w:pos="2443"/>
              </w:tabs>
              <w:spacing w:before="1"/>
              <w:ind w:left="115" w:right="101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Emissão</w:t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pacing w:val="-10"/>
                <w:sz w:val="21"/>
              </w:rPr>
              <w:t>e</w:t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pacing w:val="-2"/>
                <w:sz w:val="21"/>
              </w:rPr>
              <w:t>Regime</w:t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pacing w:val="-8"/>
                <w:sz w:val="21"/>
              </w:rPr>
              <w:t xml:space="preserve">de </w:t>
            </w:r>
            <w:r>
              <w:rPr>
                <w:color w:val="FFFFFF"/>
                <w:sz w:val="21"/>
              </w:rPr>
              <w:t>Distribuição de Cotas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84"/>
              <w:jc w:val="both"/>
              <w:rPr>
                <w:sz w:val="21"/>
              </w:rPr>
            </w:pPr>
            <w:r>
              <w:rPr>
                <w:sz w:val="21"/>
              </w:rPr>
              <w:t>O valor de cada emissão de cotas, volume e valor unitário da cota, bem como o regime de distribuição seguirão o disposto no instrumento que aprova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emissão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cotas,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disporá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acerca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eventual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existência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de direito de p</w:t>
            </w:r>
            <w:r>
              <w:rPr>
                <w:sz w:val="21"/>
              </w:rPr>
              <w:t>referência dos cotistas.</w:t>
            </w:r>
          </w:p>
        </w:tc>
      </w:tr>
      <w:tr w:rsidR="00263A97">
        <w:trPr>
          <w:trHeight w:val="719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232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Capital</w:t>
            </w:r>
            <w:r>
              <w:rPr>
                <w:color w:val="FFFFFF"/>
                <w:spacing w:val="-14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Autorizado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/>
              <w:rPr>
                <w:sz w:val="21"/>
              </w:rPr>
            </w:pPr>
            <w:r>
              <w:rPr>
                <w:sz w:val="21"/>
              </w:rPr>
              <w:t>Não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aplicável,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sendo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novas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emissões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cotas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desta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classe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deverão ser aprovadas pela assembleia especial de cotistas.</w:t>
            </w:r>
          </w:p>
        </w:tc>
      </w:tr>
      <w:tr w:rsidR="00263A97">
        <w:trPr>
          <w:trHeight w:val="1451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tabs>
                <w:tab w:val="left" w:pos="1769"/>
                <w:tab w:val="left" w:pos="2284"/>
              </w:tabs>
              <w:spacing w:before="112"/>
              <w:ind w:left="115" w:right="81"/>
              <w:jc w:val="both"/>
              <w:rPr>
                <w:sz w:val="21"/>
              </w:rPr>
            </w:pPr>
            <w:r>
              <w:rPr>
                <w:color w:val="FFFFFF"/>
                <w:sz w:val="21"/>
              </w:rPr>
              <w:t xml:space="preserve">Direito de Preferência em </w:t>
            </w:r>
            <w:r>
              <w:rPr>
                <w:color w:val="FFFFFF"/>
                <w:spacing w:val="-2"/>
                <w:sz w:val="21"/>
              </w:rPr>
              <w:t>Novas</w:t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pacing w:val="-2"/>
                <w:sz w:val="21"/>
              </w:rPr>
              <w:t>Emissões Aprovadas</w:t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pacing w:val="-4"/>
                <w:sz w:val="21"/>
              </w:rPr>
              <w:t xml:space="preserve">pela </w:t>
            </w:r>
            <w:r>
              <w:rPr>
                <w:color w:val="FFFFFF"/>
                <w:sz w:val="21"/>
              </w:rPr>
              <w:t xml:space="preserve">Assembleia Especial de </w:t>
            </w:r>
            <w:r>
              <w:rPr>
                <w:color w:val="FFFFFF"/>
                <w:spacing w:val="-2"/>
                <w:sz w:val="21"/>
              </w:rPr>
              <w:t>Cotistas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86"/>
              <w:jc w:val="both"/>
              <w:rPr>
                <w:sz w:val="21"/>
              </w:rPr>
            </w:pPr>
            <w:r>
              <w:rPr>
                <w:sz w:val="21"/>
              </w:rPr>
              <w:t>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assembleia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especial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cotistas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poderá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aprovar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concessão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direito de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preferência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aos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cotistas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em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novas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emissões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ela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deliberadas,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bem como os seus termos e condições. Exceto se de outra forma aprovada pela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assembleia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especial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cotistas,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exercício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z w:val="21"/>
              </w:rPr>
              <w:t>direito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preferência</w:t>
            </w:r>
            <w:proofErr w:type="gramEnd"/>
          </w:p>
        </w:tc>
      </w:tr>
    </w:tbl>
    <w:p w:rsidR="00263A97" w:rsidRDefault="00263A97">
      <w:pPr>
        <w:pStyle w:val="TableParagraph"/>
        <w:jc w:val="both"/>
        <w:rPr>
          <w:sz w:val="21"/>
        </w:rPr>
        <w:sectPr w:rsidR="00263A97">
          <w:headerReference w:type="default" r:id="rId11"/>
          <w:footerReference w:type="default" r:id="rId12"/>
          <w:pgSz w:w="11910" w:h="16840"/>
          <w:pgMar w:top="2220" w:right="992" w:bottom="380" w:left="283" w:header="1487" w:footer="186" w:gutter="0"/>
          <w:pgNumType w:start="1"/>
          <w:cols w:space="720"/>
        </w:sectPr>
      </w:pPr>
    </w:p>
    <w:p w:rsidR="00263A97" w:rsidRDefault="00263A97">
      <w:pPr>
        <w:pStyle w:val="Corpodetexto"/>
        <w:rPr>
          <w:sz w:val="20"/>
        </w:rPr>
      </w:pPr>
    </w:p>
    <w:p w:rsidR="00263A97" w:rsidRDefault="00263A97">
      <w:pPr>
        <w:pStyle w:val="Corpodetexto"/>
        <w:spacing w:before="95"/>
        <w:rPr>
          <w:sz w:val="20"/>
        </w:rPr>
      </w:pPr>
    </w:p>
    <w:tbl>
      <w:tblPr>
        <w:tblStyle w:val="TableNormal"/>
        <w:tblW w:w="0" w:type="auto"/>
        <w:tblInd w:w="7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4"/>
        <w:gridCol w:w="6994"/>
      </w:tblGrid>
      <w:tr w:rsidR="00263A97">
        <w:trPr>
          <w:trHeight w:val="604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line="237" w:lineRule="auto"/>
              <w:ind w:left="117"/>
              <w:rPr>
                <w:sz w:val="21"/>
              </w:rPr>
            </w:pPr>
            <w:proofErr w:type="gramStart"/>
            <w:r>
              <w:rPr>
                <w:sz w:val="21"/>
              </w:rPr>
              <w:t>deverá</w:t>
            </w:r>
            <w:proofErr w:type="gramEnd"/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ser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comunicado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ao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ADMINISTRADOR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em</w:t>
            </w:r>
            <w:r>
              <w:rPr>
                <w:spacing w:val="38"/>
                <w:sz w:val="21"/>
              </w:rPr>
              <w:t xml:space="preserve"> </w:t>
            </w:r>
            <w:r>
              <w:rPr>
                <w:sz w:val="21"/>
              </w:rPr>
              <w:t>até</w:t>
            </w:r>
            <w:r>
              <w:rPr>
                <w:spacing w:val="32"/>
                <w:sz w:val="21"/>
              </w:rPr>
              <w:t xml:space="preserve"> </w:t>
            </w:r>
            <w:r>
              <w:rPr>
                <w:sz w:val="21"/>
              </w:rPr>
              <w:t>10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(dez)</w:t>
            </w:r>
            <w:r>
              <w:rPr>
                <w:spacing w:val="36"/>
                <w:sz w:val="21"/>
              </w:rPr>
              <w:t xml:space="preserve"> </w:t>
            </w:r>
            <w:r>
              <w:rPr>
                <w:sz w:val="21"/>
              </w:rPr>
              <w:t>dias contados do comunicado de início da nova emissão de cotas.</w:t>
            </w:r>
          </w:p>
        </w:tc>
      </w:tr>
      <w:tr w:rsidR="00263A97">
        <w:trPr>
          <w:trHeight w:val="719"/>
        </w:trPr>
        <w:tc>
          <w:tcPr>
            <w:tcW w:w="2784" w:type="dxa"/>
            <w:shd w:val="clear" w:color="auto" w:fill="E26B0A"/>
          </w:tcPr>
          <w:p w:rsidR="00263A97" w:rsidRDefault="00D73B6D">
            <w:pPr>
              <w:pStyle w:val="TableParagraph"/>
              <w:spacing w:before="232"/>
              <w:ind w:left="115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Negociação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100"/>
              <w:rPr>
                <w:sz w:val="21"/>
              </w:rPr>
            </w:pPr>
            <w:r>
              <w:rPr>
                <w:sz w:val="21"/>
              </w:rPr>
              <w:t>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cotas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não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poderão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ser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admitidas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à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negociação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bolsa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valores ou entidade de balcão organizado.</w:t>
            </w:r>
          </w:p>
        </w:tc>
      </w:tr>
      <w:tr w:rsidR="00263A97">
        <w:trPr>
          <w:trHeight w:val="2296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51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5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Transferência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85"/>
              <w:jc w:val="both"/>
              <w:rPr>
                <w:sz w:val="21"/>
              </w:rPr>
            </w:pPr>
            <w:r>
              <w:rPr>
                <w:sz w:val="21"/>
              </w:rPr>
              <w:t>As cotas podem ser transferidas, mediante termo de cessão e transferência, ou por meio de negociação, se aplicável, em mercado organizado em que as cotas sejam admitidas à negociação, bem como nas hipóteses previstas na Resolução 175 e alterações posterior</w:t>
            </w:r>
            <w:r>
              <w:rPr>
                <w:sz w:val="21"/>
              </w:rPr>
              <w:t>es.</w:t>
            </w:r>
          </w:p>
          <w:p w:rsidR="00263A97" w:rsidRDefault="00D73B6D">
            <w:pPr>
              <w:pStyle w:val="TableParagraph"/>
              <w:spacing w:before="121"/>
              <w:ind w:left="117" w:right="86"/>
              <w:jc w:val="both"/>
              <w:rPr>
                <w:sz w:val="21"/>
              </w:rPr>
            </w:pPr>
            <w:r>
              <w:rPr>
                <w:sz w:val="21"/>
              </w:rPr>
              <w:t>A transferência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titularidade das cotas fica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condicionada à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verificação, pelo ADMINISTRADOR do atendimento das formalidades estabelecidas neste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regulamento,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na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Resolução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175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alterações posteriores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demais regulamentações específicas.</w:t>
            </w:r>
          </w:p>
        </w:tc>
      </w:tr>
      <w:tr w:rsidR="00263A97">
        <w:trPr>
          <w:trHeight w:val="1079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spacing w:before="17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Cálculo</w:t>
            </w:r>
            <w:r>
              <w:rPr>
                <w:color w:val="FFFFFF"/>
                <w:spacing w:val="-12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do</w:t>
            </w:r>
            <w:r>
              <w:rPr>
                <w:color w:val="FFFFFF"/>
                <w:spacing w:val="-7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Valor</w:t>
            </w:r>
            <w:r>
              <w:rPr>
                <w:color w:val="FFFFFF"/>
                <w:spacing w:val="-6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da</w:t>
            </w:r>
            <w:r>
              <w:rPr>
                <w:color w:val="FFFFFF"/>
                <w:spacing w:val="-3"/>
                <w:sz w:val="21"/>
              </w:rPr>
              <w:t xml:space="preserve"> </w:t>
            </w:r>
            <w:r>
              <w:rPr>
                <w:color w:val="FFFFFF"/>
                <w:spacing w:val="-4"/>
                <w:sz w:val="21"/>
              </w:rPr>
              <w:t>Cota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/>
              <w:rPr>
                <w:sz w:val="21"/>
              </w:rPr>
            </w:pPr>
            <w:r>
              <w:rPr>
                <w:sz w:val="21"/>
              </w:rPr>
              <w:t>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cotas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terão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seu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valor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calculado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diariamente.</w:t>
            </w:r>
          </w:p>
          <w:p w:rsidR="00263A97" w:rsidRDefault="00D73B6D">
            <w:pPr>
              <w:pStyle w:val="TableParagraph"/>
              <w:spacing w:before="119"/>
              <w:ind w:left="117"/>
              <w:rPr>
                <w:sz w:val="21"/>
              </w:rPr>
            </w:pPr>
            <w:r>
              <w:rPr>
                <w:sz w:val="21"/>
              </w:rPr>
              <w:t>O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valor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cota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dia</w:t>
            </w:r>
            <w:r>
              <w:rPr>
                <w:spacing w:val="25"/>
                <w:sz w:val="21"/>
              </w:rPr>
              <w:t xml:space="preserve"> </w:t>
            </w:r>
            <w:r>
              <w:rPr>
                <w:sz w:val="21"/>
              </w:rPr>
              <w:t>é resultante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25"/>
                <w:sz w:val="21"/>
              </w:rPr>
              <w:t xml:space="preserve"> </w:t>
            </w:r>
            <w:r>
              <w:rPr>
                <w:sz w:val="21"/>
              </w:rPr>
              <w:t>divisão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25"/>
                <w:sz w:val="21"/>
              </w:rPr>
              <w:t xml:space="preserve"> </w:t>
            </w:r>
            <w:r>
              <w:rPr>
                <w:sz w:val="21"/>
              </w:rPr>
              <w:t>valor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patrimônio líquido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pelo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número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cotas,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apurados,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ambos,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encerramento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dia.</w:t>
            </w:r>
          </w:p>
        </w:tc>
      </w:tr>
      <w:tr w:rsidR="00263A97">
        <w:trPr>
          <w:trHeight w:val="1689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234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5"/>
              <w:rPr>
                <w:sz w:val="21"/>
              </w:rPr>
            </w:pPr>
            <w:r>
              <w:rPr>
                <w:color w:val="FFFFFF"/>
                <w:spacing w:val="-2"/>
                <w:sz w:val="21"/>
              </w:rPr>
              <w:t>Feriados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86"/>
              <w:jc w:val="both"/>
              <w:rPr>
                <w:sz w:val="21"/>
              </w:rPr>
            </w:pPr>
            <w:r>
              <w:rPr>
                <w:sz w:val="21"/>
              </w:rPr>
              <w:t xml:space="preserve">Em feriados de âmbito nacional, a classe de cotas não possui cota, não recebe aplicações e nem realiza resgates e amortizações, sendo </w:t>
            </w:r>
            <w:proofErr w:type="gramStart"/>
            <w:r>
              <w:rPr>
                <w:sz w:val="21"/>
              </w:rPr>
              <w:t>certo que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estas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datas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não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serão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consideradas</w:t>
            </w:r>
            <w:proofErr w:type="gramEnd"/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dias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úteis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fins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contagem de prazo de conversão 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cotas e pagamento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 resgates. Nos feriados estaduais 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municipais 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classe de cotas possui cota, recebe aplicações e realiza resgates e amortizações.</w:t>
            </w:r>
          </w:p>
        </w:tc>
      </w:tr>
      <w:tr w:rsidR="00263A97">
        <w:trPr>
          <w:trHeight w:val="966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spacing w:before="118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Distribuição</w:t>
            </w:r>
            <w:r>
              <w:rPr>
                <w:color w:val="FFFFFF"/>
                <w:spacing w:val="-12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9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Proventos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5"/>
              <w:ind w:left="117" w:right="88"/>
              <w:jc w:val="both"/>
              <w:rPr>
                <w:sz w:val="21"/>
              </w:rPr>
            </w:pPr>
            <w:r>
              <w:rPr>
                <w:noProof/>
                <w:sz w:val="21"/>
                <w:lang w:val="pt-BR" w:eastAsia="pt-BR"/>
              </w:rPr>
              <mc:AlternateContent>
                <mc:Choice Requires="wps">
                  <w:drawing>
                    <wp:anchor distT="0" distB="0" distL="0" distR="0" simplePos="0" relativeHeight="486921216" behindDoc="1" locked="0" layoutInCell="1" allowOverlap="1">
                      <wp:simplePos x="0" y="0"/>
                      <wp:positionH relativeFrom="column">
                        <wp:posOffset>1158239</wp:posOffset>
                      </wp:positionH>
                      <wp:positionV relativeFrom="paragraph">
                        <wp:posOffset>213345</wp:posOffset>
                      </wp:positionV>
                      <wp:extent cx="50800" cy="952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9525"/>
                                <a:chOff x="0" y="0"/>
                                <a:chExt cx="50800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0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9525">
                                      <a:moveTo>
                                        <a:pt x="50291" y="9144"/>
                                      </a:move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0291" y="0"/>
                                      </a:lnTo>
                                      <a:lnTo>
                                        <a:pt x="50291" y="9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91.199997pt;margin-top:16.798874pt;width:4pt;height:.75pt;mso-position-horizontal-relative:column;mso-position-vertical-relative:paragraph;z-index:-16395264" id="docshapegroup9" coordorigin="1824,336" coordsize="80,15">
                      <v:rect style="position:absolute;left:1824;top:335;width:80;height:15" id="docshape10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1"/>
              </w:rPr>
              <w:t>A classe de cotas incorporará ao seu patrimônio líquido os juros sobre capital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próprio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ou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outros rendimentos porventura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advindos 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ativos que integrem a sua carteira.</w:t>
            </w:r>
          </w:p>
        </w:tc>
      </w:tr>
      <w:tr w:rsidR="00263A97">
        <w:trPr>
          <w:trHeight w:val="1689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tabs>
                <w:tab w:val="left" w:pos="2443"/>
              </w:tabs>
              <w:spacing w:before="1"/>
              <w:ind w:left="115" w:right="86"/>
              <w:jc w:val="both"/>
              <w:rPr>
                <w:sz w:val="21"/>
              </w:rPr>
            </w:pPr>
            <w:r>
              <w:rPr>
                <w:color w:val="FFFFFF"/>
                <w:sz w:val="21"/>
              </w:rPr>
              <w:t xml:space="preserve">Utilização de Ativos </w:t>
            </w:r>
            <w:r>
              <w:rPr>
                <w:color w:val="FFFFFF"/>
                <w:spacing w:val="-2"/>
                <w:sz w:val="21"/>
              </w:rPr>
              <w:t>Financeiros</w:t>
            </w:r>
            <w:r>
              <w:rPr>
                <w:color w:val="FFFFFF"/>
                <w:sz w:val="21"/>
              </w:rPr>
              <w:tab/>
            </w:r>
            <w:r>
              <w:rPr>
                <w:color w:val="FFFFFF"/>
                <w:spacing w:val="-6"/>
                <w:sz w:val="21"/>
              </w:rPr>
              <w:t xml:space="preserve">na </w:t>
            </w:r>
            <w:r>
              <w:rPr>
                <w:color w:val="FFFFFF"/>
                <w:sz w:val="21"/>
              </w:rPr>
              <w:t xml:space="preserve">Integralização, Resgate e </w:t>
            </w:r>
            <w:proofErr w:type="gramStart"/>
            <w:r>
              <w:rPr>
                <w:color w:val="FFFFFF"/>
                <w:spacing w:val="-2"/>
                <w:sz w:val="21"/>
              </w:rPr>
              <w:t>Amortização</w:t>
            </w:r>
            <w:proofErr w:type="gramEnd"/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81"/>
              <w:jc w:val="both"/>
              <w:rPr>
                <w:sz w:val="21"/>
              </w:rPr>
            </w:pPr>
            <w:r>
              <w:rPr>
                <w:sz w:val="21"/>
              </w:rPr>
              <w:t>Para a integralização, resgate e amortização, serão utilizados ativos financeiros, devendo ser analisados e aprovados para aporte/resgate pelos Prestadores de Serviços Essenciais, débito e crédito em conta corrente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ou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qualquer outro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sistema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liquidação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venha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ser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 xml:space="preserve">criado, legalmente reconhecido e admitido pelos Prestadores de Serviços </w:t>
            </w:r>
            <w:r>
              <w:rPr>
                <w:spacing w:val="-2"/>
                <w:sz w:val="21"/>
              </w:rPr>
              <w:t>Essenciais.</w:t>
            </w:r>
          </w:p>
        </w:tc>
      </w:tr>
      <w:tr w:rsidR="00263A97">
        <w:trPr>
          <w:trHeight w:val="1324"/>
        </w:trPr>
        <w:tc>
          <w:tcPr>
            <w:tcW w:w="2784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49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15"/>
              <w:rPr>
                <w:sz w:val="21"/>
              </w:rPr>
            </w:pPr>
            <w:r>
              <w:rPr>
                <w:color w:val="FFFFFF"/>
                <w:sz w:val="21"/>
              </w:rPr>
              <w:t>Adoção</w:t>
            </w:r>
            <w:r>
              <w:rPr>
                <w:color w:val="FFFFFF"/>
                <w:spacing w:val="-10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7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Política</w:t>
            </w:r>
            <w:r>
              <w:rPr>
                <w:color w:val="FFFFFF"/>
                <w:spacing w:val="-8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de</w:t>
            </w:r>
            <w:r>
              <w:rPr>
                <w:color w:val="FFFFFF"/>
                <w:spacing w:val="-5"/>
                <w:sz w:val="21"/>
              </w:rPr>
              <w:t xml:space="preserve"> </w:t>
            </w:r>
            <w:r>
              <w:rPr>
                <w:color w:val="FFFFFF"/>
                <w:spacing w:val="-4"/>
                <w:sz w:val="21"/>
              </w:rPr>
              <w:t>Voto</w:t>
            </w:r>
          </w:p>
        </w:tc>
        <w:tc>
          <w:tcPr>
            <w:tcW w:w="6994" w:type="dxa"/>
          </w:tcPr>
          <w:p w:rsidR="00263A97" w:rsidRDefault="00D73B6D">
            <w:pPr>
              <w:pStyle w:val="TableParagraph"/>
              <w:spacing w:before="112"/>
              <w:ind w:left="117" w:right="89"/>
              <w:jc w:val="both"/>
              <w:rPr>
                <w:sz w:val="21"/>
              </w:rPr>
            </w:pPr>
            <w:r>
              <w:rPr>
                <w:sz w:val="21"/>
              </w:rPr>
              <w:t>O GESTOR, em relação a esta classe de cotas, adota política de exercício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direito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voto,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disponível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em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sua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página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na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rede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mundial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 xml:space="preserve">de </w:t>
            </w:r>
            <w:r>
              <w:rPr>
                <w:spacing w:val="-2"/>
                <w:sz w:val="21"/>
              </w:rPr>
              <w:t>computadores.</w:t>
            </w:r>
          </w:p>
        </w:tc>
      </w:tr>
    </w:tbl>
    <w:p w:rsidR="00263A97" w:rsidRDefault="00263A97">
      <w:pPr>
        <w:pStyle w:val="Corpodetexto"/>
        <w:spacing w:before="37"/>
      </w:pPr>
    </w:p>
    <w:p w:rsidR="00263A97" w:rsidRDefault="00D73B6D">
      <w:pPr>
        <w:pStyle w:val="Ttulo1"/>
      </w:pPr>
      <w:r>
        <w:rPr>
          <w:sz w:val="22"/>
        </w:rPr>
        <w:t>CAPÍTULO</w:t>
      </w:r>
      <w:r>
        <w:rPr>
          <w:spacing w:val="-11"/>
          <w:sz w:val="22"/>
        </w:rPr>
        <w:t xml:space="preserve"> </w:t>
      </w:r>
      <w:r>
        <w:rPr>
          <w:sz w:val="22"/>
        </w:rPr>
        <w:t>2</w:t>
      </w:r>
      <w:r>
        <w:rPr>
          <w:spacing w:val="-7"/>
          <w:sz w:val="22"/>
        </w:rPr>
        <w:t xml:space="preserve"> </w:t>
      </w:r>
      <w:r>
        <w:rPr>
          <w:sz w:val="22"/>
        </w:rPr>
        <w:t>–</w:t>
      </w:r>
      <w:r>
        <w:rPr>
          <w:spacing w:val="-11"/>
          <w:sz w:val="22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COTISTAS</w:t>
      </w:r>
      <w:r>
        <w:rPr>
          <w:spacing w:val="-7"/>
        </w:rPr>
        <w:t xml:space="preserve"> </w:t>
      </w:r>
      <w:r>
        <w:t>E REGIME</w:t>
      </w:r>
      <w:r>
        <w:rPr>
          <w:spacing w:val="-1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INSOLVÊNCIA</w:t>
      </w:r>
    </w:p>
    <w:p w:rsidR="00263A97" w:rsidRDefault="00263A97">
      <w:pPr>
        <w:pStyle w:val="Corpodetexto"/>
        <w:spacing w:before="43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7"/>
        </w:numPr>
        <w:tabs>
          <w:tab w:val="left" w:pos="1472"/>
          <w:tab w:val="left" w:pos="1476"/>
        </w:tabs>
        <w:ind w:right="83" w:hanging="682"/>
        <w:jc w:val="both"/>
        <w:rPr>
          <w:sz w:val="20"/>
        </w:rPr>
      </w:pPr>
      <w:r>
        <w:rPr>
          <w:sz w:val="20"/>
        </w:rPr>
        <w:t xml:space="preserve">A responsabilidade do cotista </w:t>
      </w:r>
      <w:r>
        <w:rPr>
          <w:sz w:val="20"/>
        </w:rPr>
        <w:t xml:space="preserve">está limitada ao valor por ele detido, de modo que os cotistas </w:t>
      </w:r>
      <w:r w:rsidR="00CA66B1">
        <w:rPr>
          <w:sz w:val="20"/>
        </w:rPr>
        <w:t xml:space="preserve">não </w:t>
      </w:r>
      <w:r>
        <w:rPr>
          <w:sz w:val="20"/>
        </w:rPr>
        <w:t>respondem por eventual patrimônio líquido negativo da classe de cotas, sem prejuízo da responsabilidade do ADMINISTRADOR e do GESTOR em caso de inobservância d</w:t>
      </w:r>
      <w:r>
        <w:rPr>
          <w:sz w:val="20"/>
        </w:rPr>
        <w:t>a política de investimento ou de seus deveres, nos termos deste regulamento e da regulamentação aplicável.</w:t>
      </w:r>
    </w:p>
    <w:p w:rsidR="00263A97" w:rsidRDefault="00D73B6D">
      <w:pPr>
        <w:pStyle w:val="PargrafodaLista"/>
        <w:numPr>
          <w:ilvl w:val="1"/>
          <w:numId w:val="7"/>
        </w:numPr>
        <w:tabs>
          <w:tab w:val="left" w:pos="1472"/>
          <w:tab w:val="left" w:pos="1476"/>
        </w:tabs>
        <w:spacing w:before="119" w:line="235" w:lineRule="auto"/>
        <w:ind w:right="91" w:hanging="682"/>
        <w:jc w:val="both"/>
        <w:rPr>
          <w:sz w:val="20"/>
        </w:rPr>
      </w:pPr>
      <w:r>
        <w:rPr>
          <w:sz w:val="20"/>
        </w:rPr>
        <w:t>Os cotistas estão</w:t>
      </w:r>
      <w:r>
        <w:rPr>
          <w:spacing w:val="-1"/>
          <w:sz w:val="20"/>
        </w:rPr>
        <w:t xml:space="preserve"> </w:t>
      </w:r>
      <w:r>
        <w:rPr>
          <w:sz w:val="20"/>
        </w:rPr>
        <w:t>cientes da</w:t>
      </w:r>
      <w:r>
        <w:rPr>
          <w:spacing w:val="-3"/>
          <w:sz w:val="20"/>
        </w:rPr>
        <w:t xml:space="preserve"> </w:t>
      </w:r>
      <w:r>
        <w:rPr>
          <w:sz w:val="20"/>
        </w:rPr>
        <w:t>ausência</w:t>
      </w:r>
      <w:r>
        <w:rPr>
          <w:spacing w:val="-1"/>
          <w:sz w:val="20"/>
        </w:rPr>
        <w:t xml:space="preserve"> </w:t>
      </w:r>
      <w:r>
        <w:rPr>
          <w:sz w:val="20"/>
        </w:rPr>
        <w:t>de limitação de responsabilidade, pelo que assinarão no</w:t>
      </w:r>
      <w:r>
        <w:rPr>
          <w:spacing w:val="-1"/>
          <w:sz w:val="20"/>
        </w:rPr>
        <w:t xml:space="preserve"> </w:t>
      </w:r>
      <w:r>
        <w:rPr>
          <w:sz w:val="20"/>
        </w:rPr>
        <w:t>ato de aquisição de suas cotas “Termo de Ciência e Assu</w:t>
      </w:r>
      <w:r>
        <w:rPr>
          <w:sz w:val="20"/>
        </w:rPr>
        <w:t>nção de Responsabilidade Ilimitada”.</w:t>
      </w:r>
    </w:p>
    <w:p w:rsidR="00263A97" w:rsidRDefault="00263A97">
      <w:pPr>
        <w:pStyle w:val="PargrafodaLista"/>
        <w:spacing w:line="235" w:lineRule="auto"/>
        <w:rPr>
          <w:sz w:val="20"/>
        </w:rPr>
        <w:sectPr w:rsidR="00263A97">
          <w:pgSz w:w="11910" w:h="16840"/>
          <w:pgMar w:top="2220" w:right="992" w:bottom="380" w:left="283" w:header="1487" w:footer="186" w:gutter="0"/>
          <w:cols w:space="720"/>
        </w:sectPr>
      </w:pPr>
    </w:p>
    <w:p w:rsidR="00263A97" w:rsidRDefault="00263A97">
      <w:pPr>
        <w:pStyle w:val="Corpodetexto"/>
        <w:spacing w:before="41"/>
        <w:rPr>
          <w:sz w:val="20"/>
        </w:rPr>
      </w:pPr>
    </w:p>
    <w:p w:rsidR="00263A97" w:rsidRDefault="00D73B6D">
      <w:pPr>
        <w:pStyle w:val="Ttulo1"/>
        <w:spacing w:line="237" w:lineRule="auto"/>
      </w:pPr>
      <w:r>
        <w:rPr>
          <w:sz w:val="22"/>
        </w:rPr>
        <w:t>CAPÍTULO</w:t>
      </w:r>
      <w:r>
        <w:rPr>
          <w:spacing w:val="-6"/>
          <w:sz w:val="22"/>
        </w:rPr>
        <w:t xml:space="preserve"> </w:t>
      </w:r>
      <w:r>
        <w:rPr>
          <w:sz w:val="22"/>
        </w:rPr>
        <w:t>3</w:t>
      </w:r>
      <w:r>
        <w:rPr>
          <w:spacing w:val="-5"/>
          <w:sz w:val="22"/>
        </w:rPr>
        <w:t xml:space="preserve"> </w:t>
      </w:r>
      <w:r>
        <w:rPr>
          <w:sz w:val="22"/>
        </w:rPr>
        <w:t>–</w:t>
      </w:r>
      <w:r>
        <w:rPr>
          <w:spacing w:val="-12"/>
          <w:sz w:val="22"/>
        </w:rPr>
        <w:t xml:space="preserve"> </w:t>
      </w:r>
      <w:r>
        <w:t>EMISSÃO,</w:t>
      </w:r>
      <w:r>
        <w:rPr>
          <w:spacing w:val="35"/>
        </w:rPr>
        <w:t xml:space="preserve"> </w:t>
      </w:r>
      <w:r>
        <w:t>DISTRIBUIÇÃO,</w:t>
      </w:r>
      <w:r>
        <w:rPr>
          <w:spacing w:val="37"/>
        </w:rPr>
        <w:t xml:space="preserve"> </w:t>
      </w:r>
      <w:r>
        <w:t>AMORTIZAÇÃO</w:t>
      </w:r>
      <w:r>
        <w:rPr>
          <w:spacing w:val="31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PROCEDIMENTO</w:t>
      </w:r>
      <w:r>
        <w:rPr>
          <w:spacing w:val="38"/>
        </w:rPr>
        <w:t xml:space="preserve"> </w:t>
      </w:r>
      <w:r>
        <w:t>APLICÁVEL</w:t>
      </w:r>
      <w:r>
        <w:rPr>
          <w:spacing w:val="35"/>
        </w:rPr>
        <w:t xml:space="preserve"> </w:t>
      </w:r>
      <w:r>
        <w:t xml:space="preserve">À LIQUIDAÇÃO DA </w:t>
      </w:r>
      <w:proofErr w:type="gramStart"/>
      <w:r>
        <w:t>CLASSE</w:t>
      </w:r>
      <w:proofErr w:type="gramEnd"/>
    </w:p>
    <w:p w:rsidR="00263A97" w:rsidRDefault="00263A97">
      <w:pPr>
        <w:pStyle w:val="Corpodetexto"/>
        <w:spacing w:before="37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5"/>
        </w:tabs>
        <w:ind w:right="83" w:firstLine="0"/>
        <w:jc w:val="both"/>
        <w:rPr>
          <w:sz w:val="21"/>
        </w:rPr>
      </w:pPr>
      <w:r>
        <w:rPr>
          <w:sz w:val="21"/>
        </w:rPr>
        <w:t>Não</w:t>
      </w:r>
      <w:r>
        <w:rPr>
          <w:spacing w:val="-3"/>
          <w:sz w:val="21"/>
        </w:rPr>
        <w:t xml:space="preserve"> </w:t>
      </w:r>
      <w:r>
        <w:rPr>
          <w:sz w:val="21"/>
        </w:rPr>
        <w:t>haverá</w:t>
      </w:r>
      <w:r>
        <w:rPr>
          <w:spacing w:val="-3"/>
          <w:sz w:val="21"/>
        </w:rPr>
        <w:t xml:space="preserve"> </w:t>
      </w:r>
      <w:r>
        <w:rPr>
          <w:sz w:val="21"/>
        </w:rPr>
        <w:t>resgate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cotas a</w:t>
      </w:r>
      <w:r>
        <w:rPr>
          <w:spacing w:val="-2"/>
          <w:sz w:val="21"/>
        </w:rPr>
        <w:t xml:space="preserve"> </w:t>
      </w:r>
      <w:r>
        <w:rPr>
          <w:sz w:val="21"/>
        </w:rPr>
        <w:t>não</w:t>
      </w:r>
      <w:r>
        <w:rPr>
          <w:spacing w:val="-3"/>
          <w:sz w:val="21"/>
        </w:rPr>
        <w:t xml:space="preserve"> </w:t>
      </w:r>
      <w:r>
        <w:rPr>
          <w:sz w:val="21"/>
        </w:rPr>
        <w:t>ser</w:t>
      </w:r>
      <w:r>
        <w:rPr>
          <w:spacing w:val="-1"/>
          <w:sz w:val="21"/>
        </w:rPr>
        <w:t xml:space="preserve"> </w:t>
      </w:r>
      <w:r>
        <w:rPr>
          <w:sz w:val="21"/>
        </w:rPr>
        <w:t>pelo</w:t>
      </w:r>
      <w:r>
        <w:rPr>
          <w:spacing w:val="-3"/>
          <w:sz w:val="21"/>
        </w:rPr>
        <w:t xml:space="preserve"> </w:t>
      </w:r>
      <w:r>
        <w:rPr>
          <w:sz w:val="21"/>
        </w:rPr>
        <w:t>término</w:t>
      </w:r>
      <w:r>
        <w:rPr>
          <w:spacing w:val="-5"/>
          <w:sz w:val="21"/>
        </w:rPr>
        <w:t xml:space="preserve"> </w:t>
      </w:r>
      <w:r>
        <w:rPr>
          <w:sz w:val="21"/>
        </w:rPr>
        <w:t>do</w:t>
      </w:r>
      <w:r>
        <w:rPr>
          <w:spacing w:val="-3"/>
          <w:sz w:val="21"/>
        </w:rPr>
        <w:t xml:space="preserve"> </w:t>
      </w:r>
      <w:r>
        <w:rPr>
          <w:sz w:val="21"/>
        </w:rPr>
        <w:t>prazo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duração</w:t>
      </w:r>
      <w:r>
        <w:rPr>
          <w:spacing w:val="-1"/>
          <w:sz w:val="21"/>
        </w:rPr>
        <w:t xml:space="preserve"> </w:t>
      </w:r>
      <w:r>
        <w:rPr>
          <w:sz w:val="21"/>
        </w:rPr>
        <w:t>ou</w:t>
      </w:r>
      <w:r>
        <w:rPr>
          <w:spacing w:val="-3"/>
          <w:sz w:val="21"/>
        </w:rPr>
        <w:t xml:space="preserve"> </w:t>
      </w:r>
      <w:r>
        <w:rPr>
          <w:sz w:val="21"/>
        </w:rPr>
        <w:t>amortização</w:t>
      </w:r>
      <w:r>
        <w:rPr>
          <w:spacing w:val="-1"/>
          <w:sz w:val="21"/>
        </w:rPr>
        <w:t xml:space="preserve"> </w:t>
      </w:r>
      <w:r>
        <w:rPr>
          <w:sz w:val="21"/>
        </w:rPr>
        <w:t>total</w:t>
      </w:r>
      <w:r>
        <w:rPr>
          <w:spacing w:val="-3"/>
          <w:sz w:val="21"/>
        </w:rPr>
        <w:t xml:space="preserve"> </w:t>
      </w:r>
      <w:r>
        <w:rPr>
          <w:sz w:val="21"/>
        </w:rPr>
        <w:t>da classe e/ou subclasse de cotas, conforme aplicável.</w:t>
      </w: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5"/>
        </w:tabs>
        <w:spacing w:before="120"/>
        <w:ind w:right="86" w:firstLine="0"/>
        <w:jc w:val="both"/>
        <w:rPr>
          <w:sz w:val="21"/>
        </w:rPr>
      </w:pPr>
      <w:r>
        <w:rPr>
          <w:sz w:val="21"/>
        </w:rPr>
        <w:t>A distribuição de cotas de classe fechada deve observar a regulamentação específica sobre ofertas públicas de distribuição de valores mobiliários.</w:t>
      </w: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5"/>
        </w:tabs>
        <w:spacing w:before="121"/>
        <w:ind w:right="83" w:firstLine="0"/>
        <w:jc w:val="both"/>
        <w:rPr>
          <w:sz w:val="21"/>
        </w:rPr>
      </w:pPr>
      <w:r>
        <w:rPr>
          <w:sz w:val="21"/>
        </w:rPr>
        <w:t>Não é admitida nova distribuição de cotas de cla</w:t>
      </w:r>
      <w:r>
        <w:rPr>
          <w:sz w:val="21"/>
        </w:rPr>
        <w:t xml:space="preserve">sse fechada antes de encerrada </w:t>
      </w:r>
      <w:proofErr w:type="gramStart"/>
      <w:r>
        <w:rPr>
          <w:sz w:val="21"/>
        </w:rPr>
        <w:t>a</w:t>
      </w:r>
      <w:proofErr w:type="gramEnd"/>
      <w:r>
        <w:rPr>
          <w:sz w:val="21"/>
        </w:rPr>
        <w:t xml:space="preserve"> distribuição anterior de cotas da mesma classe ou subclasse.</w:t>
      </w: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5"/>
        </w:tabs>
        <w:spacing w:before="120"/>
        <w:ind w:right="85" w:firstLine="0"/>
        <w:jc w:val="both"/>
        <w:rPr>
          <w:sz w:val="21"/>
        </w:rPr>
      </w:pPr>
      <w:r>
        <w:rPr>
          <w:sz w:val="21"/>
        </w:rPr>
        <w:t xml:space="preserve">O valor de cada emissão de cotas e as condições de integralização </w:t>
      </w:r>
      <w:proofErr w:type="gramStart"/>
      <w:r>
        <w:rPr>
          <w:sz w:val="21"/>
        </w:rPr>
        <w:t>seguirão</w:t>
      </w:r>
      <w:proofErr w:type="gramEnd"/>
      <w:r>
        <w:rPr>
          <w:sz w:val="21"/>
        </w:rPr>
        <w:t xml:space="preserve"> o disposto no documento de aceitação da oferta de cotas da classe fechada a ser assinad</w:t>
      </w:r>
      <w:r>
        <w:rPr>
          <w:sz w:val="21"/>
        </w:rPr>
        <w:t>o pelo Cotista, conforme definido na Assembleia de Cotistas que deliberou a emissão.</w:t>
      </w: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5"/>
        </w:tabs>
        <w:spacing w:before="120"/>
        <w:ind w:right="84" w:firstLine="0"/>
        <w:jc w:val="both"/>
        <w:rPr>
          <w:sz w:val="21"/>
        </w:rPr>
      </w:pPr>
      <w:r>
        <w:rPr>
          <w:sz w:val="21"/>
        </w:rPr>
        <w:t>A</w:t>
      </w:r>
      <w:r>
        <w:rPr>
          <w:spacing w:val="-15"/>
          <w:sz w:val="21"/>
        </w:rPr>
        <w:t xml:space="preserve"> </w:t>
      </w:r>
      <w:r>
        <w:rPr>
          <w:sz w:val="21"/>
        </w:rPr>
        <w:t>amortização</w:t>
      </w:r>
      <w:r>
        <w:rPr>
          <w:spacing w:val="-15"/>
          <w:sz w:val="21"/>
        </w:rPr>
        <w:t xml:space="preserve"> </w:t>
      </w:r>
      <w:r>
        <w:rPr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z w:val="21"/>
        </w:rPr>
        <w:t>cotas</w:t>
      </w:r>
      <w:r>
        <w:rPr>
          <w:spacing w:val="-15"/>
          <w:sz w:val="21"/>
        </w:rPr>
        <w:t xml:space="preserve"> </w:t>
      </w:r>
      <w:r>
        <w:rPr>
          <w:sz w:val="21"/>
        </w:rPr>
        <w:t>será</w:t>
      </w:r>
      <w:r>
        <w:rPr>
          <w:spacing w:val="-14"/>
          <w:sz w:val="21"/>
        </w:rPr>
        <w:t xml:space="preserve"> </w:t>
      </w:r>
      <w:r>
        <w:rPr>
          <w:sz w:val="21"/>
        </w:rPr>
        <w:t>sempre</w:t>
      </w:r>
      <w:r>
        <w:rPr>
          <w:spacing w:val="-14"/>
          <w:sz w:val="21"/>
        </w:rPr>
        <w:t xml:space="preserve"> </w:t>
      </w:r>
      <w:r>
        <w:rPr>
          <w:sz w:val="21"/>
        </w:rPr>
        <w:t>efetuada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z w:val="21"/>
        </w:rPr>
        <w:t>forma</w:t>
      </w:r>
      <w:r>
        <w:rPr>
          <w:spacing w:val="-15"/>
          <w:sz w:val="21"/>
        </w:rPr>
        <w:t xml:space="preserve"> </w:t>
      </w:r>
      <w:r>
        <w:rPr>
          <w:sz w:val="21"/>
        </w:rPr>
        <w:t>proporcional</w:t>
      </w:r>
      <w:r>
        <w:rPr>
          <w:spacing w:val="-14"/>
          <w:sz w:val="21"/>
        </w:rPr>
        <w:t xml:space="preserve"> </w:t>
      </w:r>
      <w:r>
        <w:rPr>
          <w:sz w:val="21"/>
        </w:rPr>
        <w:t>entre</w:t>
      </w:r>
      <w:r>
        <w:rPr>
          <w:spacing w:val="-15"/>
          <w:sz w:val="21"/>
        </w:rPr>
        <w:t xml:space="preserve"> </w:t>
      </w:r>
      <w:r>
        <w:rPr>
          <w:sz w:val="21"/>
        </w:rPr>
        <w:t>principal</w:t>
      </w:r>
      <w:r>
        <w:rPr>
          <w:spacing w:val="-13"/>
          <w:sz w:val="21"/>
        </w:rPr>
        <w:t xml:space="preserve"> </w:t>
      </w:r>
      <w:r>
        <w:rPr>
          <w:sz w:val="21"/>
        </w:rPr>
        <w:t>e</w:t>
      </w:r>
      <w:r>
        <w:rPr>
          <w:spacing w:val="-15"/>
          <w:sz w:val="21"/>
        </w:rPr>
        <w:t xml:space="preserve"> </w:t>
      </w:r>
      <w:r>
        <w:rPr>
          <w:sz w:val="21"/>
        </w:rPr>
        <w:t>rendimentos, mediante aprovação em assembleia de cotistas ou a critério do Gestor.</w:t>
      </w: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2"/>
          <w:tab w:val="left" w:pos="1476"/>
        </w:tabs>
        <w:spacing w:before="122"/>
        <w:ind w:left="1476" w:right="76" w:hanging="682"/>
        <w:jc w:val="both"/>
        <w:rPr>
          <w:sz w:val="21"/>
        </w:rPr>
      </w:pPr>
      <w:r>
        <w:rPr>
          <w:sz w:val="21"/>
        </w:rPr>
        <w:t>As cotas da classe poderão ser amortizadas, sem redução do seu número, a critério do Gestor, observando-se:</w:t>
      </w:r>
      <w:r>
        <w:rPr>
          <w:spacing w:val="-15"/>
          <w:sz w:val="21"/>
        </w:rPr>
        <w:t xml:space="preserve"> </w:t>
      </w:r>
      <w:r>
        <w:rPr>
          <w:sz w:val="21"/>
        </w:rPr>
        <w:t>a)</w:t>
      </w:r>
      <w:r>
        <w:rPr>
          <w:spacing w:val="-15"/>
          <w:sz w:val="21"/>
        </w:rPr>
        <w:t xml:space="preserve"> </w:t>
      </w:r>
      <w:r>
        <w:rPr>
          <w:sz w:val="21"/>
        </w:rPr>
        <w:t>as</w:t>
      </w:r>
      <w:r>
        <w:rPr>
          <w:spacing w:val="-14"/>
          <w:sz w:val="21"/>
        </w:rPr>
        <w:t xml:space="preserve"> </w:t>
      </w:r>
      <w:r>
        <w:rPr>
          <w:sz w:val="21"/>
        </w:rPr>
        <w:t>regras</w:t>
      </w:r>
      <w:r>
        <w:rPr>
          <w:spacing w:val="-15"/>
          <w:sz w:val="21"/>
        </w:rPr>
        <w:t xml:space="preserve"> </w:t>
      </w:r>
      <w:r>
        <w:rPr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z w:val="21"/>
        </w:rPr>
        <w:t>enquadramento</w:t>
      </w:r>
      <w:r>
        <w:rPr>
          <w:spacing w:val="-15"/>
          <w:sz w:val="21"/>
        </w:rPr>
        <w:t xml:space="preserve"> </w:t>
      </w:r>
      <w:r>
        <w:rPr>
          <w:sz w:val="21"/>
        </w:rPr>
        <w:t>da</w:t>
      </w:r>
      <w:r>
        <w:rPr>
          <w:spacing w:val="-15"/>
          <w:sz w:val="21"/>
        </w:rPr>
        <w:t xml:space="preserve"> </w:t>
      </w:r>
      <w:r>
        <w:rPr>
          <w:sz w:val="21"/>
        </w:rPr>
        <w:t>carteira</w:t>
      </w:r>
      <w:r>
        <w:rPr>
          <w:spacing w:val="-14"/>
          <w:sz w:val="21"/>
        </w:rPr>
        <w:t xml:space="preserve"> </w:t>
      </w:r>
      <w:r>
        <w:rPr>
          <w:sz w:val="21"/>
        </w:rPr>
        <w:t>da</w:t>
      </w:r>
      <w:r>
        <w:rPr>
          <w:spacing w:val="-15"/>
          <w:sz w:val="21"/>
        </w:rPr>
        <w:t xml:space="preserve"> </w:t>
      </w:r>
      <w:r>
        <w:rPr>
          <w:sz w:val="21"/>
        </w:rPr>
        <w:t>classe;</w:t>
      </w:r>
      <w:r>
        <w:rPr>
          <w:spacing w:val="-14"/>
          <w:sz w:val="21"/>
        </w:rPr>
        <w:t xml:space="preserve"> </w:t>
      </w:r>
      <w:r>
        <w:rPr>
          <w:sz w:val="21"/>
        </w:rPr>
        <w:t>e</w:t>
      </w:r>
      <w:r>
        <w:rPr>
          <w:spacing w:val="-15"/>
          <w:sz w:val="21"/>
        </w:rPr>
        <w:t xml:space="preserve"> </w:t>
      </w:r>
      <w:r>
        <w:rPr>
          <w:sz w:val="21"/>
        </w:rPr>
        <w:t>b)</w:t>
      </w:r>
      <w:r>
        <w:rPr>
          <w:spacing w:val="-15"/>
          <w:sz w:val="21"/>
        </w:rPr>
        <w:t xml:space="preserve"> </w:t>
      </w:r>
      <w:r>
        <w:rPr>
          <w:sz w:val="21"/>
        </w:rPr>
        <w:t>as</w:t>
      </w:r>
      <w:r>
        <w:rPr>
          <w:spacing w:val="-14"/>
          <w:sz w:val="21"/>
        </w:rPr>
        <w:t xml:space="preserve"> </w:t>
      </w:r>
      <w:r>
        <w:rPr>
          <w:sz w:val="21"/>
        </w:rPr>
        <w:t>condições</w:t>
      </w:r>
      <w:r>
        <w:rPr>
          <w:spacing w:val="-15"/>
          <w:sz w:val="21"/>
        </w:rPr>
        <w:t xml:space="preserve"> </w:t>
      </w:r>
      <w:r>
        <w:rPr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z w:val="21"/>
        </w:rPr>
        <w:t>liquidez da carteira.</w:t>
      </w:r>
    </w:p>
    <w:p w:rsidR="00263A97" w:rsidRDefault="00D73B6D">
      <w:pPr>
        <w:pStyle w:val="PargrafodaLista"/>
        <w:numPr>
          <w:ilvl w:val="2"/>
          <w:numId w:val="6"/>
        </w:numPr>
        <w:tabs>
          <w:tab w:val="left" w:pos="2151"/>
          <w:tab w:val="left" w:pos="2155"/>
        </w:tabs>
        <w:spacing w:before="135" w:line="242" w:lineRule="auto"/>
        <w:ind w:right="82"/>
        <w:jc w:val="both"/>
        <w:rPr>
          <w:sz w:val="21"/>
        </w:rPr>
      </w:pPr>
      <w:r>
        <w:rPr>
          <w:sz w:val="21"/>
        </w:rPr>
        <w:t>Neste</w:t>
      </w:r>
      <w:r>
        <w:rPr>
          <w:spacing w:val="-6"/>
          <w:sz w:val="21"/>
        </w:rPr>
        <w:t xml:space="preserve"> </w:t>
      </w:r>
      <w:r>
        <w:rPr>
          <w:sz w:val="21"/>
        </w:rPr>
        <w:t>caso,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6"/>
          <w:sz w:val="21"/>
        </w:rPr>
        <w:t xml:space="preserve"> </w:t>
      </w:r>
      <w:r>
        <w:rPr>
          <w:sz w:val="21"/>
        </w:rPr>
        <w:t>Administrador</w:t>
      </w:r>
      <w:r>
        <w:rPr>
          <w:spacing w:val="-4"/>
          <w:sz w:val="21"/>
        </w:rPr>
        <w:t xml:space="preserve"> </w:t>
      </w:r>
      <w:r>
        <w:rPr>
          <w:sz w:val="21"/>
        </w:rPr>
        <w:t>deverá</w:t>
      </w:r>
      <w:r>
        <w:rPr>
          <w:spacing w:val="-3"/>
          <w:sz w:val="21"/>
        </w:rPr>
        <w:t xml:space="preserve"> </w:t>
      </w:r>
      <w:r>
        <w:rPr>
          <w:sz w:val="21"/>
        </w:rPr>
        <w:t>ser</w:t>
      </w:r>
      <w:r>
        <w:rPr>
          <w:spacing w:val="-4"/>
          <w:sz w:val="21"/>
        </w:rPr>
        <w:t xml:space="preserve"> </w:t>
      </w:r>
      <w:r>
        <w:rPr>
          <w:sz w:val="21"/>
        </w:rPr>
        <w:t>notificado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com </w:t>
      </w:r>
      <w:proofErr w:type="gramStart"/>
      <w:r>
        <w:rPr>
          <w:sz w:val="21"/>
        </w:rPr>
        <w:t>2</w:t>
      </w:r>
      <w:proofErr w:type="gramEnd"/>
      <w:r>
        <w:rPr>
          <w:spacing w:val="-7"/>
          <w:sz w:val="21"/>
        </w:rPr>
        <w:t xml:space="preserve"> </w:t>
      </w:r>
      <w:r>
        <w:rPr>
          <w:sz w:val="21"/>
        </w:rPr>
        <w:t>(dois)</w:t>
      </w:r>
      <w:r>
        <w:rPr>
          <w:spacing w:val="-4"/>
          <w:sz w:val="21"/>
        </w:rPr>
        <w:t xml:space="preserve"> </w:t>
      </w:r>
      <w:r>
        <w:rPr>
          <w:sz w:val="21"/>
        </w:rPr>
        <w:t>dias</w:t>
      </w:r>
      <w:r>
        <w:rPr>
          <w:spacing w:val="-4"/>
          <w:sz w:val="21"/>
        </w:rPr>
        <w:t xml:space="preserve"> </w:t>
      </w:r>
      <w:r>
        <w:rPr>
          <w:sz w:val="21"/>
        </w:rPr>
        <w:t>úteis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antecedência da data de conversão das cotas para fins de amortização (“Data de Conversão da </w:t>
      </w:r>
      <w:r>
        <w:rPr>
          <w:spacing w:val="-2"/>
          <w:sz w:val="21"/>
        </w:rPr>
        <w:t>Amortização”).</w:t>
      </w:r>
    </w:p>
    <w:p w:rsidR="00263A97" w:rsidRDefault="00D73B6D">
      <w:pPr>
        <w:pStyle w:val="PargrafodaLista"/>
        <w:numPr>
          <w:ilvl w:val="2"/>
          <w:numId w:val="6"/>
        </w:numPr>
        <w:tabs>
          <w:tab w:val="left" w:pos="2151"/>
          <w:tab w:val="left" w:pos="2155"/>
        </w:tabs>
        <w:spacing w:before="132" w:line="242" w:lineRule="auto"/>
        <w:ind w:right="85"/>
        <w:jc w:val="both"/>
        <w:rPr>
          <w:sz w:val="21"/>
        </w:rPr>
      </w:pPr>
      <w:r>
        <w:rPr>
          <w:sz w:val="21"/>
        </w:rPr>
        <w:t>O pagamento deverá ser efetuado no 2º (segundo) dia útil subsequente à Data de Conversão da Amortização (D+2).</w:t>
      </w: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5"/>
        </w:tabs>
        <w:spacing w:before="136"/>
        <w:ind w:right="80" w:firstLine="0"/>
        <w:jc w:val="both"/>
        <w:rPr>
          <w:sz w:val="21"/>
        </w:rPr>
      </w:pPr>
      <w:r>
        <w:rPr>
          <w:sz w:val="21"/>
        </w:rPr>
        <w:t>A amortizaç</w:t>
      </w:r>
      <w:r>
        <w:rPr>
          <w:sz w:val="21"/>
        </w:rPr>
        <w:t>ão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cotas</w:t>
      </w:r>
      <w:r>
        <w:rPr>
          <w:spacing w:val="-2"/>
          <w:sz w:val="21"/>
        </w:rPr>
        <w:t xml:space="preserve"> </w:t>
      </w:r>
      <w:r>
        <w:rPr>
          <w:sz w:val="21"/>
        </w:rPr>
        <w:t>abrangerá</w:t>
      </w:r>
      <w:r>
        <w:rPr>
          <w:spacing w:val="-4"/>
          <w:sz w:val="21"/>
        </w:rPr>
        <w:t xml:space="preserve"> </w:t>
      </w:r>
      <w:r>
        <w:rPr>
          <w:sz w:val="21"/>
        </w:rPr>
        <w:t>todas as cotas,</w:t>
      </w:r>
      <w:r>
        <w:rPr>
          <w:spacing w:val="-2"/>
          <w:sz w:val="21"/>
        </w:rPr>
        <w:t xml:space="preserve"> </w:t>
      </w:r>
      <w:r>
        <w:rPr>
          <w:sz w:val="21"/>
        </w:rPr>
        <w:t>sendo</w:t>
      </w:r>
      <w:r>
        <w:rPr>
          <w:spacing w:val="-4"/>
          <w:sz w:val="21"/>
        </w:rPr>
        <w:t xml:space="preserve"> </w:t>
      </w:r>
      <w:r>
        <w:rPr>
          <w:sz w:val="21"/>
        </w:rPr>
        <w:t>caracterizada</w:t>
      </w:r>
      <w:r>
        <w:rPr>
          <w:spacing w:val="-5"/>
          <w:sz w:val="21"/>
        </w:rPr>
        <w:t xml:space="preserve"> </w:t>
      </w:r>
      <w:r>
        <w:rPr>
          <w:sz w:val="21"/>
        </w:rPr>
        <w:t>pelo</w:t>
      </w:r>
      <w:r>
        <w:rPr>
          <w:spacing w:val="-6"/>
          <w:sz w:val="21"/>
        </w:rPr>
        <w:t xml:space="preserve"> </w:t>
      </w:r>
      <w:r>
        <w:rPr>
          <w:sz w:val="21"/>
        </w:rPr>
        <w:t>pagamento</w:t>
      </w:r>
      <w:r>
        <w:rPr>
          <w:spacing w:val="-6"/>
          <w:sz w:val="21"/>
        </w:rPr>
        <w:t xml:space="preserve"> </w:t>
      </w:r>
      <w:r>
        <w:rPr>
          <w:sz w:val="21"/>
        </w:rPr>
        <w:t>uniforme a todos os cotistas de parcela do valor de suas cotas mediante rateio das quantias a serem distribuídas sem redução do número de cotas emitidas.</w:t>
      </w:r>
    </w:p>
    <w:p w:rsidR="00263A97" w:rsidRDefault="00D73B6D">
      <w:pPr>
        <w:pStyle w:val="PargrafodaLista"/>
        <w:numPr>
          <w:ilvl w:val="1"/>
          <w:numId w:val="6"/>
        </w:numPr>
        <w:tabs>
          <w:tab w:val="left" w:pos="1475"/>
        </w:tabs>
        <w:spacing w:before="123"/>
        <w:ind w:right="70" w:firstLine="0"/>
        <w:jc w:val="both"/>
        <w:rPr>
          <w:sz w:val="21"/>
        </w:rPr>
      </w:pPr>
      <w:r>
        <w:rPr>
          <w:sz w:val="21"/>
        </w:rPr>
        <w:t>A assembleia especial de coti</w:t>
      </w:r>
      <w:r>
        <w:rPr>
          <w:sz w:val="21"/>
        </w:rPr>
        <w:t>stas poderá deliberar, a qualquer tempo, sobre a liquidação antecipada</w:t>
      </w:r>
      <w:r>
        <w:rPr>
          <w:spacing w:val="-8"/>
          <w:sz w:val="21"/>
        </w:rPr>
        <w:t xml:space="preserve"> </w:t>
      </w:r>
      <w:r>
        <w:rPr>
          <w:sz w:val="21"/>
        </w:rPr>
        <w:t>da</w:t>
      </w:r>
      <w:r>
        <w:rPr>
          <w:spacing w:val="-7"/>
          <w:sz w:val="21"/>
        </w:rPr>
        <w:t xml:space="preserve"> </w:t>
      </w:r>
      <w:r>
        <w:rPr>
          <w:sz w:val="21"/>
        </w:rPr>
        <w:t>classe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cotas,</w:t>
      </w:r>
      <w:r>
        <w:rPr>
          <w:spacing w:val="-3"/>
          <w:sz w:val="21"/>
        </w:rPr>
        <w:t xml:space="preserve"> </w:t>
      </w:r>
      <w:r>
        <w:rPr>
          <w:sz w:val="21"/>
        </w:rPr>
        <w:t>bem</w:t>
      </w:r>
      <w:r>
        <w:rPr>
          <w:spacing w:val="-6"/>
          <w:sz w:val="21"/>
        </w:rPr>
        <w:t xml:space="preserve"> </w:t>
      </w:r>
      <w:r>
        <w:rPr>
          <w:sz w:val="21"/>
        </w:rPr>
        <w:t>como</w:t>
      </w:r>
      <w:r>
        <w:rPr>
          <w:spacing w:val="-8"/>
          <w:sz w:val="21"/>
        </w:rPr>
        <w:t xml:space="preserve"> </w:t>
      </w:r>
      <w:r>
        <w:rPr>
          <w:sz w:val="21"/>
        </w:rPr>
        <w:t>sobre</w:t>
      </w:r>
      <w:r>
        <w:rPr>
          <w:spacing w:val="-7"/>
          <w:sz w:val="21"/>
        </w:rPr>
        <w:t xml:space="preserve"> </w:t>
      </w:r>
      <w:r>
        <w:rPr>
          <w:sz w:val="21"/>
        </w:rPr>
        <w:t>a</w:t>
      </w:r>
      <w:r>
        <w:rPr>
          <w:spacing w:val="-7"/>
          <w:sz w:val="21"/>
        </w:rPr>
        <w:t xml:space="preserve"> </w:t>
      </w:r>
      <w:r>
        <w:rPr>
          <w:sz w:val="21"/>
        </w:rPr>
        <w:t>forma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pagamento</w:t>
      </w:r>
      <w:r>
        <w:rPr>
          <w:spacing w:val="-5"/>
          <w:sz w:val="21"/>
        </w:rPr>
        <w:t xml:space="preserve"> </w:t>
      </w:r>
      <w:r>
        <w:rPr>
          <w:sz w:val="21"/>
        </w:rPr>
        <w:t>dos</w:t>
      </w:r>
      <w:r>
        <w:rPr>
          <w:spacing w:val="-7"/>
          <w:sz w:val="21"/>
        </w:rPr>
        <w:t xml:space="preserve"> </w:t>
      </w:r>
      <w:r>
        <w:rPr>
          <w:sz w:val="21"/>
        </w:rPr>
        <w:t>valores devidos</w:t>
      </w:r>
      <w:r>
        <w:rPr>
          <w:spacing w:val="-5"/>
          <w:sz w:val="21"/>
        </w:rPr>
        <w:t xml:space="preserve"> </w:t>
      </w:r>
      <w:r>
        <w:rPr>
          <w:sz w:val="21"/>
        </w:rPr>
        <w:t>aos</w:t>
      </w:r>
      <w:r>
        <w:rPr>
          <w:spacing w:val="-7"/>
          <w:sz w:val="21"/>
        </w:rPr>
        <w:t xml:space="preserve"> </w:t>
      </w:r>
      <w:r>
        <w:rPr>
          <w:sz w:val="21"/>
        </w:rPr>
        <w:t>cotistas, observado que caso a liquidação antecipada seja aprovada, o ADMINISTRADOR deverá promover a divisão do patrimônio da classe entre os cotistas desta classe de cotas, na proporção de suas cotas, no prazo máximo de 30 (trinta) dias, a contar da data</w:t>
      </w:r>
      <w:r>
        <w:rPr>
          <w:sz w:val="21"/>
        </w:rPr>
        <w:t xml:space="preserve"> de realização da referida assembleia.</w:t>
      </w:r>
    </w:p>
    <w:p w:rsidR="00263A97" w:rsidRDefault="00263A97">
      <w:pPr>
        <w:pStyle w:val="Corpodetexto"/>
        <w:spacing w:before="39"/>
      </w:pPr>
    </w:p>
    <w:p w:rsidR="00263A97" w:rsidRDefault="00D73B6D">
      <w:pPr>
        <w:spacing w:line="237" w:lineRule="auto"/>
        <w:ind w:left="797"/>
        <w:rPr>
          <w:rFonts w:ascii="Arial" w:hAnsi="Arial"/>
          <w:b/>
          <w:sz w:val="21"/>
        </w:rPr>
      </w:pPr>
      <w:r>
        <w:rPr>
          <w:rFonts w:ascii="Arial" w:hAnsi="Arial"/>
          <w:b/>
        </w:rPr>
        <w:t>CAPÍTULO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4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color w:val="212A34"/>
          <w:sz w:val="21"/>
        </w:rPr>
        <w:t>ASSEMBLEIA</w:t>
      </w:r>
      <w:r>
        <w:rPr>
          <w:rFonts w:ascii="Arial" w:hAnsi="Arial"/>
          <w:b/>
          <w:color w:val="212A34"/>
          <w:spacing w:val="-19"/>
          <w:sz w:val="21"/>
        </w:rPr>
        <w:t xml:space="preserve"> </w:t>
      </w:r>
      <w:r>
        <w:rPr>
          <w:rFonts w:ascii="Arial" w:hAnsi="Arial"/>
          <w:b/>
          <w:color w:val="212A34"/>
          <w:sz w:val="21"/>
        </w:rPr>
        <w:t>ESPECIAL</w:t>
      </w:r>
      <w:r>
        <w:rPr>
          <w:rFonts w:ascii="Arial" w:hAnsi="Arial"/>
          <w:b/>
          <w:color w:val="212A34"/>
          <w:spacing w:val="-14"/>
          <w:sz w:val="21"/>
        </w:rPr>
        <w:t xml:space="preserve"> </w:t>
      </w:r>
      <w:r>
        <w:rPr>
          <w:rFonts w:ascii="Arial" w:hAnsi="Arial"/>
          <w:b/>
          <w:color w:val="212A34"/>
          <w:sz w:val="21"/>
        </w:rPr>
        <w:t>DE</w:t>
      </w:r>
      <w:r>
        <w:rPr>
          <w:rFonts w:ascii="Arial" w:hAnsi="Arial"/>
          <w:b/>
          <w:color w:val="212A34"/>
          <w:spacing w:val="-15"/>
          <w:sz w:val="21"/>
        </w:rPr>
        <w:t xml:space="preserve"> </w:t>
      </w:r>
      <w:r>
        <w:rPr>
          <w:rFonts w:ascii="Arial" w:hAnsi="Arial"/>
          <w:b/>
          <w:color w:val="212A34"/>
          <w:sz w:val="21"/>
        </w:rPr>
        <w:t>COTISTAS</w:t>
      </w:r>
      <w:r>
        <w:rPr>
          <w:rFonts w:ascii="Arial" w:hAnsi="Arial"/>
          <w:b/>
          <w:color w:val="212A34"/>
          <w:spacing w:val="-15"/>
          <w:sz w:val="21"/>
        </w:rPr>
        <w:t xml:space="preserve"> </w:t>
      </w:r>
      <w:r>
        <w:rPr>
          <w:rFonts w:ascii="Arial" w:hAnsi="Arial"/>
          <w:b/>
          <w:color w:val="212A34"/>
          <w:sz w:val="21"/>
        </w:rPr>
        <w:t>E</w:t>
      </w:r>
      <w:r>
        <w:rPr>
          <w:rFonts w:ascii="Arial" w:hAnsi="Arial"/>
          <w:b/>
          <w:color w:val="212A34"/>
          <w:spacing w:val="-14"/>
          <w:sz w:val="21"/>
        </w:rPr>
        <w:t xml:space="preserve"> </w:t>
      </w:r>
      <w:r>
        <w:rPr>
          <w:rFonts w:ascii="Arial" w:hAnsi="Arial"/>
          <w:b/>
          <w:color w:val="212A34"/>
          <w:sz w:val="21"/>
        </w:rPr>
        <w:t>DEMAIS</w:t>
      </w:r>
      <w:r>
        <w:rPr>
          <w:rFonts w:ascii="Arial" w:hAnsi="Arial"/>
          <w:b/>
          <w:color w:val="212A34"/>
          <w:spacing w:val="-15"/>
          <w:sz w:val="21"/>
        </w:rPr>
        <w:t xml:space="preserve"> </w:t>
      </w:r>
      <w:r>
        <w:rPr>
          <w:rFonts w:ascii="Arial" w:hAnsi="Arial"/>
          <w:b/>
          <w:color w:val="212A34"/>
          <w:sz w:val="21"/>
        </w:rPr>
        <w:t>PROCEDIMENTOS</w:t>
      </w:r>
      <w:r>
        <w:rPr>
          <w:rFonts w:ascii="Arial" w:hAnsi="Arial"/>
          <w:b/>
          <w:color w:val="212A34"/>
          <w:spacing w:val="-13"/>
          <w:sz w:val="21"/>
        </w:rPr>
        <w:t xml:space="preserve"> </w:t>
      </w:r>
      <w:r>
        <w:rPr>
          <w:rFonts w:ascii="Arial" w:hAnsi="Arial"/>
          <w:b/>
          <w:color w:val="212A34"/>
          <w:sz w:val="21"/>
        </w:rPr>
        <w:t>APLICÁVEIS ÀS MANIFESTAÇÕES DAS VONTADES DOS COTISTAS</w:t>
      </w:r>
    </w:p>
    <w:p w:rsidR="00263A97" w:rsidRDefault="00263A97">
      <w:pPr>
        <w:pStyle w:val="Corpodetexto"/>
        <w:spacing w:before="39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5"/>
        </w:numPr>
        <w:tabs>
          <w:tab w:val="left" w:pos="1476"/>
        </w:tabs>
        <w:spacing w:before="1"/>
        <w:ind w:right="83" w:firstLine="0"/>
        <w:rPr>
          <w:sz w:val="21"/>
        </w:rPr>
      </w:pPr>
      <w:r>
        <w:rPr>
          <w:sz w:val="21"/>
        </w:rPr>
        <w:t>A</w:t>
      </w:r>
      <w:r>
        <w:rPr>
          <w:spacing w:val="-7"/>
          <w:sz w:val="21"/>
        </w:rPr>
        <w:t xml:space="preserve"> </w:t>
      </w:r>
      <w:r>
        <w:rPr>
          <w:sz w:val="21"/>
        </w:rPr>
        <w:t>assembleia</w:t>
      </w:r>
      <w:r>
        <w:rPr>
          <w:spacing w:val="-2"/>
          <w:sz w:val="21"/>
        </w:rPr>
        <w:t xml:space="preserve"> </w:t>
      </w:r>
      <w:r>
        <w:rPr>
          <w:sz w:val="21"/>
        </w:rPr>
        <w:t>especial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cotistas</w:t>
      </w:r>
      <w:r>
        <w:rPr>
          <w:spacing w:val="-1"/>
          <w:sz w:val="21"/>
        </w:rPr>
        <w:t xml:space="preserve"> </w:t>
      </w:r>
      <w:r>
        <w:rPr>
          <w:sz w:val="21"/>
        </w:rPr>
        <w:t>desta</w:t>
      </w:r>
      <w:r>
        <w:rPr>
          <w:spacing w:val="-9"/>
          <w:sz w:val="21"/>
        </w:rPr>
        <w:t xml:space="preserve"> </w:t>
      </w:r>
      <w:r>
        <w:rPr>
          <w:sz w:val="21"/>
        </w:rPr>
        <w:t>classe,</w:t>
      </w:r>
      <w:r>
        <w:rPr>
          <w:spacing w:val="-5"/>
          <w:sz w:val="21"/>
        </w:rPr>
        <w:t xml:space="preserve"> </w:t>
      </w:r>
      <w:r>
        <w:rPr>
          <w:sz w:val="21"/>
        </w:rPr>
        <w:t>se</w:t>
      </w:r>
      <w:r>
        <w:rPr>
          <w:spacing w:val="-9"/>
          <w:sz w:val="21"/>
        </w:rPr>
        <w:t xml:space="preserve"> </w:t>
      </w:r>
      <w:r>
        <w:rPr>
          <w:sz w:val="21"/>
        </w:rPr>
        <w:t>aplicável,</w:t>
      </w:r>
      <w:r>
        <w:rPr>
          <w:spacing w:val="-7"/>
          <w:sz w:val="21"/>
        </w:rPr>
        <w:t xml:space="preserve"> </w:t>
      </w:r>
      <w:r>
        <w:rPr>
          <w:sz w:val="21"/>
        </w:rPr>
        <w:t>é</w:t>
      </w:r>
      <w:r>
        <w:rPr>
          <w:spacing w:val="-9"/>
          <w:sz w:val="21"/>
        </w:rPr>
        <w:t xml:space="preserve"> </w:t>
      </w:r>
      <w:r>
        <w:rPr>
          <w:sz w:val="21"/>
        </w:rPr>
        <w:t>responsável</w:t>
      </w:r>
      <w:r>
        <w:rPr>
          <w:spacing w:val="-3"/>
          <w:sz w:val="21"/>
        </w:rPr>
        <w:t xml:space="preserve"> </w:t>
      </w:r>
      <w:r>
        <w:rPr>
          <w:sz w:val="21"/>
        </w:rPr>
        <w:t>por</w:t>
      </w:r>
      <w:r>
        <w:rPr>
          <w:spacing w:val="-9"/>
          <w:sz w:val="21"/>
        </w:rPr>
        <w:t xml:space="preserve"> </w:t>
      </w:r>
      <w:r>
        <w:rPr>
          <w:sz w:val="21"/>
        </w:rPr>
        <w:t>deliberar</w:t>
      </w:r>
      <w:r>
        <w:rPr>
          <w:spacing w:val="-7"/>
          <w:sz w:val="21"/>
        </w:rPr>
        <w:t xml:space="preserve"> </w:t>
      </w:r>
      <w:r>
        <w:rPr>
          <w:sz w:val="21"/>
        </w:rPr>
        <w:t>sobre</w:t>
      </w:r>
      <w:r>
        <w:rPr>
          <w:spacing w:val="-3"/>
          <w:sz w:val="21"/>
        </w:rPr>
        <w:t xml:space="preserve"> </w:t>
      </w:r>
      <w:r>
        <w:rPr>
          <w:sz w:val="21"/>
        </w:rPr>
        <w:t>as matérias específicas da referida classe de cotas, na forma da Resolução 175 e alterações posteriores.</w:t>
      </w:r>
    </w:p>
    <w:p w:rsidR="00263A97" w:rsidRDefault="00D73B6D">
      <w:pPr>
        <w:pStyle w:val="PargrafodaLista"/>
        <w:numPr>
          <w:ilvl w:val="2"/>
          <w:numId w:val="5"/>
        </w:numPr>
        <w:tabs>
          <w:tab w:val="left" w:pos="1761"/>
        </w:tabs>
        <w:spacing w:before="117" w:line="242" w:lineRule="auto"/>
        <w:ind w:right="78"/>
        <w:rPr>
          <w:sz w:val="21"/>
        </w:rPr>
      </w:pPr>
      <w:r>
        <w:rPr>
          <w:sz w:val="21"/>
        </w:rPr>
        <w:t>A convocação ocorrerá, no mínimo, com 10 (dez) dias de antecedência da data da realização da assembleia, exclusivamente por meio eletrônico.</w:t>
      </w:r>
    </w:p>
    <w:p w:rsidR="00263A97" w:rsidRDefault="00D73B6D">
      <w:pPr>
        <w:pStyle w:val="PargrafodaLista"/>
        <w:numPr>
          <w:ilvl w:val="2"/>
          <w:numId w:val="5"/>
        </w:numPr>
        <w:tabs>
          <w:tab w:val="left" w:pos="1761"/>
        </w:tabs>
        <w:spacing w:before="117"/>
        <w:rPr>
          <w:sz w:val="21"/>
        </w:rPr>
      </w:pP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instalação</w:t>
      </w:r>
      <w:r>
        <w:rPr>
          <w:spacing w:val="-9"/>
          <w:sz w:val="21"/>
        </w:rPr>
        <w:t xml:space="preserve"> </w:t>
      </w:r>
      <w:r>
        <w:rPr>
          <w:sz w:val="21"/>
        </w:rPr>
        <w:t>ocorrerá</w:t>
      </w:r>
      <w:r>
        <w:rPr>
          <w:spacing w:val="-8"/>
          <w:sz w:val="21"/>
        </w:rPr>
        <w:t xml:space="preserve"> </w:t>
      </w:r>
      <w:r>
        <w:rPr>
          <w:sz w:val="21"/>
        </w:rPr>
        <w:t>com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presença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qualquer</w:t>
      </w:r>
      <w:r>
        <w:rPr>
          <w:spacing w:val="-6"/>
          <w:sz w:val="21"/>
        </w:rPr>
        <w:t xml:space="preserve"> </w:t>
      </w:r>
      <w:r>
        <w:rPr>
          <w:sz w:val="21"/>
        </w:rPr>
        <w:t>número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cotistas.</w:t>
      </w:r>
    </w:p>
    <w:p w:rsidR="00263A97" w:rsidRDefault="00D73B6D">
      <w:pPr>
        <w:pStyle w:val="PargrafodaLista"/>
        <w:numPr>
          <w:ilvl w:val="2"/>
          <w:numId w:val="5"/>
        </w:numPr>
        <w:tabs>
          <w:tab w:val="left" w:pos="1761"/>
        </w:tabs>
        <w:spacing w:before="116"/>
        <w:rPr>
          <w:sz w:val="21"/>
        </w:rPr>
      </w:pPr>
      <w:r>
        <w:rPr>
          <w:sz w:val="21"/>
        </w:rPr>
        <w:t>A</w:t>
      </w:r>
      <w:r>
        <w:rPr>
          <w:spacing w:val="-12"/>
          <w:sz w:val="21"/>
        </w:rPr>
        <w:t xml:space="preserve"> </w:t>
      </w:r>
      <w:r>
        <w:rPr>
          <w:sz w:val="21"/>
        </w:rPr>
        <w:t>presença</w:t>
      </w:r>
      <w:r>
        <w:rPr>
          <w:spacing w:val="-10"/>
          <w:sz w:val="21"/>
        </w:rPr>
        <w:t xml:space="preserve"> </w:t>
      </w:r>
      <w:r>
        <w:rPr>
          <w:sz w:val="21"/>
        </w:rPr>
        <w:t>da</w:t>
      </w:r>
      <w:r>
        <w:rPr>
          <w:spacing w:val="-7"/>
          <w:sz w:val="21"/>
        </w:rPr>
        <w:t xml:space="preserve"> </w:t>
      </w:r>
      <w:r>
        <w:rPr>
          <w:sz w:val="21"/>
        </w:rPr>
        <w:t>totalidade</w:t>
      </w:r>
      <w:r>
        <w:rPr>
          <w:spacing w:val="-8"/>
          <w:sz w:val="21"/>
        </w:rPr>
        <w:t xml:space="preserve"> </w:t>
      </w:r>
      <w:r>
        <w:rPr>
          <w:sz w:val="21"/>
        </w:rPr>
        <w:t>dos</w:t>
      </w:r>
      <w:r>
        <w:rPr>
          <w:spacing w:val="-4"/>
          <w:sz w:val="21"/>
        </w:rPr>
        <w:t xml:space="preserve"> </w:t>
      </w:r>
      <w:r>
        <w:rPr>
          <w:sz w:val="21"/>
        </w:rPr>
        <w:t>cotistas</w:t>
      </w:r>
      <w:r>
        <w:rPr>
          <w:spacing w:val="-6"/>
          <w:sz w:val="21"/>
        </w:rPr>
        <w:t xml:space="preserve"> </w:t>
      </w:r>
      <w:r>
        <w:rPr>
          <w:sz w:val="21"/>
        </w:rPr>
        <w:t>suprirá</w:t>
      </w:r>
      <w:r>
        <w:rPr>
          <w:spacing w:val="-10"/>
          <w:sz w:val="21"/>
        </w:rPr>
        <w:t xml:space="preserve"> </w:t>
      </w:r>
      <w:r>
        <w:rPr>
          <w:sz w:val="21"/>
        </w:rPr>
        <w:t>eventual</w:t>
      </w:r>
      <w:r>
        <w:rPr>
          <w:spacing w:val="-8"/>
          <w:sz w:val="21"/>
        </w:rPr>
        <w:t xml:space="preserve"> </w:t>
      </w:r>
      <w:r>
        <w:rPr>
          <w:sz w:val="21"/>
        </w:rPr>
        <w:t>ausência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convocação.</w:t>
      </w:r>
    </w:p>
    <w:p w:rsidR="00263A97" w:rsidRDefault="00D73B6D">
      <w:pPr>
        <w:pStyle w:val="PargrafodaLista"/>
        <w:numPr>
          <w:ilvl w:val="2"/>
          <w:numId w:val="5"/>
        </w:numPr>
        <w:tabs>
          <w:tab w:val="left" w:pos="1761"/>
        </w:tabs>
        <w:spacing w:before="126"/>
        <w:ind w:right="73"/>
        <w:rPr>
          <w:sz w:val="21"/>
        </w:rPr>
      </w:pPr>
      <w:r>
        <w:rPr>
          <w:sz w:val="21"/>
        </w:rPr>
        <w:t>Serão utilizados quaisquer meios ou canais, conforme especificados no respectivo aviso de</w:t>
      </w:r>
      <w:r>
        <w:rPr>
          <w:spacing w:val="40"/>
          <w:sz w:val="21"/>
        </w:rPr>
        <w:t xml:space="preserve"> </w:t>
      </w:r>
      <w:r>
        <w:rPr>
          <w:sz w:val="21"/>
        </w:rPr>
        <w:t>convocação, para a c</w:t>
      </w:r>
      <w:r>
        <w:rPr>
          <w:sz w:val="21"/>
        </w:rPr>
        <w:t>oleta das manifestações dos cotistas.</w:t>
      </w:r>
    </w:p>
    <w:p w:rsidR="00263A97" w:rsidRDefault="00263A97">
      <w:pPr>
        <w:pStyle w:val="PargrafodaLista"/>
        <w:jc w:val="left"/>
        <w:rPr>
          <w:sz w:val="21"/>
        </w:rPr>
        <w:sectPr w:rsidR="00263A97">
          <w:pgSz w:w="11910" w:h="16840"/>
          <w:pgMar w:top="2220" w:right="992" w:bottom="380" w:left="283" w:header="1487" w:footer="186" w:gutter="0"/>
          <w:cols w:space="720"/>
        </w:sectPr>
      </w:pPr>
    </w:p>
    <w:p w:rsidR="00263A97" w:rsidRDefault="00263A97">
      <w:pPr>
        <w:pStyle w:val="Corpodetexto"/>
      </w:pPr>
    </w:p>
    <w:p w:rsidR="00263A97" w:rsidRDefault="00263A97">
      <w:pPr>
        <w:pStyle w:val="Corpodetexto"/>
        <w:spacing w:before="65"/>
      </w:pPr>
    </w:p>
    <w:p w:rsidR="00263A97" w:rsidRDefault="00D73B6D">
      <w:pPr>
        <w:pStyle w:val="PargrafodaLista"/>
        <w:numPr>
          <w:ilvl w:val="2"/>
          <w:numId w:val="5"/>
        </w:numPr>
        <w:tabs>
          <w:tab w:val="left" w:pos="1755"/>
          <w:tab w:val="left" w:pos="1761"/>
        </w:tabs>
        <w:ind w:right="83"/>
        <w:jc w:val="both"/>
        <w:rPr>
          <w:sz w:val="21"/>
        </w:rPr>
      </w:pPr>
      <w:r>
        <w:rPr>
          <w:sz w:val="21"/>
        </w:rPr>
        <w:t>A cada</w:t>
      </w:r>
      <w:r>
        <w:rPr>
          <w:spacing w:val="-2"/>
          <w:sz w:val="21"/>
        </w:rPr>
        <w:t xml:space="preserve"> </w:t>
      </w:r>
      <w:r>
        <w:rPr>
          <w:sz w:val="21"/>
        </w:rPr>
        <w:t>cotista</w:t>
      </w:r>
      <w:r>
        <w:rPr>
          <w:spacing w:val="-4"/>
          <w:sz w:val="21"/>
        </w:rPr>
        <w:t xml:space="preserve"> </w:t>
      </w:r>
      <w:r>
        <w:rPr>
          <w:sz w:val="21"/>
        </w:rPr>
        <w:t>cabe</w:t>
      </w:r>
      <w:r>
        <w:rPr>
          <w:spacing w:val="-2"/>
          <w:sz w:val="21"/>
        </w:rPr>
        <w:t xml:space="preserve"> </w:t>
      </w:r>
      <w:r>
        <w:rPr>
          <w:sz w:val="21"/>
        </w:rPr>
        <w:t>uma</w:t>
      </w:r>
      <w:r>
        <w:rPr>
          <w:spacing w:val="-1"/>
          <w:sz w:val="21"/>
        </w:rPr>
        <w:t xml:space="preserve"> </w:t>
      </w:r>
      <w:r>
        <w:rPr>
          <w:sz w:val="21"/>
        </w:rPr>
        <w:t>quantidade de</w:t>
      </w:r>
      <w:r>
        <w:rPr>
          <w:spacing w:val="-3"/>
          <w:sz w:val="21"/>
        </w:rPr>
        <w:t xml:space="preserve"> </w:t>
      </w:r>
      <w:r>
        <w:rPr>
          <w:sz w:val="21"/>
        </w:rPr>
        <w:t>votos representativa</w:t>
      </w:r>
      <w:r>
        <w:rPr>
          <w:spacing w:val="-3"/>
          <w:sz w:val="21"/>
        </w:rPr>
        <w:t xml:space="preserve"> </w:t>
      </w:r>
      <w:r>
        <w:rPr>
          <w:sz w:val="21"/>
        </w:rPr>
        <w:t>de sua participação</w:t>
      </w:r>
      <w:r>
        <w:rPr>
          <w:spacing w:val="-4"/>
          <w:sz w:val="21"/>
        </w:rPr>
        <w:t xml:space="preserve"> </w:t>
      </w:r>
      <w:r>
        <w:rPr>
          <w:sz w:val="21"/>
        </w:rPr>
        <w:t>na classe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de </w:t>
      </w:r>
      <w:r>
        <w:rPr>
          <w:spacing w:val="-2"/>
          <w:sz w:val="21"/>
        </w:rPr>
        <w:t>cotas.</w:t>
      </w:r>
    </w:p>
    <w:p w:rsidR="00263A97" w:rsidRDefault="00D73B6D">
      <w:pPr>
        <w:pStyle w:val="PargrafodaLista"/>
        <w:numPr>
          <w:ilvl w:val="2"/>
          <w:numId w:val="5"/>
        </w:numPr>
        <w:tabs>
          <w:tab w:val="left" w:pos="1755"/>
          <w:tab w:val="left" w:pos="1761"/>
        </w:tabs>
        <w:spacing w:before="122"/>
        <w:ind w:right="80"/>
        <w:jc w:val="both"/>
        <w:rPr>
          <w:sz w:val="21"/>
        </w:rPr>
      </w:pPr>
      <w:r>
        <w:rPr>
          <w:sz w:val="21"/>
        </w:rPr>
        <w:t>O quórum para</w:t>
      </w:r>
      <w:r>
        <w:rPr>
          <w:spacing w:val="-1"/>
          <w:sz w:val="21"/>
        </w:rPr>
        <w:t xml:space="preserve"> </w:t>
      </w:r>
      <w:r>
        <w:rPr>
          <w:sz w:val="21"/>
        </w:rPr>
        <w:t>aprovação é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maioria simples dos votos dos presentes, independentemente da matéria.</w:t>
      </w:r>
    </w:p>
    <w:p w:rsidR="00263A97" w:rsidRDefault="00D73B6D">
      <w:pPr>
        <w:pStyle w:val="PargrafodaLista"/>
        <w:numPr>
          <w:ilvl w:val="2"/>
          <w:numId w:val="5"/>
        </w:numPr>
        <w:tabs>
          <w:tab w:val="left" w:pos="1755"/>
          <w:tab w:val="left" w:pos="1761"/>
        </w:tabs>
        <w:spacing w:before="117" w:line="242" w:lineRule="auto"/>
        <w:ind w:right="79"/>
        <w:jc w:val="both"/>
        <w:rPr>
          <w:sz w:val="21"/>
        </w:rPr>
      </w:pPr>
      <w:r>
        <w:rPr>
          <w:sz w:val="21"/>
        </w:rPr>
        <w:t xml:space="preserve">As deliberações relativas, exclusivamente, às demonstrações contábeis que não contiverem opinião modificada podem ser consideradas automaticamente aprovadas caso a assembleia correspondente não seja instalada em virtude do não comparecimento de quaisquer </w:t>
      </w:r>
      <w:r>
        <w:rPr>
          <w:sz w:val="21"/>
        </w:rPr>
        <w:t>cotistas.</w:t>
      </w:r>
    </w:p>
    <w:p w:rsidR="00263A97" w:rsidRDefault="00D73B6D">
      <w:pPr>
        <w:pStyle w:val="PargrafodaLista"/>
        <w:numPr>
          <w:ilvl w:val="1"/>
          <w:numId w:val="5"/>
        </w:numPr>
        <w:tabs>
          <w:tab w:val="left" w:pos="1475"/>
        </w:tabs>
        <w:spacing w:before="113"/>
        <w:ind w:right="77" w:firstLine="0"/>
        <w:jc w:val="both"/>
        <w:rPr>
          <w:sz w:val="21"/>
        </w:rPr>
      </w:pPr>
      <w:r>
        <w:rPr>
          <w:sz w:val="21"/>
        </w:rPr>
        <w:t>As deliberações privativas de assembleia de cotistas poderão ser adotadas em consulta formal, por</w:t>
      </w:r>
      <w:r>
        <w:rPr>
          <w:spacing w:val="-6"/>
          <w:sz w:val="21"/>
        </w:rPr>
        <w:t xml:space="preserve"> </w:t>
      </w:r>
      <w:r>
        <w:rPr>
          <w:sz w:val="21"/>
        </w:rPr>
        <w:t>meio</w:t>
      </w:r>
      <w:r>
        <w:rPr>
          <w:spacing w:val="-4"/>
          <w:sz w:val="21"/>
        </w:rPr>
        <w:t xml:space="preserve"> </w:t>
      </w:r>
      <w:r>
        <w:rPr>
          <w:sz w:val="21"/>
        </w:rPr>
        <w:t>eletrônico,</w:t>
      </w:r>
      <w:r>
        <w:rPr>
          <w:spacing w:val="-6"/>
          <w:sz w:val="21"/>
        </w:rPr>
        <w:t xml:space="preserve"> </w:t>
      </w:r>
      <w:r>
        <w:rPr>
          <w:sz w:val="21"/>
        </w:rPr>
        <w:t>dirigido</w:t>
      </w:r>
      <w:r>
        <w:rPr>
          <w:spacing w:val="-8"/>
          <w:sz w:val="21"/>
        </w:rPr>
        <w:t xml:space="preserve"> </w:t>
      </w:r>
      <w:r>
        <w:rPr>
          <w:sz w:val="21"/>
        </w:rPr>
        <w:t>pelo</w:t>
      </w:r>
      <w:r>
        <w:rPr>
          <w:spacing w:val="-6"/>
          <w:sz w:val="21"/>
        </w:rPr>
        <w:t xml:space="preserve"> </w:t>
      </w:r>
      <w:r>
        <w:rPr>
          <w:sz w:val="21"/>
        </w:rPr>
        <w:t>ADMINISTRADOR</w:t>
      </w:r>
      <w:r>
        <w:rPr>
          <w:spacing w:val="-8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cada</w:t>
      </w:r>
      <w:r>
        <w:rPr>
          <w:spacing w:val="-6"/>
          <w:sz w:val="21"/>
        </w:rPr>
        <w:t xml:space="preserve"> </w:t>
      </w:r>
      <w:r>
        <w:rPr>
          <w:sz w:val="21"/>
        </w:rPr>
        <w:t>cotista,</w:t>
      </w:r>
      <w:r>
        <w:rPr>
          <w:spacing w:val="-8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resposta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8"/>
          <w:sz w:val="21"/>
        </w:rPr>
        <w:t xml:space="preserve"> </w:t>
      </w:r>
      <w:r>
        <w:rPr>
          <w:sz w:val="21"/>
        </w:rPr>
        <w:t>prazo</w:t>
      </w:r>
      <w:r>
        <w:rPr>
          <w:spacing w:val="-9"/>
          <w:sz w:val="21"/>
        </w:rPr>
        <w:t xml:space="preserve"> </w:t>
      </w:r>
      <w:r>
        <w:rPr>
          <w:sz w:val="21"/>
        </w:rPr>
        <w:t>mínimo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10 (dez)</w:t>
      </w:r>
      <w:r>
        <w:rPr>
          <w:spacing w:val="-15"/>
          <w:sz w:val="21"/>
        </w:rPr>
        <w:t xml:space="preserve"> </w:t>
      </w:r>
      <w:r>
        <w:rPr>
          <w:sz w:val="21"/>
        </w:rPr>
        <w:t>dias</w:t>
      </w:r>
      <w:r>
        <w:rPr>
          <w:spacing w:val="-15"/>
          <w:sz w:val="21"/>
        </w:rPr>
        <w:t xml:space="preserve"> </w:t>
      </w:r>
      <w:r>
        <w:rPr>
          <w:sz w:val="21"/>
        </w:rPr>
        <w:t>corridos</w:t>
      </w:r>
      <w:r>
        <w:rPr>
          <w:spacing w:val="-14"/>
          <w:sz w:val="21"/>
        </w:rPr>
        <w:t xml:space="preserve"> </w:t>
      </w:r>
      <w:r>
        <w:rPr>
          <w:sz w:val="21"/>
        </w:rPr>
        <w:t>contado</w:t>
      </w:r>
      <w:r>
        <w:rPr>
          <w:spacing w:val="-15"/>
          <w:sz w:val="21"/>
        </w:rPr>
        <w:t xml:space="preserve"> </w:t>
      </w:r>
      <w:r>
        <w:rPr>
          <w:sz w:val="21"/>
        </w:rPr>
        <w:t>da</w:t>
      </w:r>
      <w:r>
        <w:rPr>
          <w:spacing w:val="-14"/>
          <w:sz w:val="21"/>
        </w:rPr>
        <w:t xml:space="preserve"> </w:t>
      </w:r>
      <w:r>
        <w:rPr>
          <w:sz w:val="21"/>
        </w:rPr>
        <w:t>consulta.</w:t>
      </w:r>
      <w:r>
        <w:rPr>
          <w:spacing w:val="-15"/>
          <w:sz w:val="21"/>
        </w:rPr>
        <w:t xml:space="preserve"> </w:t>
      </w:r>
      <w:r>
        <w:rPr>
          <w:sz w:val="21"/>
        </w:rPr>
        <w:t>O</w:t>
      </w:r>
      <w:r>
        <w:rPr>
          <w:spacing w:val="-15"/>
          <w:sz w:val="21"/>
        </w:rPr>
        <w:t xml:space="preserve"> </w:t>
      </w:r>
      <w:r>
        <w:rPr>
          <w:sz w:val="21"/>
        </w:rPr>
        <w:t>quórum</w:t>
      </w:r>
      <w:r>
        <w:rPr>
          <w:spacing w:val="-14"/>
          <w:sz w:val="21"/>
        </w:rPr>
        <w:t xml:space="preserve"> </w:t>
      </w:r>
      <w:r>
        <w:rPr>
          <w:sz w:val="21"/>
        </w:rPr>
        <w:t>d</w:t>
      </w:r>
      <w:r>
        <w:rPr>
          <w:sz w:val="21"/>
        </w:rPr>
        <w:t>e</w:t>
      </w:r>
      <w:r>
        <w:rPr>
          <w:spacing w:val="-15"/>
          <w:sz w:val="21"/>
        </w:rPr>
        <w:t xml:space="preserve"> </w:t>
      </w:r>
      <w:r>
        <w:rPr>
          <w:sz w:val="21"/>
        </w:rPr>
        <w:t>deliberação</w:t>
      </w:r>
      <w:r>
        <w:rPr>
          <w:spacing w:val="-14"/>
          <w:sz w:val="21"/>
        </w:rPr>
        <w:t xml:space="preserve"> </w:t>
      </w:r>
      <w:r>
        <w:rPr>
          <w:sz w:val="21"/>
        </w:rPr>
        <w:t>da</w:t>
      </w:r>
      <w:r>
        <w:rPr>
          <w:spacing w:val="-15"/>
          <w:sz w:val="21"/>
        </w:rPr>
        <w:t xml:space="preserve"> </w:t>
      </w:r>
      <w:r>
        <w:rPr>
          <w:sz w:val="21"/>
        </w:rPr>
        <w:t>consulta</w:t>
      </w:r>
      <w:r>
        <w:rPr>
          <w:spacing w:val="-15"/>
          <w:sz w:val="21"/>
        </w:rPr>
        <w:t xml:space="preserve"> </w:t>
      </w:r>
      <w:r>
        <w:rPr>
          <w:sz w:val="21"/>
        </w:rPr>
        <w:t>formal</w:t>
      </w:r>
      <w:r>
        <w:rPr>
          <w:spacing w:val="-14"/>
          <w:sz w:val="21"/>
        </w:rPr>
        <w:t xml:space="preserve"> </w:t>
      </w:r>
      <w:r>
        <w:rPr>
          <w:sz w:val="21"/>
        </w:rPr>
        <w:t>é</w:t>
      </w:r>
      <w:r>
        <w:rPr>
          <w:spacing w:val="-15"/>
          <w:sz w:val="21"/>
        </w:rPr>
        <w:t xml:space="preserve"> </w:t>
      </w:r>
      <w:r>
        <w:rPr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z w:val="21"/>
        </w:rPr>
        <w:t>maioria</w:t>
      </w:r>
      <w:r>
        <w:rPr>
          <w:spacing w:val="-15"/>
          <w:sz w:val="21"/>
        </w:rPr>
        <w:t xml:space="preserve"> </w:t>
      </w:r>
      <w:r>
        <w:rPr>
          <w:sz w:val="21"/>
        </w:rPr>
        <w:t xml:space="preserve">simples, independentemente da </w:t>
      </w:r>
      <w:proofErr w:type="gramStart"/>
      <w:r>
        <w:rPr>
          <w:sz w:val="21"/>
        </w:rPr>
        <w:t>matéria</w:t>
      </w:r>
      <w:proofErr w:type="gramEnd"/>
    </w:p>
    <w:p w:rsidR="00263A97" w:rsidRDefault="00D73B6D">
      <w:pPr>
        <w:pStyle w:val="PargrafodaLista"/>
        <w:numPr>
          <w:ilvl w:val="1"/>
          <w:numId w:val="5"/>
        </w:numPr>
        <w:tabs>
          <w:tab w:val="left" w:pos="1475"/>
        </w:tabs>
        <w:spacing w:before="119"/>
        <w:ind w:right="79" w:firstLine="0"/>
        <w:jc w:val="both"/>
        <w:rPr>
          <w:sz w:val="21"/>
        </w:rPr>
      </w:pPr>
      <w:r>
        <w:rPr>
          <w:sz w:val="21"/>
        </w:rPr>
        <w:t>Este</w:t>
      </w:r>
      <w:r>
        <w:rPr>
          <w:spacing w:val="-9"/>
          <w:sz w:val="21"/>
        </w:rPr>
        <w:t xml:space="preserve"> </w:t>
      </w:r>
      <w:r>
        <w:rPr>
          <w:sz w:val="21"/>
        </w:rPr>
        <w:t>Anexo</w:t>
      </w:r>
      <w:r>
        <w:rPr>
          <w:spacing w:val="-4"/>
          <w:sz w:val="21"/>
        </w:rPr>
        <w:t xml:space="preserve"> </w:t>
      </w:r>
      <w:r>
        <w:rPr>
          <w:sz w:val="21"/>
        </w:rPr>
        <w:t>pode</w:t>
      </w:r>
      <w:r>
        <w:rPr>
          <w:spacing w:val="-9"/>
          <w:sz w:val="21"/>
        </w:rPr>
        <w:t xml:space="preserve"> </w:t>
      </w:r>
      <w:r>
        <w:rPr>
          <w:sz w:val="21"/>
        </w:rPr>
        <w:t>ser</w:t>
      </w:r>
      <w:r>
        <w:rPr>
          <w:spacing w:val="-8"/>
          <w:sz w:val="21"/>
        </w:rPr>
        <w:t xml:space="preserve"> </w:t>
      </w:r>
      <w:r>
        <w:rPr>
          <w:sz w:val="21"/>
        </w:rPr>
        <w:t>alterado,</w:t>
      </w:r>
      <w:r>
        <w:rPr>
          <w:spacing w:val="-6"/>
          <w:sz w:val="21"/>
        </w:rPr>
        <w:t xml:space="preserve"> </w:t>
      </w:r>
      <w:r>
        <w:rPr>
          <w:sz w:val="21"/>
        </w:rPr>
        <w:t>independentemente</w:t>
      </w:r>
      <w:r>
        <w:rPr>
          <w:spacing w:val="-9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assembleia</w:t>
      </w:r>
      <w:r>
        <w:rPr>
          <w:spacing w:val="-4"/>
          <w:sz w:val="21"/>
        </w:rPr>
        <w:t xml:space="preserve"> </w:t>
      </w:r>
      <w:r>
        <w:rPr>
          <w:sz w:val="21"/>
        </w:rPr>
        <w:t>especial</w:t>
      </w:r>
      <w:r>
        <w:rPr>
          <w:spacing w:val="-8"/>
          <w:sz w:val="21"/>
        </w:rPr>
        <w:t xml:space="preserve"> </w:t>
      </w:r>
      <w:r>
        <w:rPr>
          <w:sz w:val="21"/>
        </w:rPr>
        <w:t>de cotistas,</w:t>
      </w:r>
      <w:r>
        <w:rPr>
          <w:spacing w:val="-6"/>
          <w:sz w:val="21"/>
        </w:rPr>
        <w:t xml:space="preserve"> </w:t>
      </w:r>
      <w:r>
        <w:rPr>
          <w:sz w:val="21"/>
        </w:rPr>
        <w:t>nos</w:t>
      </w:r>
      <w:r>
        <w:rPr>
          <w:spacing w:val="-8"/>
          <w:sz w:val="21"/>
        </w:rPr>
        <w:t xml:space="preserve"> </w:t>
      </w:r>
      <w:r>
        <w:rPr>
          <w:sz w:val="21"/>
        </w:rPr>
        <w:t>casos previstos na Resolução 175.</w:t>
      </w:r>
    </w:p>
    <w:p w:rsidR="00263A97" w:rsidRDefault="00263A97">
      <w:pPr>
        <w:pStyle w:val="Corpodetexto"/>
        <w:spacing w:before="39"/>
      </w:pPr>
    </w:p>
    <w:p w:rsidR="00263A97" w:rsidRDefault="00D73B6D">
      <w:pPr>
        <w:ind w:left="797"/>
        <w:rPr>
          <w:rFonts w:ascii="Arial" w:hAnsi="Arial"/>
          <w:b/>
          <w:sz w:val="21"/>
        </w:rPr>
      </w:pPr>
      <w:r>
        <w:rPr>
          <w:rFonts w:ascii="Arial" w:hAnsi="Arial"/>
          <w:b/>
        </w:rPr>
        <w:t>CAPÍTULO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5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  <w:sz w:val="21"/>
        </w:rPr>
        <w:t>REMUNERAÇÃO</w:t>
      </w:r>
    </w:p>
    <w:p w:rsidR="00263A97" w:rsidRDefault="00263A97">
      <w:pPr>
        <w:pStyle w:val="Corpodetexto"/>
        <w:spacing w:before="35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4"/>
        </w:numPr>
        <w:tabs>
          <w:tab w:val="left" w:pos="1475"/>
        </w:tabs>
        <w:spacing w:before="1"/>
        <w:ind w:right="81" w:firstLine="0"/>
        <w:jc w:val="both"/>
        <w:rPr>
          <w:sz w:val="21"/>
        </w:rPr>
      </w:pPr>
      <w:r>
        <w:rPr>
          <w:sz w:val="21"/>
        </w:rPr>
        <w:t>As seguintes remunerações serão devidas pela classe de cotas para remunerar os seus prestadores de serviços (base 252 dias):</w:t>
      </w:r>
    </w:p>
    <w:p w:rsidR="00263A97" w:rsidRDefault="00263A97">
      <w:pPr>
        <w:pStyle w:val="Corpodetexto"/>
        <w:spacing w:before="2"/>
        <w:rPr>
          <w:sz w:val="11"/>
        </w:rPr>
      </w:pPr>
    </w:p>
    <w:tbl>
      <w:tblPr>
        <w:tblStyle w:val="TableNormal"/>
        <w:tblW w:w="0" w:type="auto"/>
        <w:tblInd w:w="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6"/>
        <w:gridCol w:w="6998"/>
      </w:tblGrid>
      <w:tr w:rsidR="00263A97">
        <w:trPr>
          <w:trHeight w:val="502"/>
        </w:trPr>
        <w:tc>
          <w:tcPr>
            <w:tcW w:w="2606" w:type="dxa"/>
            <w:shd w:val="clear" w:color="auto" w:fill="E26B0A"/>
          </w:tcPr>
          <w:p w:rsidR="00263A97" w:rsidRDefault="00D73B6D">
            <w:pPr>
              <w:pStyle w:val="TableParagraph"/>
              <w:spacing w:before="139"/>
              <w:ind w:left="24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4"/>
                <w:sz w:val="21"/>
              </w:rPr>
              <w:t>TAXA</w:t>
            </w:r>
          </w:p>
        </w:tc>
        <w:tc>
          <w:tcPr>
            <w:tcW w:w="6998" w:type="dxa"/>
            <w:tcBorders>
              <w:bottom w:val="single" w:sz="18" w:space="0" w:color="445269"/>
            </w:tcBorders>
            <w:shd w:val="clear" w:color="auto" w:fill="E26B0A"/>
          </w:tcPr>
          <w:p w:rsidR="00263A97" w:rsidRDefault="00D73B6D">
            <w:pPr>
              <w:pStyle w:val="TableParagraph"/>
              <w:spacing w:before="139"/>
              <w:ind w:left="1646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color w:val="FFFFFF"/>
                <w:sz w:val="21"/>
              </w:rPr>
              <w:t>BASE</w:t>
            </w:r>
            <w:r>
              <w:rPr>
                <w:rFonts w:ascii="Arial" w:hAnsi="Arial"/>
                <w:b/>
                <w:color w:val="FFFFFF"/>
                <w:spacing w:val="-5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1"/>
              </w:rPr>
              <w:t>DE</w:t>
            </w:r>
            <w:r>
              <w:rPr>
                <w:rFonts w:ascii="Arial" w:hAnsi="Arial"/>
                <w:b/>
                <w:color w:val="FFFFFF"/>
                <w:spacing w:val="-6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1"/>
              </w:rPr>
              <w:t>CÁLCULO</w:t>
            </w:r>
            <w:r>
              <w:rPr>
                <w:rFonts w:ascii="Arial" w:hAnsi="Arial"/>
                <w:b/>
                <w:color w:val="FFFFFF"/>
                <w:spacing w:val="-6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1"/>
              </w:rPr>
              <w:t>E</w:t>
            </w:r>
            <w:r>
              <w:rPr>
                <w:rFonts w:ascii="Arial" w:hAnsi="Arial"/>
                <w:b/>
                <w:color w:val="FFFFFF"/>
                <w:spacing w:val="-4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1"/>
              </w:rPr>
              <w:t>PERCENTUAL</w:t>
            </w:r>
          </w:p>
        </w:tc>
      </w:tr>
      <w:tr w:rsidR="00263A97">
        <w:trPr>
          <w:trHeight w:val="3946"/>
        </w:trPr>
        <w:tc>
          <w:tcPr>
            <w:tcW w:w="2606" w:type="dx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7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62"/>
              <w:rPr>
                <w:sz w:val="21"/>
              </w:rPr>
            </w:pPr>
            <w:r>
              <w:rPr>
                <w:color w:val="212A34"/>
                <w:sz w:val="21"/>
              </w:rPr>
              <w:t>Taxa</w:t>
            </w:r>
            <w:r>
              <w:rPr>
                <w:color w:val="212A34"/>
                <w:spacing w:val="-4"/>
                <w:sz w:val="21"/>
              </w:rPr>
              <w:t xml:space="preserve"> </w:t>
            </w:r>
            <w:r>
              <w:rPr>
                <w:color w:val="212A34"/>
                <w:spacing w:val="-2"/>
                <w:sz w:val="21"/>
              </w:rPr>
              <w:t>Global</w:t>
            </w:r>
          </w:p>
        </w:tc>
        <w:tc>
          <w:tcPr>
            <w:tcW w:w="6998" w:type="dxa"/>
            <w:tcBorders>
              <w:top w:val="single" w:sz="18" w:space="0" w:color="445269"/>
            </w:tcBorders>
          </w:tcPr>
          <w:p w:rsidR="00263A97" w:rsidRDefault="00D73B6D">
            <w:pPr>
              <w:pStyle w:val="TableParagraph"/>
              <w:spacing w:before="142"/>
              <w:ind w:left="60" w:right="28"/>
              <w:jc w:val="both"/>
              <w:rPr>
                <w:sz w:val="20"/>
              </w:rPr>
            </w:pPr>
            <w:r>
              <w:rPr>
                <w:color w:val="0C0C0C"/>
                <w:sz w:val="20"/>
              </w:rPr>
              <w:t xml:space="preserve">0,10% (dez centésimos por cento) </w:t>
            </w:r>
            <w:r>
              <w:rPr>
                <w:sz w:val="20"/>
              </w:rPr>
              <w:t>ao ano, apropriada diariamente e paga mensalmente,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incidente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patrimônio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líquido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classe,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reteada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entre os prestadores de serviços da classe.</w:t>
            </w:r>
          </w:p>
          <w:p w:rsidR="00263A97" w:rsidRDefault="00D73B6D">
            <w:pPr>
              <w:pStyle w:val="TableParagraph"/>
              <w:spacing w:before="122"/>
              <w:ind w:left="60" w:right="35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Remuneração mínima mensal: e R$ 5.000,00 (cinco mil reais), podendo ser corrigida anualmente, em janeiro de cada ano, pelo IGP-M, a critério do </w:t>
            </w:r>
            <w:r>
              <w:rPr>
                <w:spacing w:val="-2"/>
                <w:sz w:val="20"/>
              </w:rPr>
              <w:t>ADMINISTRADOR.</w:t>
            </w:r>
          </w:p>
          <w:p w:rsidR="00263A97" w:rsidRDefault="00D73B6D">
            <w:pPr>
              <w:pStyle w:val="TableParagraph"/>
              <w:spacing w:before="116"/>
              <w:ind w:left="60" w:right="37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A critério</w:t>
            </w:r>
            <w:proofErr w:type="gramEnd"/>
            <w:r>
              <w:rPr>
                <w:sz w:val="20"/>
              </w:rPr>
              <w:t xml:space="preserve"> do ADMINISTRADOR, a remuneração acima será corrigida anualmente, em janeiro de cada an</w:t>
            </w:r>
            <w:r>
              <w:rPr>
                <w:sz w:val="20"/>
              </w:rPr>
              <w:t>o, pelo IGP-M ou por índice distinto de correção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monetária, desde que o valor seja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inferior 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correção pelo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IGP-M.</w:t>
            </w:r>
          </w:p>
          <w:p w:rsidR="00263A97" w:rsidRDefault="00D73B6D">
            <w:pPr>
              <w:pStyle w:val="TableParagraph"/>
              <w:spacing w:before="117"/>
              <w:ind w:left="60" w:right="33"/>
              <w:jc w:val="both"/>
              <w:rPr>
                <w:sz w:val="20"/>
              </w:rPr>
            </w:pPr>
            <w:r>
              <w:rPr>
                <w:sz w:val="20"/>
              </w:rPr>
              <w:t>Do valor mínimo mensal da Taxa de Administração, R$ 1.000,00 (mil reais) corresponderão à remuneração do ADMINISTRADOR, R$ 3.000,00 (três mil</w:t>
            </w:r>
            <w:r>
              <w:rPr>
                <w:sz w:val="20"/>
              </w:rPr>
              <w:t xml:space="preserve"> reais)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remuneração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custódia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controladoria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prestados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por terceiros contratados pelo ADMINISTRADOR, e R$ 1.000,00 (mil reais) à remuneração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GESTOR.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Esses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valores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estão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incluídos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Taxa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:rsidR="00263A97" w:rsidRDefault="00D73B6D">
            <w:pPr>
              <w:pStyle w:val="TableParagraph"/>
              <w:spacing w:line="210" w:lineRule="exact"/>
              <w:ind w:left="60"/>
              <w:jc w:val="both"/>
              <w:rPr>
                <w:sz w:val="20"/>
              </w:rPr>
            </w:pPr>
            <w:r>
              <w:rPr>
                <w:sz w:val="20"/>
              </w:rPr>
              <w:t>Administração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implicam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adicional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Fundo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Cotistas.</w:t>
            </w:r>
          </w:p>
        </w:tc>
      </w:tr>
      <w:tr w:rsidR="00263A97">
        <w:trPr>
          <w:trHeight w:val="1259"/>
        </w:trPr>
        <w:tc>
          <w:tcPr>
            <w:tcW w:w="2606" w:type="dx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20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62"/>
              <w:rPr>
                <w:sz w:val="21"/>
              </w:rPr>
            </w:pPr>
            <w:r>
              <w:rPr>
                <w:sz w:val="21"/>
              </w:rPr>
              <w:t>Taxa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Máxima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Global</w:t>
            </w:r>
          </w:p>
        </w:tc>
        <w:tc>
          <w:tcPr>
            <w:tcW w:w="6998" w:type="dxa"/>
          </w:tcPr>
          <w:p w:rsidR="00263A97" w:rsidRDefault="00D73B6D">
            <w:pPr>
              <w:pStyle w:val="TableParagraph"/>
              <w:spacing w:before="146"/>
              <w:ind w:left="60" w:right="44"/>
              <w:jc w:val="both"/>
              <w:rPr>
                <w:sz w:val="20"/>
              </w:rPr>
            </w:pPr>
            <w:r>
              <w:rPr>
                <w:sz w:val="20"/>
              </w:rPr>
              <w:t>À Taxa Global da classe poderá ser acrescida das taxas dos fundos de investimento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fundos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investimento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cotas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fundo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investimento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em que a classe invista, atingindo, contudo, no máximo, o percentual anual de </w:t>
            </w:r>
            <w:r>
              <w:rPr>
                <w:color w:val="0C0C0C"/>
                <w:sz w:val="20"/>
              </w:rPr>
              <w:t xml:space="preserve">2,15% (dois inteiros e quinze por cento) </w:t>
            </w:r>
            <w:r>
              <w:rPr>
                <w:sz w:val="20"/>
              </w:rPr>
              <w:t>ao ano.</w:t>
            </w:r>
          </w:p>
        </w:tc>
      </w:tr>
      <w:tr w:rsidR="00263A97">
        <w:trPr>
          <w:trHeight w:val="779"/>
        </w:trPr>
        <w:tc>
          <w:tcPr>
            <w:tcW w:w="2606" w:type="dxa"/>
          </w:tcPr>
          <w:p w:rsidR="00263A97" w:rsidRDefault="00263A97">
            <w:pPr>
              <w:pStyle w:val="TableParagraph"/>
              <w:spacing w:before="22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62"/>
              <w:rPr>
                <w:sz w:val="21"/>
              </w:rPr>
            </w:pPr>
            <w:r>
              <w:rPr>
                <w:color w:val="212A34"/>
                <w:sz w:val="21"/>
              </w:rPr>
              <w:t>Taxa</w:t>
            </w:r>
            <w:r>
              <w:rPr>
                <w:color w:val="212A34"/>
                <w:spacing w:val="-7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Máxima</w:t>
            </w:r>
            <w:r>
              <w:rPr>
                <w:color w:val="212A34"/>
                <w:spacing w:val="-8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de</w:t>
            </w:r>
            <w:r>
              <w:rPr>
                <w:color w:val="212A34"/>
                <w:spacing w:val="-7"/>
                <w:sz w:val="21"/>
              </w:rPr>
              <w:t xml:space="preserve"> </w:t>
            </w:r>
            <w:r>
              <w:rPr>
                <w:color w:val="212A34"/>
                <w:spacing w:val="-2"/>
                <w:sz w:val="21"/>
              </w:rPr>
              <w:t>Custódia</w:t>
            </w:r>
          </w:p>
        </w:tc>
        <w:tc>
          <w:tcPr>
            <w:tcW w:w="6998" w:type="dxa"/>
          </w:tcPr>
          <w:p w:rsidR="00263A97" w:rsidRDefault="00D73B6D">
            <w:pPr>
              <w:pStyle w:val="TableParagraph"/>
              <w:spacing w:before="146"/>
              <w:ind w:left="60" w:right="91"/>
              <w:rPr>
                <w:sz w:val="20"/>
              </w:rPr>
            </w:pPr>
            <w:r>
              <w:rPr>
                <w:sz w:val="20"/>
              </w:rPr>
              <w:t>0,00% (zero por cento) ao ano, incidente sobre o patrimônio líquido 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classe.</w:t>
            </w:r>
          </w:p>
        </w:tc>
      </w:tr>
      <w:tr w:rsidR="00263A97">
        <w:trPr>
          <w:trHeight w:val="534"/>
        </w:trPr>
        <w:tc>
          <w:tcPr>
            <w:tcW w:w="2606" w:type="dxa"/>
          </w:tcPr>
          <w:p w:rsidR="00263A97" w:rsidRDefault="00D73B6D">
            <w:pPr>
              <w:pStyle w:val="TableParagraph"/>
              <w:spacing w:before="143"/>
              <w:ind w:left="62"/>
              <w:rPr>
                <w:sz w:val="21"/>
              </w:rPr>
            </w:pPr>
            <w:r>
              <w:rPr>
                <w:color w:val="212A34"/>
                <w:sz w:val="21"/>
              </w:rPr>
              <w:t>Taxa</w:t>
            </w:r>
            <w:r>
              <w:rPr>
                <w:color w:val="212A34"/>
                <w:spacing w:val="-6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de</w:t>
            </w:r>
            <w:r>
              <w:rPr>
                <w:color w:val="212A34"/>
                <w:spacing w:val="-2"/>
                <w:sz w:val="21"/>
              </w:rPr>
              <w:t xml:space="preserve"> Ingresso</w:t>
            </w:r>
          </w:p>
        </w:tc>
        <w:tc>
          <w:tcPr>
            <w:tcW w:w="6998" w:type="dxa"/>
          </w:tcPr>
          <w:p w:rsidR="00263A97" w:rsidRDefault="00D73B6D">
            <w:pPr>
              <w:pStyle w:val="TableParagraph"/>
              <w:spacing w:before="146"/>
              <w:ind w:left="60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há.</w:t>
            </w:r>
          </w:p>
        </w:tc>
      </w:tr>
      <w:tr w:rsidR="00263A97">
        <w:trPr>
          <w:trHeight w:val="539"/>
        </w:trPr>
        <w:tc>
          <w:tcPr>
            <w:tcW w:w="2606" w:type="dxa"/>
          </w:tcPr>
          <w:p w:rsidR="00263A97" w:rsidRDefault="00D73B6D">
            <w:pPr>
              <w:pStyle w:val="TableParagraph"/>
              <w:spacing w:before="143"/>
              <w:ind w:left="62"/>
              <w:rPr>
                <w:sz w:val="21"/>
              </w:rPr>
            </w:pPr>
            <w:r>
              <w:rPr>
                <w:color w:val="212A34"/>
                <w:sz w:val="21"/>
              </w:rPr>
              <w:t>Taxa</w:t>
            </w:r>
            <w:r>
              <w:rPr>
                <w:color w:val="212A34"/>
                <w:spacing w:val="-6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de</w:t>
            </w:r>
            <w:r>
              <w:rPr>
                <w:color w:val="212A34"/>
                <w:spacing w:val="-2"/>
                <w:sz w:val="21"/>
              </w:rPr>
              <w:t xml:space="preserve"> Saída</w:t>
            </w:r>
          </w:p>
        </w:tc>
        <w:tc>
          <w:tcPr>
            <w:tcW w:w="6998" w:type="dxa"/>
          </w:tcPr>
          <w:p w:rsidR="00263A97" w:rsidRDefault="00D73B6D">
            <w:pPr>
              <w:pStyle w:val="TableParagraph"/>
              <w:spacing w:before="146"/>
              <w:ind w:left="60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há.</w:t>
            </w:r>
          </w:p>
        </w:tc>
      </w:tr>
      <w:tr w:rsidR="00263A97">
        <w:trPr>
          <w:trHeight w:val="537"/>
        </w:trPr>
        <w:tc>
          <w:tcPr>
            <w:tcW w:w="2606" w:type="dxa"/>
          </w:tcPr>
          <w:p w:rsidR="00263A97" w:rsidRDefault="00D73B6D">
            <w:pPr>
              <w:pStyle w:val="TableParagraph"/>
              <w:spacing w:before="146"/>
              <w:ind w:left="62"/>
              <w:rPr>
                <w:sz w:val="21"/>
              </w:rPr>
            </w:pPr>
            <w:r>
              <w:rPr>
                <w:color w:val="212A34"/>
                <w:sz w:val="21"/>
              </w:rPr>
              <w:t>Taxa</w:t>
            </w:r>
            <w:r>
              <w:rPr>
                <w:color w:val="212A34"/>
                <w:spacing w:val="-6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de</w:t>
            </w:r>
            <w:r>
              <w:rPr>
                <w:color w:val="212A34"/>
                <w:spacing w:val="-2"/>
                <w:sz w:val="21"/>
              </w:rPr>
              <w:t xml:space="preserve"> </w:t>
            </w:r>
            <w:proofErr w:type="gramStart"/>
            <w:r>
              <w:rPr>
                <w:color w:val="212A34"/>
                <w:spacing w:val="-2"/>
                <w:sz w:val="21"/>
              </w:rPr>
              <w:t>Performance</w:t>
            </w:r>
            <w:proofErr w:type="gramEnd"/>
          </w:p>
        </w:tc>
        <w:tc>
          <w:tcPr>
            <w:tcW w:w="6998" w:type="dxa"/>
          </w:tcPr>
          <w:p w:rsidR="00263A97" w:rsidRDefault="00D73B6D">
            <w:pPr>
              <w:pStyle w:val="TableParagraph"/>
              <w:spacing w:before="148"/>
              <w:ind w:left="60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aplicável.</w:t>
            </w:r>
          </w:p>
        </w:tc>
      </w:tr>
    </w:tbl>
    <w:p w:rsidR="00263A97" w:rsidRDefault="00263A97">
      <w:pPr>
        <w:pStyle w:val="TableParagraph"/>
        <w:rPr>
          <w:sz w:val="20"/>
        </w:rPr>
        <w:sectPr w:rsidR="00263A97">
          <w:pgSz w:w="11910" w:h="16840"/>
          <w:pgMar w:top="2220" w:right="992" w:bottom="380" w:left="283" w:header="1487" w:footer="186" w:gutter="0"/>
          <w:cols w:space="720"/>
        </w:sectPr>
      </w:pPr>
    </w:p>
    <w:p w:rsidR="00263A97" w:rsidRDefault="00263A97">
      <w:pPr>
        <w:pStyle w:val="Corpodetexto"/>
      </w:pPr>
    </w:p>
    <w:p w:rsidR="00263A97" w:rsidRDefault="00263A97">
      <w:pPr>
        <w:pStyle w:val="Corpodetexto"/>
        <w:spacing w:before="65"/>
      </w:pPr>
    </w:p>
    <w:p w:rsidR="00263A97" w:rsidRDefault="00D73B6D">
      <w:pPr>
        <w:pStyle w:val="Ttulo1"/>
        <w:ind w:left="708"/>
      </w:pPr>
      <w:r>
        <w:rPr>
          <w:sz w:val="22"/>
        </w:rPr>
        <w:t>CAPÍTULO</w:t>
      </w:r>
      <w:r>
        <w:rPr>
          <w:spacing w:val="-18"/>
          <w:sz w:val="22"/>
        </w:rPr>
        <w:t xml:space="preserve"> </w:t>
      </w:r>
      <w:r>
        <w:rPr>
          <w:sz w:val="22"/>
        </w:rPr>
        <w:t>6</w:t>
      </w:r>
      <w:r>
        <w:rPr>
          <w:spacing w:val="-11"/>
          <w:sz w:val="22"/>
        </w:rPr>
        <w:t xml:space="preserve"> </w:t>
      </w:r>
      <w:r>
        <w:rPr>
          <w:sz w:val="22"/>
        </w:rPr>
        <w:t>–</w:t>
      </w:r>
      <w:r>
        <w:rPr>
          <w:spacing w:val="-12"/>
          <w:sz w:val="22"/>
        </w:rPr>
        <w:t xml:space="preserve"> </w:t>
      </w:r>
      <w:r>
        <w:t>POLÍTICA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INVESTIMENTO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COMPOSIÇÃO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DIVERSIFICAÇÃO</w:t>
      </w:r>
      <w:r>
        <w:rPr>
          <w:spacing w:val="-11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rPr>
          <w:spacing w:val="-2"/>
        </w:rPr>
        <w:t>CARTEIRA</w:t>
      </w:r>
    </w:p>
    <w:p w:rsidR="00263A97" w:rsidRDefault="00263A97">
      <w:pPr>
        <w:pStyle w:val="Corpodetexto"/>
        <w:spacing w:before="41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3"/>
        </w:numPr>
        <w:tabs>
          <w:tab w:val="left" w:pos="1472"/>
          <w:tab w:val="left" w:pos="1476"/>
        </w:tabs>
        <w:ind w:right="80" w:hanging="682"/>
        <w:jc w:val="both"/>
        <w:rPr>
          <w:sz w:val="20"/>
        </w:rPr>
      </w:pPr>
      <w:r>
        <w:rPr>
          <w:sz w:val="20"/>
        </w:rPr>
        <w:t>A classe de cotas poderá aplicar seus recursos em qualquer ativo financeiro permitido pela regulamentação em vigor e pelo presente Anexo, bem como em ativos financeiros negociados no exterior, desde que tenham a mesma natureza econômica de tais ativos.</w:t>
      </w:r>
    </w:p>
    <w:p w:rsidR="00CA66B1" w:rsidRPr="00CA66B1" w:rsidRDefault="00CA66B1" w:rsidP="00CA66B1">
      <w:pPr>
        <w:pStyle w:val="PargrafodaLista"/>
        <w:numPr>
          <w:ilvl w:val="1"/>
          <w:numId w:val="3"/>
        </w:numPr>
        <w:tabs>
          <w:tab w:val="left" w:pos="1474"/>
          <w:tab w:val="left" w:pos="1476"/>
        </w:tabs>
        <w:spacing w:before="133"/>
        <w:ind w:right="168"/>
        <w:jc w:val="both"/>
        <w:rPr>
          <w:sz w:val="20"/>
          <w:lang w:val="pt-BR"/>
        </w:rPr>
      </w:pPr>
      <w:r w:rsidRPr="00CA66B1">
        <w:rPr>
          <w:sz w:val="20"/>
          <w:lang w:val="pt-BR"/>
        </w:rPr>
        <w:t>6.2 Nos termos do art. 25 da Lei 14754</w:t>
      </w:r>
      <w:proofErr w:type="gramStart"/>
      <w:r w:rsidRPr="00CA66B1">
        <w:rPr>
          <w:sz w:val="20"/>
          <w:lang w:val="pt-BR"/>
        </w:rPr>
        <w:t>, Ficarão</w:t>
      </w:r>
      <w:proofErr w:type="gramEnd"/>
      <w:r w:rsidRPr="00CA66B1">
        <w:rPr>
          <w:sz w:val="20"/>
          <w:lang w:val="pt-BR"/>
        </w:rPr>
        <w:t xml:space="preserve"> sujeitos ao tratamento tributário de que trata o art. 24 os fundos de investimento que investirem, no mínimo, 95% (noventa e cinco por cento) de seu patrimônio líquido nos fundos de que trata o art. 18 desta Lei. Assim, para fins tributários, as aplicações da Classe deverão estar representadas, direta ou indiretamente, pelos seguintes ativos (“Aplicação Mínima nos Fundos Investidos”):</w:t>
      </w:r>
    </w:p>
    <w:p w:rsidR="00263A97" w:rsidRDefault="00263A97" w:rsidP="00CA66B1">
      <w:pPr>
        <w:pStyle w:val="PargrafodaLista"/>
        <w:tabs>
          <w:tab w:val="left" w:pos="1474"/>
          <w:tab w:val="left" w:pos="1476"/>
        </w:tabs>
        <w:spacing w:before="133"/>
        <w:ind w:left="1476" w:right="168"/>
        <w:jc w:val="left"/>
        <w:rPr>
          <w:sz w:val="20"/>
        </w:rPr>
      </w:pPr>
    </w:p>
    <w:p w:rsidR="00263A97" w:rsidRDefault="00263A97">
      <w:pPr>
        <w:pStyle w:val="Corpodetexto"/>
        <w:spacing w:before="5" w:after="1"/>
        <w:rPr>
          <w:sz w:val="12"/>
        </w:rPr>
      </w:pPr>
    </w:p>
    <w:tbl>
      <w:tblPr>
        <w:tblStyle w:val="TableNormal"/>
        <w:tblW w:w="0" w:type="auto"/>
        <w:tblInd w:w="1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7"/>
        <w:gridCol w:w="3576"/>
      </w:tblGrid>
      <w:tr w:rsidR="00263A97">
        <w:trPr>
          <w:trHeight w:val="460"/>
        </w:trPr>
        <w:tc>
          <w:tcPr>
            <w:tcW w:w="5357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2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ATIVO</w:t>
            </w:r>
          </w:p>
        </w:tc>
        <w:tc>
          <w:tcPr>
            <w:tcW w:w="3576" w:type="dxa"/>
            <w:shd w:val="clear" w:color="auto" w:fill="E26B0A"/>
          </w:tcPr>
          <w:p w:rsidR="00263A97" w:rsidRDefault="00D73B6D">
            <w:pPr>
              <w:pStyle w:val="TableParagraph"/>
              <w:spacing w:line="225" w:lineRule="exact"/>
              <w:ind w:left="20" w:right="32"/>
              <w:jc w:val="center"/>
              <w:rPr>
                <w:sz w:val="20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20"/>
                <w:u w:val="single" w:color="FFFFFF"/>
              </w:rPr>
              <w:t>PERCENTUAL</w:t>
            </w:r>
            <w:r>
              <w:rPr>
                <w:rFonts w:ascii="Arial" w:hAnsi="Arial"/>
                <w:b/>
                <w:color w:val="FFFFFF"/>
                <w:spacing w:val="-11"/>
                <w:sz w:val="20"/>
              </w:rPr>
              <w:t xml:space="preserve"> </w:t>
            </w:r>
            <w:proofErr w:type="gramStart"/>
            <w:r>
              <w:rPr>
                <w:color w:val="FFFFFF"/>
                <w:spacing w:val="-2"/>
                <w:sz w:val="20"/>
              </w:rPr>
              <w:t>(em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relação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7"/>
                <w:sz w:val="20"/>
              </w:rPr>
              <w:t>ao</w:t>
            </w:r>
          </w:p>
          <w:p w:rsidR="00263A97" w:rsidRDefault="00D73B6D">
            <w:pPr>
              <w:pStyle w:val="TableParagraph"/>
              <w:spacing w:before="3" w:line="213" w:lineRule="exact"/>
              <w:ind w:left="32" w:right="12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patrimônio</w:t>
            </w:r>
            <w:proofErr w:type="gramEnd"/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líquido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fundo)</w:t>
            </w:r>
          </w:p>
        </w:tc>
      </w:tr>
      <w:tr w:rsidR="00263A97">
        <w:trPr>
          <w:trHeight w:val="458"/>
        </w:trPr>
        <w:tc>
          <w:tcPr>
            <w:tcW w:w="5357" w:type="dxa"/>
          </w:tcPr>
          <w:p w:rsidR="00263A97" w:rsidRDefault="00D73B6D">
            <w:pPr>
              <w:pStyle w:val="TableParagraph"/>
              <w:spacing w:line="230" w:lineRule="exact"/>
              <w:ind w:left="115"/>
              <w:rPr>
                <w:sz w:val="20"/>
              </w:rPr>
            </w:pPr>
            <w:r>
              <w:rPr>
                <w:color w:val="212A34"/>
                <w:sz w:val="20"/>
              </w:rPr>
              <w:t>Cotas</w:t>
            </w:r>
            <w:r>
              <w:rPr>
                <w:color w:val="212A34"/>
                <w:spacing w:val="3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4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fundos</w:t>
            </w:r>
            <w:r>
              <w:rPr>
                <w:color w:val="212A34"/>
                <w:spacing w:val="3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4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índice</w:t>
            </w:r>
            <w:r>
              <w:rPr>
                <w:color w:val="212A34"/>
                <w:spacing w:val="3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4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ações</w:t>
            </w:r>
            <w:r>
              <w:rPr>
                <w:color w:val="212A34"/>
                <w:spacing w:val="3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negociadas</w:t>
            </w:r>
            <w:r>
              <w:rPr>
                <w:color w:val="212A34"/>
                <w:spacing w:val="3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em mercado organizado e cotas de fundos de ações</w:t>
            </w:r>
          </w:p>
        </w:tc>
        <w:tc>
          <w:tcPr>
            <w:tcW w:w="3576" w:type="dxa"/>
            <w:vMerge w:val="restart"/>
          </w:tcPr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spacing w:before="158"/>
              <w:rPr>
                <w:sz w:val="20"/>
              </w:rPr>
            </w:pPr>
          </w:p>
          <w:p w:rsidR="00263A97" w:rsidRDefault="00D73B6D">
            <w:pPr>
              <w:pStyle w:val="TableParagraph"/>
              <w:ind w:left="1074"/>
              <w:rPr>
                <w:sz w:val="20"/>
              </w:rPr>
            </w:pPr>
            <w:proofErr w:type="gramStart"/>
            <w:r>
              <w:rPr>
                <w:color w:val="212A34"/>
                <w:sz w:val="20"/>
              </w:rPr>
              <w:t>no</w:t>
            </w:r>
            <w:proofErr w:type="gramEnd"/>
            <w:r>
              <w:rPr>
                <w:color w:val="212A34"/>
                <w:spacing w:val="-13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mínimo,</w:t>
            </w:r>
            <w:r>
              <w:rPr>
                <w:color w:val="212A34"/>
                <w:spacing w:val="-10"/>
                <w:sz w:val="20"/>
              </w:rPr>
              <w:t xml:space="preserve"> </w:t>
            </w:r>
            <w:r>
              <w:rPr>
                <w:color w:val="212A34"/>
                <w:spacing w:val="-5"/>
                <w:sz w:val="20"/>
              </w:rPr>
              <w:t>95%</w:t>
            </w:r>
          </w:p>
        </w:tc>
      </w:tr>
      <w:tr w:rsidR="00263A97">
        <w:trPr>
          <w:trHeight w:val="688"/>
        </w:trPr>
        <w:tc>
          <w:tcPr>
            <w:tcW w:w="5357" w:type="dxa"/>
          </w:tcPr>
          <w:p w:rsidR="00263A97" w:rsidRDefault="00D73B6D">
            <w:pPr>
              <w:pStyle w:val="TableParagraph"/>
              <w:spacing w:line="237" w:lineRule="auto"/>
              <w:ind w:left="115"/>
              <w:rPr>
                <w:sz w:val="20"/>
              </w:rPr>
            </w:pPr>
            <w:r>
              <w:rPr>
                <w:color w:val="212A34"/>
                <w:sz w:val="20"/>
              </w:rPr>
              <w:t>Cotas</w:t>
            </w:r>
            <w:r>
              <w:rPr>
                <w:color w:val="212A34"/>
                <w:spacing w:val="32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29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fundos</w:t>
            </w:r>
            <w:r>
              <w:rPr>
                <w:color w:val="212A34"/>
                <w:spacing w:val="30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29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investimento</w:t>
            </w:r>
            <w:r>
              <w:rPr>
                <w:color w:val="212A34"/>
                <w:spacing w:val="30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e</w:t>
            </w:r>
            <w:r>
              <w:rPr>
                <w:color w:val="212A34"/>
                <w:spacing w:val="29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cotas</w:t>
            </w:r>
            <w:r>
              <w:rPr>
                <w:color w:val="212A34"/>
                <w:spacing w:val="32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0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fundos</w:t>
            </w:r>
            <w:r>
              <w:rPr>
                <w:color w:val="212A34"/>
                <w:spacing w:val="34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 investimento</w:t>
            </w:r>
            <w:proofErr w:type="gramStart"/>
            <w:r>
              <w:rPr>
                <w:color w:val="212A34"/>
                <w:spacing w:val="32"/>
                <w:sz w:val="20"/>
              </w:rPr>
              <w:t xml:space="preserve">  </w:t>
            </w:r>
            <w:proofErr w:type="gramEnd"/>
            <w:r>
              <w:rPr>
                <w:color w:val="212A34"/>
                <w:sz w:val="20"/>
              </w:rPr>
              <w:t>em</w:t>
            </w:r>
            <w:r>
              <w:rPr>
                <w:color w:val="212A34"/>
                <w:spacing w:val="35"/>
                <w:sz w:val="20"/>
              </w:rPr>
              <w:t xml:space="preserve">  </w:t>
            </w:r>
            <w:r>
              <w:rPr>
                <w:color w:val="212A34"/>
                <w:sz w:val="20"/>
              </w:rPr>
              <w:t>cotas</w:t>
            </w:r>
            <w:r>
              <w:rPr>
                <w:color w:val="212A34"/>
                <w:spacing w:val="34"/>
                <w:sz w:val="20"/>
              </w:rPr>
              <w:t xml:space="preserve"> 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3"/>
                <w:sz w:val="20"/>
              </w:rPr>
              <w:t xml:space="preserve">  </w:t>
            </w:r>
            <w:r>
              <w:rPr>
                <w:color w:val="212A34"/>
                <w:sz w:val="20"/>
              </w:rPr>
              <w:t>fundos</w:t>
            </w:r>
            <w:r>
              <w:rPr>
                <w:color w:val="212A34"/>
                <w:spacing w:val="33"/>
                <w:sz w:val="20"/>
              </w:rPr>
              <w:t xml:space="preserve"> 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3"/>
                <w:sz w:val="20"/>
              </w:rPr>
              <w:t xml:space="preserve">  </w:t>
            </w:r>
            <w:r>
              <w:rPr>
                <w:color w:val="212A34"/>
                <w:spacing w:val="-2"/>
                <w:sz w:val="20"/>
              </w:rPr>
              <w:t>investimento</w:t>
            </w:r>
          </w:p>
          <w:p w:rsidR="00263A97" w:rsidRDefault="00D73B6D">
            <w:pPr>
              <w:pStyle w:val="TableParagraph"/>
              <w:spacing w:line="215" w:lineRule="exact"/>
              <w:ind w:left="115"/>
              <w:rPr>
                <w:sz w:val="20"/>
              </w:rPr>
            </w:pPr>
            <w:proofErr w:type="gramStart"/>
            <w:r>
              <w:rPr>
                <w:color w:val="212A34"/>
                <w:sz w:val="20"/>
              </w:rPr>
              <w:t>multimercado</w:t>
            </w:r>
            <w:proofErr w:type="gramEnd"/>
            <w:r>
              <w:rPr>
                <w:color w:val="212A34"/>
                <w:spacing w:val="-8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-8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tributação</w:t>
            </w:r>
            <w:r>
              <w:rPr>
                <w:color w:val="212A34"/>
                <w:spacing w:val="-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renda</w:t>
            </w:r>
            <w:r>
              <w:rPr>
                <w:color w:val="212A34"/>
                <w:spacing w:val="-4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>variável</w:t>
            </w:r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460"/>
        </w:trPr>
        <w:tc>
          <w:tcPr>
            <w:tcW w:w="5357" w:type="dxa"/>
          </w:tcPr>
          <w:p w:rsidR="00263A97" w:rsidRDefault="00D73B6D">
            <w:pPr>
              <w:pStyle w:val="TableParagraph"/>
              <w:spacing w:before="14" w:line="220" w:lineRule="auto"/>
              <w:ind w:left="115"/>
              <w:rPr>
                <w:sz w:val="20"/>
              </w:rPr>
            </w:pPr>
            <w:r>
              <w:rPr>
                <w:color w:val="212A34"/>
                <w:sz w:val="20"/>
              </w:rPr>
              <w:t>Cotas de</w:t>
            </w:r>
            <w:r>
              <w:rPr>
                <w:color w:val="212A34"/>
                <w:spacing w:val="-2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fundos de investimento em participações – FIP, classificados como “entidade de investimento</w:t>
            </w:r>
            <w:proofErr w:type="gramStart"/>
            <w:r>
              <w:rPr>
                <w:color w:val="212A34"/>
                <w:sz w:val="20"/>
              </w:rPr>
              <w:t>”</w:t>
            </w:r>
            <w:proofErr w:type="gramEnd"/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1149"/>
        </w:trPr>
        <w:tc>
          <w:tcPr>
            <w:tcW w:w="5357" w:type="dxa"/>
          </w:tcPr>
          <w:p w:rsidR="00263A97" w:rsidRDefault="00D73B6D">
            <w:pPr>
              <w:pStyle w:val="TableParagraph"/>
              <w:ind w:left="115" w:right="83"/>
              <w:jc w:val="both"/>
              <w:rPr>
                <w:sz w:val="20"/>
              </w:rPr>
            </w:pPr>
            <w:r>
              <w:rPr>
                <w:color w:val="212A34"/>
                <w:sz w:val="20"/>
              </w:rPr>
              <w:t xml:space="preserve">Cotas de Fundos de Investimento em Direitos Creditórios – FIDC classificados como “entidade de investimento” e </w:t>
            </w:r>
            <w:r>
              <w:rPr>
                <w:color w:val="212A34"/>
                <w:spacing w:val="-4"/>
                <w:sz w:val="20"/>
              </w:rPr>
              <w:t>cuja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pacing w:val="-4"/>
                <w:sz w:val="20"/>
              </w:rPr>
              <w:t>carteira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pacing w:val="-4"/>
                <w:sz w:val="20"/>
              </w:rPr>
              <w:t>seja composta por,</w:t>
            </w:r>
            <w:r>
              <w:rPr>
                <w:color w:val="212A34"/>
                <w:spacing w:val="-2"/>
                <w:sz w:val="20"/>
              </w:rPr>
              <w:t xml:space="preserve"> </w:t>
            </w:r>
            <w:r>
              <w:rPr>
                <w:color w:val="212A34"/>
                <w:spacing w:val="-4"/>
                <w:sz w:val="20"/>
              </w:rPr>
              <w:t>no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pacing w:val="-4"/>
                <w:sz w:val="20"/>
              </w:rPr>
              <w:t>mínim</w:t>
            </w:r>
            <w:r>
              <w:rPr>
                <w:color w:val="212A34"/>
                <w:spacing w:val="-4"/>
                <w:sz w:val="20"/>
              </w:rPr>
              <w:t>o,</w:t>
            </w:r>
            <w:r>
              <w:rPr>
                <w:color w:val="212A34"/>
                <w:spacing w:val="-5"/>
                <w:sz w:val="20"/>
              </w:rPr>
              <w:t xml:space="preserve"> </w:t>
            </w:r>
            <w:r>
              <w:rPr>
                <w:color w:val="212A34"/>
                <w:spacing w:val="-4"/>
                <w:sz w:val="20"/>
              </w:rPr>
              <w:t>sessenta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pacing w:val="-4"/>
                <w:sz w:val="20"/>
              </w:rPr>
              <w:t>e</w:t>
            </w:r>
            <w:r>
              <w:rPr>
                <w:color w:val="212A34"/>
                <w:spacing w:val="-1"/>
                <w:sz w:val="20"/>
              </w:rPr>
              <w:t xml:space="preserve"> </w:t>
            </w:r>
            <w:proofErr w:type="gramStart"/>
            <w:r>
              <w:rPr>
                <w:color w:val="212A34"/>
                <w:spacing w:val="-4"/>
                <w:sz w:val="20"/>
              </w:rPr>
              <w:t>sete</w:t>
            </w:r>
            <w:proofErr w:type="gramEnd"/>
          </w:p>
          <w:p w:rsidR="00263A97" w:rsidRDefault="00D73B6D">
            <w:pPr>
              <w:pStyle w:val="TableParagraph"/>
              <w:spacing w:before="11" w:line="223" w:lineRule="auto"/>
              <w:ind w:left="115" w:right="117"/>
              <w:jc w:val="both"/>
              <w:rPr>
                <w:sz w:val="20"/>
              </w:rPr>
            </w:pPr>
            <w:proofErr w:type="gramStart"/>
            <w:r>
              <w:rPr>
                <w:color w:val="212A34"/>
                <w:sz w:val="20"/>
              </w:rPr>
              <w:t>por</w:t>
            </w:r>
            <w:proofErr w:type="gramEnd"/>
            <w:r>
              <w:rPr>
                <w:color w:val="212A34"/>
                <w:sz w:val="20"/>
              </w:rPr>
              <w:t xml:space="preserve"> cento de direitos creditórios, observada a regulamentação do CMN.</w:t>
            </w:r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921"/>
        </w:trPr>
        <w:tc>
          <w:tcPr>
            <w:tcW w:w="5357" w:type="dxa"/>
          </w:tcPr>
          <w:p w:rsidR="00263A97" w:rsidRDefault="00D73B6D">
            <w:pPr>
              <w:pStyle w:val="TableParagraph"/>
              <w:spacing w:line="230" w:lineRule="exact"/>
              <w:ind w:left="115" w:right="88"/>
              <w:jc w:val="both"/>
              <w:rPr>
                <w:sz w:val="20"/>
              </w:rPr>
            </w:pPr>
            <w:r>
              <w:rPr>
                <w:color w:val="212A34"/>
                <w:sz w:val="20"/>
              </w:rPr>
              <w:t>Cotas de Fundos de Investimento em Participações em Infraestrutura – FIPs-IE e de Fundos de Investimento em Participação na Produção Econômica Intensiva em Pesquisa, Desenvolvimento e Inovação – FIPs-</w:t>
            </w:r>
            <w:proofErr w:type="gramStart"/>
            <w:r>
              <w:rPr>
                <w:color w:val="212A34"/>
                <w:sz w:val="20"/>
              </w:rPr>
              <w:t>PD&amp;I</w:t>
            </w:r>
            <w:proofErr w:type="gramEnd"/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1151"/>
        </w:trPr>
        <w:tc>
          <w:tcPr>
            <w:tcW w:w="5357" w:type="dxa"/>
          </w:tcPr>
          <w:p w:rsidR="00263A97" w:rsidRDefault="00D73B6D">
            <w:pPr>
              <w:pStyle w:val="TableParagraph"/>
              <w:ind w:left="115" w:right="82"/>
              <w:jc w:val="both"/>
              <w:rPr>
                <w:sz w:val="20"/>
              </w:rPr>
            </w:pPr>
            <w:r>
              <w:rPr>
                <w:color w:val="212A34"/>
                <w:sz w:val="20"/>
              </w:rPr>
              <w:t>Cotas de Fundos de Investimento em Direitos Creditórios Não-Padronizados – FIDC-NP classificados como “entidade de investimento” e cuja carteira seja composta por,</w:t>
            </w:r>
            <w:r>
              <w:rPr>
                <w:color w:val="212A34"/>
                <w:spacing w:val="43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no</w:t>
            </w:r>
            <w:r>
              <w:rPr>
                <w:color w:val="212A34"/>
                <w:spacing w:val="4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mínimo,</w:t>
            </w:r>
            <w:r>
              <w:rPr>
                <w:color w:val="212A34"/>
                <w:spacing w:val="43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sessenta</w:t>
            </w:r>
            <w:r>
              <w:rPr>
                <w:color w:val="212A34"/>
                <w:spacing w:val="4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e</w:t>
            </w:r>
            <w:r>
              <w:rPr>
                <w:color w:val="212A34"/>
                <w:spacing w:val="42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sete</w:t>
            </w:r>
            <w:r>
              <w:rPr>
                <w:color w:val="212A34"/>
                <w:spacing w:val="44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por</w:t>
            </w:r>
            <w:r>
              <w:rPr>
                <w:color w:val="212A34"/>
                <w:spacing w:val="44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cento</w:t>
            </w:r>
            <w:r>
              <w:rPr>
                <w:color w:val="212A34"/>
                <w:spacing w:val="43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42"/>
                <w:sz w:val="20"/>
              </w:rPr>
              <w:t xml:space="preserve"> </w:t>
            </w:r>
            <w:proofErr w:type="gramStart"/>
            <w:r>
              <w:rPr>
                <w:color w:val="212A34"/>
                <w:spacing w:val="-2"/>
                <w:sz w:val="20"/>
              </w:rPr>
              <w:t>direitos</w:t>
            </w:r>
            <w:proofErr w:type="gramEnd"/>
          </w:p>
          <w:p w:rsidR="00263A97" w:rsidRDefault="00D73B6D">
            <w:pPr>
              <w:pStyle w:val="TableParagraph"/>
              <w:spacing w:line="212" w:lineRule="exact"/>
              <w:ind w:left="115"/>
              <w:jc w:val="both"/>
              <w:rPr>
                <w:sz w:val="20"/>
              </w:rPr>
            </w:pPr>
            <w:proofErr w:type="gramStart"/>
            <w:r>
              <w:rPr>
                <w:color w:val="212A34"/>
                <w:sz w:val="20"/>
              </w:rPr>
              <w:t>creditórios</w:t>
            </w:r>
            <w:proofErr w:type="gramEnd"/>
            <w:r>
              <w:rPr>
                <w:color w:val="212A34"/>
                <w:sz w:val="20"/>
              </w:rPr>
              <w:t>,</w:t>
            </w:r>
            <w:r>
              <w:rPr>
                <w:color w:val="212A34"/>
                <w:spacing w:val="-9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observada</w:t>
            </w:r>
            <w:r>
              <w:rPr>
                <w:color w:val="212A34"/>
                <w:spacing w:val="-8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a</w:t>
            </w:r>
            <w:r>
              <w:rPr>
                <w:color w:val="212A34"/>
                <w:spacing w:val="-8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regulamentação</w:t>
            </w:r>
            <w:r>
              <w:rPr>
                <w:color w:val="212A34"/>
                <w:spacing w:val="-8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do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pacing w:val="-4"/>
                <w:sz w:val="20"/>
              </w:rPr>
              <w:t>CMN.</w:t>
            </w:r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227"/>
        </w:trPr>
        <w:tc>
          <w:tcPr>
            <w:tcW w:w="5357" w:type="dxa"/>
          </w:tcPr>
          <w:p w:rsidR="00263A97" w:rsidRDefault="00D73B6D">
            <w:pPr>
              <w:pStyle w:val="TableParagraph"/>
              <w:spacing w:line="208" w:lineRule="exact"/>
              <w:ind w:left="115"/>
              <w:rPr>
                <w:sz w:val="20"/>
              </w:rPr>
            </w:pPr>
            <w:r>
              <w:rPr>
                <w:color w:val="212A34"/>
                <w:sz w:val="20"/>
              </w:rPr>
              <w:t>Cotas</w:t>
            </w:r>
            <w:r>
              <w:rPr>
                <w:color w:val="212A34"/>
                <w:spacing w:val="-10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-11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fundos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-8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investimento</w:t>
            </w:r>
            <w:r>
              <w:rPr>
                <w:color w:val="212A34"/>
                <w:spacing w:val="-13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imobiliários</w:t>
            </w:r>
            <w:r>
              <w:rPr>
                <w:color w:val="212A34"/>
                <w:spacing w:val="-9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-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pacing w:val="-5"/>
                <w:sz w:val="20"/>
              </w:rPr>
              <w:t>FII</w:t>
            </w:r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460"/>
        </w:trPr>
        <w:tc>
          <w:tcPr>
            <w:tcW w:w="5357" w:type="dxa"/>
          </w:tcPr>
          <w:p w:rsidR="00263A97" w:rsidRDefault="00D73B6D">
            <w:pPr>
              <w:pStyle w:val="TableParagraph"/>
              <w:spacing w:line="228" w:lineRule="exact"/>
              <w:ind w:left="115"/>
              <w:rPr>
                <w:sz w:val="20"/>
              </w:rPr>
            </w:pPr>
            <w:r>
              <w:rPr>
                <w:color w:val="212A34"/>
                <w:sz w:val="20"/>
              </w:rPr>
              <w:t>Cotas</w:t>
            </w:r>
            <w:r>
              <w:rPr>
                <w:color w:val="212A34"/>
                <w:spacing w:val="-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fundos</w:t>
            </w:r>
            <w:r>
              <w:rPr>
                <w:color w:val="212A34"/>
                <w:spacing w:val="-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investimento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nas</w:t>
            </w:r>
            <w:r>
              <w:rPr>
                <w:color w:val="212A34"/>
                <w:spacing w:val="-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cadeias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produtivas agroindustriais – FIAGRO</w:t>
            </w:r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460"/>
        </w:trPr>
        <w:tc>
          <w:tcPr>
            <w:tcW w:w="5357" w:type="dxa"/>
          </w:tcPr>
          <w:p w:rsidR="00263A97" w:rsidRDefault="00D73B6D">
            <w:pPr>
              <w:pStyle w:val="TableParagraph"/>
              <w:spacing w:line="230" w:lineRule="exact"/>
              <w:ind w:left="115" w:right="65"/>
              <w:rPr>
                <w:sz w:val="20"/>
              </w:rPr>
            </w:pPr>
            <w:r>
              <w:rPr>
                <w:color w:val="212A34"/>
                <w:spacing w:val="-2"/>
                <w:sz w:val="20"/>
              </w:rPr>
              <w:t>Cotas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>de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>FIAGRO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>cujas</w:t>
            </w:r>
            <w:r>
              <w:rPr>
                <w:color w:val="212A34"/>
                <w:spacing w:val="-4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>políticas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>de</w:t>
            </w:r>
            <w:r>
              <w:rPr>
                <w:color w:val="212A34"/>
                <w:spacing w:val="-7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>investimento</w:t>
            </w:r>
            <w:r>
              <w:rPr>
                <w:color w:val="212A34"/>
                <w:spacing w:val="-6"/>
                <w:sz w:val="20"/>
              </w:rPr>
              <w:t xml:space="preserve"> </w:t>
            </w:r>
            <w:r>
              <w:rPr>
                <w:color w:val="212A34"/>
                <w:spacing w:val="-2"/>
                <w:sz w:val="20"/>
              </w:rPr>
              <w:t xml:space="preserve">admitam </w:t>
            </w:r>
            <w:r>
              <w:rPr>
                <w:color w:val="212A34"/>
                <w:sz w:val="20"/>
              </w:rPr>
              <w:t xml:space="preserve">a aquisição de direitos creditórios </w:t>
            </w:r>
            <w:proofErr w:type="gramStart"/>
            <w:r>
              <w:rPr>
                <w:color w:val="212A34"/>
                <w:sz w:val="20"/>
              </w:rPr>
              <w:t>não-padronizados</w:t>
            </w:r>
            <w:proofErr w:type="gramEnd"/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  <w:tr w:rsidR="00263A97">
        <w:trPr>
          <w:trHeight w:val="460"/>
        </w:trPr>
        <w:tc>
          <w:tcPr>
            <w:tcW w:w="5357" w:type="dxa"/>
          </w:tcPr>
          <w:p w:rsidR="00263A97" w:rsidRDefault="00D73B6D">
            <w:pPr>
              <w:pStyle w:val="TableParagraph"/>
              <w:spacing w:line="230" w:lineRule="exact"/>
              <w:ind w:left="115"/>
              <w:rPr>
                <w:sz w:val="20"/>
              </w:rPr>
            </w:pPr>
            <w:r>
              <w:rPr>
                <w:color w:val="212A34"/>
                <w:sz w:val="20"/>
              </w:rPr>
              <w:t>Cotas</w:t>
            </w:r>
            <w:r>
              <w:rPr>
                <w:color w:val="212A34"/>
                <w:spacing w:val="3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3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Fundos</w:t>
            </w:r>
            <w:r>
              <w:rPr>
                <w:color w:val="212A34"/>
                <w:spacing w:val="3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</w:t>
            </w:r>
            <w:r>
              <w:rPr>
                <w:color w:val="212A34"/>
                <w:spacing w:val="32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Investimento</w:t>
            </w:r>
            <w:r>
              <w:rPr>
                <w:color w:val="212A34"/>
                <w:spacing w:val="32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em</w:t>
            </w:r>
            <w:r>
              <w:rPr>
                <w:color w:val="212A34"/>
                <w:spacing w:val="36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Debêntures</w:t>
            </w:r>
            <w:r>
              <w:rPr>
                <w:color w:val="212A34"/>
                <w:spacing w:val="35"/>
                <w:sz w:val="20"/>
              </w:rPr>
              <w:t xml:space="preserve"> </w:t>
            </w:r>
            <w:r>
              <w:rPr>
                <w:color w:val="212A34"/>
                <w:sz w:val="20"/>
              </w:rPr>
              <w:t>de Infraestrutura – FI-Infra</w:t>
            </w:r>
          </w:p>
        </w:tc>
        <w:tc>
          <w:tcPr>
            <w:tcW w:w="3576" w:type="dxa"/>
            <w:vMerge/>
            <w:tcBorders>
              <w:top w:val="nil"/>
            </w:tcBorders>
          </w:tcPr>
          <w:p w:rsidR="00263A97" w:rsidRDefault="00263A97">
            <w:pPr>
              <w:rPr>
                <w:sz w:val="2"/>
                <w:szCs w:val="2"/>
              </w:rPr>
            </w:pPr>
          </w:p>
        </w:tc>
      </w:tr>
    </w:tbl>
    <w:p w:rsidR="00263A97" w:rsidRDefault="00263A97">
      <w:pPr>
        <w:pStyle w:val="Corpodetexto"/>
        <w:spacing w:before="20"/>
        <w:rPr>
          <w:sz w:val="20"/>
        </w:rPr>
      </w:pPr>
    </w:p>
    <w:p w:rsidR="00263A97" w:rsidRDefault="00D73B6D">
      <w:pPr>
        <w:pStyle w:val="PargrafodaLista"/>
        <w:numPr>
          <w:ilvl w:val="1"/>
          <w:numId w:val="3"/>
        </w:numPr>
        <w:tabs>
          <w:tab w:val="left" w:pos="1472"/>
          <w:tab w:val="left" w:pos="1476"/>
        </w:tabs>
        <w:spacing w:line="237" w:lineRule="auto"/>
        <w:ind w:right="82" w:hanging="682"/>
        <w:jc w:val="both"/>
        <w:rPr>
          <w:sz w:val="20"/>
        </w:rPr>
      </w:pPr>
      <w:r>
        <w:rPr>
          <w:sz w:val="20"/>
        </w:rPr>
        <w:t>Os recursos excedentes da carteira podem ser aplicados em quaisquer outras modalidades de ativos financeiros,</w:t>
      </w:r>
      <w:r>
        <w:rPr>
          <w:spacing w:val="-10"/>
          <w:sz w:val="20"/>
        </w:rPr>
        <w:t xml:space="preserve"> </w:t>
      </w:r>
      <w:r>
        <w:rPr>
          <w:sz w:val="20"/>
        </w:rPr>
        <w:t>observados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limites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concentração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previstos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regulamentação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vigente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presente </w:t>
      </w:r>
      <w:r>
        <w:rPr>
          <w:spacing w:val="-2"/>
          <w:sz w:val="20"/>
        </w:rPr>
        <w:t>Anexo.</w:t>
      </w:r>
    </w:p>
    <w:p w:rsidR="00263A97" w:rsidRDefault="00D73B6D">
      <w:pPr>
        <w:pStyle w:val="PargrafodaLista"/>
        <w:numPr>
          <w:ilvl w:val="1"/>
          <w:numId w:val="3"/>
        </w:numPr>
        <w:tabs>
          <w:tab w:val="left" w:pos="1472"/>
          <w:tab w:val="left" w:pos="1476"/>
        </w:tabs>
        <w:spacing w:before="147" w:line="232" w:lineRule="auto"/>
        <w:ind w:right="88" w:hanging="682"/>
        <w:jc w:val="both"/>
        <w:rPr>
          <w:sz w:val="20"/>
        </w:rPr>
      </w:pPr>
      <w:r>
        <w:rPr>
          <w:sz w:val="20"/>
        </w:rPr>
        <w:t>A política de investimento e limites para composição e diversificação da carteira da classe de cotas seguem dispostos nas tabelas a seguir.</w:t>
      </w:r>
    </w:p>
    <w:p w:rsidR="00263A97" w:rsidRPr="00CA66B1" w:rsidRDefault="00D73B6D">
      <w:pPr>
        <w:pStyle w:val="PargrafodaLista"/>
        <w:numPr>
          <w:ilvl w:val="1"/>
          <w:numId w:val="3"/>
        </w:numPr>
        <w:tabs>
          <w:tab w:val="left" w:pos="1476"/>
        </w:tabs>
        <w:spacing w:before="144"/>
        <w:ind w:hanging="679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classe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cotas</w:t>
      </w:r>
      <w:r>
        <w:rPr>
          <w:spacing w:val="-5"/>
          <w:sz w:val="20"/>
        </w:rPr>
        <w:t xml:space="preserve"> </w:t>
      </w:r>
      <w:r>
        <w:rPr>
          <w:sz w:val="20"/>
        </w:rPr>
        <w:t>obedecerá</w:t>
      </w:r>
      <w:r>
        <w:rPr>
          <w:spacing w:val="-10"/>
          <w:sz w:val="20"/>
        </w:rPr>
        <w:t xml:space="preserve"> </w:t>
      </w:r>
      <w:r>
        <w:rPr>
          <w:sz w:val="20"/>
        </w:rPr>
        <w:t>aos</w:t>
      </w:r>
      <w:r>
        <w:rPr>
          <w:spacing w:val="-9"/>
          <w:sz w:val="20"/>
        </w:rPr>
        <w:t xml:space="preserve"> </w:t>
      </w:r>
      <w:r>
        <w:rPr>
          <w:sz w:val="20"/>
        </w:rPr>
        <w:t>seguintes</w:t>
      </w:r>
      <w:r>
        <w:rPr>
          <w:spacing w:val="-7"/>
          <w:sz w:val="20"/>
        </w:rPr>
        <w:t xml:space="preserve"> </w:t>
      </w:r>
      <w:r>
        <w:rPr>
          <w:sz w:val="20"/>
        </w:rPr>
        <w:t>limites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relação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seu</w:t>
      </w:r>
      <w:r>
        <w:rPr>
          <w:spacing w:val="-10"/>
          <w:sz w:val="20"/>
        </w:rPr>
        <w:t xml:space="preserve"> </w:t>
      </w:r>
      <w:r>
        <w:rPr>
          <w:sz w:val="20"/>
        </w:rPr>
        <w:t>patrimônio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líquido:</w:t>
      </w:r>
    </w:p>
    <w:p w:rsidR="00CA66B1" w:rsidRDefault="00CA66B1" w:rsidP="00CA66B1">
      <w:pPr>
        <w:pStyle w:val="PargrafodaLista"/>
        <w:tabs>
          <w:tab w:val="left" w:pos="1476"/>
        </w:tabs>
        <w:spacing w:before="144"/>
        <w:ind w:left="1476"/>
        <w:jc w:val="left"/>
        <w:rPr>
          <w:spacing w:val="-2"/>
          <w:sz w:val="20"/>
        </w:rPr>
      </w:pPr>
    </w:p>
    <w:p w:rsidR="00CA66B1" w:rsidRDefault="00CA66B1" w:rsidP="00CA66B1">
      <w:pPr>
        <w:pStyle w:val="PargrafodaLista"/>
        <w:tabs>
          <w:tab w:val="left" w:pos="1476"/>
        </w:tabs>
        <w:spacing w:before="144"/>
        <w:ind w:left="1476"/>
        <w:jc w:val="left"/>
        <w:rPr>
          <w:spacing w:val="-2"/>
          <w:sz w:val="20"/>
        </w:rPr>
      </w:pPr>
    </w:p>
    <w:p w:rsidR="00CA66B1" w:rsidRDefault="00CA66B1" w:rsidP="00CA66B1">
      <w:pPr>
        <w:pStyle w:val="PargrafodaLista"/>
        <w:tabs>
          <w:tab w:val="left" w:pos="1476"/>
        </w:tabs>
        <w:spacing w:before="144"/>
        <w:ind w:left="1476"/>
        <w:jc w:val="left"/>
        <w:rPr>
          <w:spacing w:val="-2"/>
          <w:sz w:val="20"/>
        </w:rPr>
      </w:pPr>
    </w:p>
    <w:p w:rsidR="00CA66B1" w:rsidRDefault="00CA66B1" w:rsidP="00CA66B1">
      <w:pPr>
        <w:pStyle w:val="PargrafodaLista"/>
        <w:tabs>
          <w:tab w:val="left" w:pos="1476"/>
        </w:tabs>
        <w:spacing w:before="144"/>
        <w:ind w:left="1476"/>
        <w:jc w:val="left"/>
        <w:rPr>
          <w:spacing w:val="-2"/>
          <w:sz w:val="20"/>
        </w:rPr>
      </w:pPr>
    </w:p>
    <w:p w:rsidR="00CA66B1" w:rsidRDefault="00CA66B1" w:rsidP="00CA66B1">
      <w:pPr>
        <w:pStyle w:val="PargrafodaLista"/>
        <w:tabs>
          <w:tab w:val="left" w:pos="1476"/>
        </w:tabs>
        <w:spacing w:before="144"/>
        <w:ind w:left="1476"/>
        <w:jc w:val="left"/>
        <w:rPr>
          <w:sz w:val="20"/>
        </w:rPr>
      </w:pPr>
    </w:p>
    <w:p w:rsidR="00263A97" w:rsidRDefault="00263A97">
      <w:pPr>
        <w:pStyle w:val="Corpodetexto"/>
        <w:spacing w:before="4" w:after="1"/>
        <w:rPr>
          <w:sz w:val="11"/>
        </w:r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8"/>
        <w:gridCol w:w="2415"/>
        <w:gridCol w:w="2228"/>
      </w:tblGrid>
      <w:tr w:rsidR="00263A97">
        <w:trPr>
          <w:trHeight w:val="484"/>
        </w:trPr>
        <w:tc>
          <w:tcPr>
            <w:tcW w:w="9741" w:type="dxa"/>
            <w:gridSpan w:val="3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3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LIMITES</w:t>
            </w:r>
            <w:r>
              <w:rPr>
                <w:rFonts w:ascii="Arial"/>
                <w:b/>
                <w:color w:val="FFFFFF"/>
                <w:spacing w:val="-8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POR</w:t>
            </w:r>
            <w:r>
              <w:rPr>
                <w:rFonts w:ascii="Arial"/>
                <w:b/>
                <w:color w:val="FFFFFF"/>
                <w:spacing w:val="-6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EMISSOR</w:t>
            </w:r>
          </w:p>
        </w:tc>
      </w:tr>
      <w:tr w:rsidR="00263A97">
        <w:trPr>
          <w:trHeight w:val="344"/>
        </w:trPr>
        <w:tc>
          <w:tcPr>
            <w:tcW w:w="5098" w:type="dxa"/>
            <w:tcBorders>
              <w:bottom w:val="nil"/>
            </w:tcBorders>
          </w:tcPr>
          <w:p w:rsidR="00263A97" w:rsidRDefault="00263A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  <w:tcBorders>
              <w:bottom w:val="nil"/>
            </w:tcBorders>
          </w:tcPr>
          <w:p w:rsidR="00263A97" w:rsidRDefault="00D73B6D">
            <w:pPr>
              <w:pStyle w:val="TableParagraph"/>
              <w:spacing w:before="100" w:line="224" w:lineRule="exact"/>
              <w:ind w:left="25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  <w:u w:val="single"/>
              </w:rPr>
              <w:t>PERCENTUAL</w:t>
            </w:r>
          </w:p>
        </w:tc>
        <w:tc>
          <w:tcPr>
            <w:tcW w:w="2228" w:type="dxa"/>
            <w:tcBorders>
              <w:bottom w:val="nil"/>
            </w:tcBorders>
          </w:tcPr>
          <w:p w:rsidR="00263A97" w:rsidRDefault="00D73B6D">
            <w:pPr>
              <w:pStyle w:val="TableParagraph"/>
              <w:spacing w:before="100" w:line="224" w:lineRule="exact"/>
              <w:ind w:left="17" w:right="6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  <w:u w:val="single"/>
              </w:rPr>
              <w:t>PERCENTUAL</w:t>
            </w:r>
          </w:p>
        </w:tc>
      </w:tr>
      <w:tr w:rsidR="00263A97">
        <w:trPr>
          <w:trHeight w:val="241"/>
        </w:trPr>
        <w:tc>
          <w:tcPr>
            <w:tcW w:w="5098" w:type="dxa"/>
            <w:tcBorders>
              <w:top w:val="nil"/>
              <w:bottom w:val="nil"/>
            </w:tcBorders>
          </w:tcPr>
          <w:p w:rsidR="00263A97" w:rsidRDefault="00263A9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</w:tcPr>
          <w:p w:rsidR="00263A97" w:rsidRDefault="00D73B6D">
            <w:pPr>
              <w:pStyle w:val="TableParagraph"/>
              <w:spacing w:line="221" w:lineRule="exact"/>
              <w:ind w:left="25" w:right="7"/>
              <w:jc w:val="center"/>
              <w:rPr>
                <w:sz w:val="21"/>
              </w:rPr>
            </w:pPr>
            <w:r>
              <w:rPr>
                <w:rFonts w:ascii="Arial"/>
                <w:b/>
                <w:spacing w:val="-2"/>
                <w:sz w:val="21"/>
                <w:u w:val="single"/>
              </w:rPr>
              <w:t>INDIVIDUAL</w:t>
            </w:r>
            <w:r>
              <w:rPr>
                <w:rFonts w:ascii="Arial"/>
                <w:b/>
                <w:spacing w:val="5"/>
                <w:sz w:val="21"/>
              </w:rPr>
              <w:t xml:space="preserve"> </w:t>
            </w:r>
            <w:proofErr w:type="gramStart"/>
            <w:r>
              <w:rPr>
                <w:spacing w:val="-5"/>
                <w:sz w:val="21"/>
              </w:rPr>
              <w:t>(em</w:t>
            </w:r>
          </w:p>
        </w:tc>
        <w:tc>
          <w:tcPr>
            <w:tcW w:w="2228" w:type="dxa"/>
            <w:tcBorders>
              <w:top w:val="nil"/>
              <w:bottom w:val="nil"/>
            </w:tcBorders>
          </w:tcPr>
          <w:p w:rsidR="00263A97" w:rsidRDefault="00D73B6D">
            <w:pPr>
              <w:pStyle w:val="TableParagraph"/>
              <w:spacing w:line="221" w:lineRule="exact"/>
              <w:ind w:left="17" w:right="5"/>
              <w:jc w:val="center"/>
              <w:rPr>
                <w:sz w:val="21"/>
              </w:rPr>
            </w:pPr>
            <w:proofErr w:type="gramEnd"/>
            <w:r>
              <w:rPr>
                <w:rFonts w:ascii="Arial"/>
                <w:b/>
                <w:spacing w:val="-2"/>
                <w:sz w:val="21"/>
                <w:u w:val="single"/>
              </w:rPr>
              <w:t>CONJUNTO</w:t>
            </w:r>
            <w:r>
              <w:rPr>
                <w:rFonts w:ascii="Arial"/>
                <w:b/>
                <w:spacing w:val="1"/>
                <w:sz w:val="21"/>
              </w:rPr>
              <w:t xml:space="preserve"> </w:t>
            </w:r>
            <w:proofErr w:type="gramStart"/>
            <w:r>
              <w:rPr>
                <w:spacing w:val="-5"/>
                <w:sz w:val="21"/>
              </w:rPr>
              <w:t>(em</w:t>
            </w:r>
          </w:p>
        </w:tc>
        <w:proofErr w:type="gramEnd"/>
      </w:tr>
      <w:tr w:rsidR="00263A97">
        <w:trPr>
          <w:trHeight w:val="241"/>
        </w:trPr>
        <w:tc>
          <w:tcPr>
            <w:tcW w:w="5098" w:type="dxa"/>
            <w:tcBorders>
              <w:top w:val="nil"/>
              <w:bottom w:val="nil"/>
            </w:tcBorders>
          </w:tcPr>
          <w:p w:rsidR="00263A97" w:rsidRDefault="00D73B6D">
            <w:pPr>
              <w:pStyle w:val="TableParagraph"/>
              <w:spacing w:line="221" w:lineRule="exact"/>
              <w:ind w:left="29" w:right="2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  <w:u w:val="single"/>
              </w:rPr>
              <w:t>EMISSOR</w:t>
            </w:r>
          </w:p>
        </w:tc>
        <w:tc>
          <w:tcPr>
            <w:tcW w:w="2415" w:type="dxa"/>
            <w:tcBorders>
              <w:top w:val="nil"/>
              <w:bottom w:val="nil"/>
            </w:tcBorders>
          </w:tcPr>
          <w:p w:rsidR="00263A97" w:rsidRDefault="00D73B6D">
            <w:pPr>
              <w:pStyle w:val="TableParagraph"/>
              <w:spacing w:line="221" w:lineRule="exact"/>
              <w:ind w:left="25"/>
              <w:jc w:val="center"/>
              <w:rPr>
                <w:sz w:val="21"/>
              </w:rPr>
            </w:pPr>
            <w:proofErr w:type="gramStart"/>
            <w:r>
              <w:rPr>
                <w:sz w:val="21"/>
              </w:rPr>
              <w:t>relação</w:t>
            </w:r>
            <w:proofErr w:type="gramEnd"/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ao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patrimônio</w:t>
            </w:r>
          </w:p>
        </w:tc>
        <w:tc>
          <w:tcPr>
            <w:tcW w:w="2228" w:type="dxa"/>
            <w:tcBorders>
              <w:top w:val="nil"/>
              <w:bottom w:val="nil"/>
            </w:tcBorders>
          </w:tcPr>
          <w:p w:rsidR="00263A97" w:rsidRDefault="00D73B6D">
            <w:pPr>
              <w:pStyle w:val="TableParagraph"/>
              <w:spacing w:line="221" w:lineRule="exact"/>
              <w:ind w:left="17"/>
              <w:jc w:val="center"/>
              <w:rPr>
                <w:sz w:val="21"/>
              </w:rPr>
            </w:pPr>
            <w:proofErr w:type="gramStart"/>
            <w:r>
              <w:rPr>
                <w:sz w:val="21"/>
              </w:rPr>
              <w:t>relação</w:t>
            </w:r>
            <w:proofErr w:type="gramEnd"/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ao</w:t>
            </w:r>
          </w:p>
        </w:tc>
      </w:tr>
      <w:tr w:rsidR="00263A97">
        <w:trPr>
          <w:trHeight w:val="247"/>
        </w:trPr>
        <w:tc>
          <w:tcPr>
            <w:tcW w:w="5098" w:type="dxa"/>
            <w:tcBorders>
              <w:top w:val="nil"/>
              <w:bottom w:val="nil"/>
            </w:tcBorders>
          </w:tcPr>
          <w:p w:rsidR="00263A97" w:rsidRDefault="00263A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  <w:tcBorders>
              <w:top w:val="nil"/>
              <w:bottom w:val="nil"/>
            </w:tcBorders>
          </w:tcPr>
          <w:p w:rsidR="00263A97" w:rsidRDefault="00D73B6D">
            <w:pPr>
              <w:pStyle w:val="TableParagraph"/>
              <w:spacing w:line="227" w:lineRule="exact"/>
              <w:ind w:left="25" w:right="6"/>
              <w:jc w:val="center"/>
              <w:rPr>
                <w:sz w:val="21"/>
              </w:rPr>
            </w:pPr>
            <w:proofErr w:type="gramStart"/>
            <w:r>
              <w:rPr>
                <w:sz w:val="21"/>
              </w:rPr>
              <w:t>líquido</w:t>
            </w:r>
            <w:proofErr w:type="gramEnd"/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classe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de</w:t>
            </w:r>
          </w:p>
        </w:tc>
        <w:tc>
          <w:tcPr>
            <w:tcW w:w="2228" w:type="dxa"/>
            <w:tcBorders>
              <w:top w:val="nil"/>
              <w:bottom w:val="nil"/>
            </w:tcBorders>
          </w:tcPr>
          <w:p w:rsidR="00263A97" w:rsidRDefault="00D73B6D">
            <w:pPr>
              <w:pStyle w:val="TableParagraph"/>
              <w:spacing w:line="227" w:lineRule="exact"/>
              <w:ind w:left="17" w:right="4"/>
              <w:jc w:val="center"/>
              <w:rPr>
                <w:sz w:val="21"/>
              </w:rPr>
            </w:pPr>
            <w:proofErr w:type="gramStart"/>
            <w:r>
              <w:rPr>
                <w:sz w:val="21"/>
              </w:rPr>
              <w:t>patrimônio</w:t>
            </w:r>
            <w:proofErr w:type="gramEnd"/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líquido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da</w:t>
            </w:r>
          </w:p>
        </w:tc>
      </w:tr>
      <w:tr w:rsidR="00263A97">
        <w:trPr>
          <w:trHeight w:val="368"/>
        </w:trPr>
        <w:tc>
          <w:tcPr>
            <w:tcW w:w="5098" w:type="dxa"/>
            <w:tcBorders>
              <w:top w:val="nil"/>
            </w:tcBorders>
          </w:tcPr>
          <w:p w:rsidR="00263A97" w:rsidRDefault="00263A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  <w:tcBorders>
              <w:top w:val="nil"/>
            </w:tcBorders>
          </w:tcPr>
          <w:p w:rsidR="00263A97" w:rsidRDefault="00D73B6D">
            <w:pPr>
              <w:pStyle w:val="TableParagraph"/>
              <w:spacing w:before="3"/>
              <w:ind w:left="25" w:right="12"/>
              <w:jc w:val="center"/>
              <w:rPr>
                <w:sz w:val="21"/>
              </w:rPr>
            </w:pPr>
            <w:proofErr w:type="gramStart"/>
            <w:r>
              <w:rPr>
                <w:spacing w:val="-2"/>
                <w:sz w:val="21"/>
              </w:rPr>
              <w:t>cotas</w:t>
            </w:r>
            <w:proofErr w:type="gramEnd"/>
            <w:r>
              <w:rPr>
                <w:spacing w:val="-2"/>
                <w:sz w:val="21"/>
              </w:rPr>
              <w:t>)</w:t>
            </w:r>
          </w:p>
        </w:tc>
        <w:tc>
          <w:tcPr>
            <w:tcW w:w="2228" w:type="dxa"/>
            <w:tcBorders>
              <w:top w:val="nil"/>
            </w:tcBorders>
          </w:tcPr>
          <w:p w:rsidR="00263A97" w:rsidRDefault="00D73B6D">
            <w:pPr>
              <w:pStyle w:val="TableParagraph"/>
              <w:spacing w:before="3"/>
              <w:ind w:left="17" w:right="9"/>
              <w:jc w:val="center"/>
              <w:rPr>
                <w:sz w:val="21"/>
              </w:rPr>
            </w:pPr>
            <w:proofErr w:type="gramStart"/>
            <w:r>
              <w:rPr>
                <w:sz w:val="21"/>
              </w:rPr>
              <w:t>classe</w:t>
            </w:r>
            <w:proofErr w:type="gramEnd"/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cotas)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91" w:hanging="363"/>
              <w:jc w:val="both"/>
              <w:rPr>
                <w:sz w:val="21"/>
              </w:rPr>
            </w:pPr>
            <w:r>
              <w:rPr>
                <w:sz w:val="21"/>
              </w:rPr>
              <w:t>a)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Instituição Financeira autorizada a funcionar pelo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Banco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Central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Brasil,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exceto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 xml:space="preserve">aquelas listadas nesta </w:t>
            </w:r>
            <w:proofErr w:type="gramStart"/>
            <w:r>
              <w:rPr>
                <w:sz w:val="21"/>
              </w:rPr>
              <w:t>tabela</w:t>
            </w:r>
            <w:proofErr w:type="gramEnd"/>
          </w:p>
        </w:tc>
        <w:tc>
          <w:tcPr>
            <w:tcW w:w="2415" w:type="dxa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17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719"/>
        </w:trPr>
        <w:tc>
          <w:tcPr>
            <w:tcW w:w="5098" w:type="dxa"/>
          </w:tcPr>
          <w:p w:rsidR="00263A97" w:rsidRDefault="00D73B6D">
            <w:pPr>
              <w:pStyle w:val="TableParagraph"/>
              <w:tabs>
                <w:tab w:val="left" w:pos="1612"/>
                <w:tab w:val="left" w:pos="2598"/>
                <w:tab w:val="left" w:pos="3107"/>
                <w:tab w:val="left" w:pos="4338"/>
              </w:tabs>
              <w:spacing w:before="112"/>
              <w:ind w:left="835" w:right="106" w:hanging="363"/>
              <w:rPr>
                <w:sz w:val="21"/>
              </w:rPr>
            </w:pPr>
            <w:r>
              <w:rPr>
                <w:sz w:val="21"/>
              </w:rPr>
              <w:t>b)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Ativos</w:t>
            </w:r>
            <w:r>
              <w:rPr>
                <w:sz w:val="21"/>
              </w:rPr>
              <w:tab/>
            </w:r>
            <w:r>
              <w:rPr>
                <w:spacing w:val="-2"/>
                <w:sz w:val="21"/>
              </w:rPr>
              <w:t>emitidos</w:t>
            </w:r>
            <w:r>
              <w:rPr>
                <w:sz w:val="21"/>
              </w:rPr>
              <w:tab/>
            </w:r>
            <w:r>
              <w:rPr>
                <w:spacing w:val="-4"/>
                <w:sz w:val="21"/>
              </w:rPr>
              <w:t>por</w:t>
            </w:r>
            <w:r>
              <w:rPr>
                <w:sz w:val="21"/>
              </w:rPr>
              <w:tab/>
            </w:r>
            <w:r>
              <w:rPr>
                <w:spacing w:val="-2"/>
                <w:sz w:val="21"/>
              </w:rPr>
              <w:t>companhia</w:t>
            </w:r>
            <w:r>
              <w:rPr>
                <w:sz w:val="21"/>
              </w:rPr>
              <w:tab/>
            </w:r>
            <w:r>
              <w:rPr>
                <w:spacing w:val="-4"/>
                <w:sz w:val="21"/>
              </w:rPr>
              <w:t xml:space="preserve">aberta, </w:t>
            </w:r>
            <w:r>
              <w:rPr>
                <w:sz w:val="21"/>
              </w:rPr>
              <w:t xml:space="preserve">exceto aqueles listados nesta </w:t>
            </w:r>
            <w:proofErr w:type="gramStart"/>
            <w:r>
              <w:rPr>
                <w:sz w:val="21"/>
              </w:rPr>
              <w:t>tabela</w:t>
            </w:r>
            <w:proofErr w:type="gramEnd"/>
          </w:p>
        </w:tc>
        <w:tc>
          <w:tcPr>
            <w:tcW w:w="2415" w:type="dxa"/>
          </w:tcPr>
          <w:p w:rsidR="00263A97" w:rsidRDefault="00D73B6D">
            <w:pPr>
              <w:pStyle w:val="TableParagraph"/>
              <w:spacing w:before="232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</w:tcPr>
          <w:p w:rsidR="00263A97" w:rsidRDefault="00D73B6D">
            <w:pPr>
              <w:pStyle w:val="TableParagraph"/>
              <w:spacing w:before="232"/>
              <w:ind w:left="17" w:right="3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5" w:hanging="363"/>
              <w:jc w:val="both"/>
              <w:rPr>
                <w:sz w:val="21"/>
              </w:rPr>
            </w:pPr>
            <w:r>
              <w:rPr>
                <w:sz w:val="21"/>
              </w:rPr>
              <w:t>c)</w:t>
            </w:r>
            <w:r>
              <w:rPr>
                <w:spacing w:val="40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Sociedade de propósito específico que seja subsidiária integral de companhia</w:t>
            </w:r>
            <w:proofErr w:type="gramEnd"/>
            <w:r>
              <w:rPr>
                <w:sz w:val="21"/>
              </w:rPr>
              <w:t xml:space="preserve"> securitizadora registrada na categoria S2</w:t>
            </w:r>
          </w:p>
        </w:tc>
        <w:tc>
          <w:tcPr>
            <w:tcW w:w="2415" w:type="dxa"/>
          </w:tcPr>
          <w:p w:rsidR="00263A97" w:rsidRDefault="00263A97">
            <w:pPr>
              <w:pStyle w:val="TableParagraph"/>
              <w:spacing w:before="11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5" w:right="6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228" w:type="dxa"/>
          </w:tcPr>
          <w:p w:rsidR="00263A97" w:rsidRDefault="00263A97">
            <w:pPr>
              <w:pStyle w:val="TableParagraph"/>
              <w:spacing w:before="11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7" w:right="4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486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475"/>
              <w:rPr>
                <w:sz w:val="21"/>
              </w:rPr>
            </w:pPr>
            <w:r>
              <w:rPr>
                <w:sz w:val="21"/>
              </w:rPr>
              <w:t>d)</w:t>
            </w:r>
            <w:r>
              <w:rPr>
                <w:spacing w:val="75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Pessoas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naturais</w:t>
            </w:r>
          </w:p>
        </w:tc>
        <w:tc>
          <w:tcPr>
            <w:tcW w:w="2415" w:type="dxa"/>
          </w:tcPr>
          <w:p w:rsidR="00263A97" w:rsidRDefault="00D73B6D">
            <w:pPr>
              <w:pStyle w:val="TableParagraph"/>
              <w:spacing w:before="112"/>
              <w:ind w:left="25" w:right="5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228" w:type="dxa"/>
          </w:tcPr>
          <w:p w:rsidR="00263A97" w:rsidRDefault="00D73B6D">
            <w:pPr>
              <w:pStyle w:val="TableParagraph"/>
              <w:spacing w:before="112"/>
              <w:ind w:left="17" w:right="2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90" w:hanging="363"/>
              <w:jc w:val="both"/>
              <w:rPr>
                <w:sz w:val="21"/>
              </w:rPr>
            </w:pPr>
            <w:r>
              <w:rPr>
                <w:sz w:val="21"/>
              </w:rPr>
              <w:t>e)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Valores mobiliários representativo de dívida 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emissão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companhia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não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registrada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 xml:space="preserve">na </w:t>
            </w:r>
            <w:r>
              <w:rPr>
                <w:spacing w:val="-4"/>
                <w:sz w:val="21"/>
              </w:rPr>
              <w:t>CVM</w:t>
            </w:r>
          </w:p>
        </w:tc>
        <w:tc>
          <w:tcPr>
            <w:tcW w:w="2415" w:type="dxa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17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92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3" w:hanging="363"/>
              <w:jc w:val="both"/>
              <w:rPr>
                <w:sz w:val="21"/>
              </w:rPr>
            </w:pPr>
            <w:r>
              <w:rPr>
                <w:sz w:val="21"/>
              </w:rPr>
              <w:t>f) Renda Variável (ações e certificados de depósito de ações admitidos à negociação em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mercado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organizado;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bônus 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recibos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 xml:space="preserve">de subscrição admitidos à negociação em mercado organizado; cotas de classes tipificadas como </w:t>
            </w:r>
            <w:r>
              <w:rPr>
                <w:sz w:val="21"/>
              </w:rPr>
              <w:t>“ações”; ETF de ações; BDR-Ações; e BDR-ETF de ações</w:t>
            </w:r>
            <w:proofErr w:type="gramStart"/>
            <w:r>
              <w:rPr>
                <w:sz w:val="21"/>
              </w:rPr>
              <w:t>)</w:t>
            </w:r>
            <w:proofErr w:type="gramEnd"/>
          </w:p>
        </w:tc>
        <w:tc>
          <w:tcPr>
            <w:tcW w:w="2415" w:type="dx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5" w:right="6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228" w:type="dxa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7" w:right="4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477"/>
        </w:trPr>
        <w:tc>
          <w:tcPr>
            <w:tcW w:w="5098" w:type="dxa"/>
            <w:tcBorders>
              <w:bottom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475"/>
              <w:rPr>
                <w:sz w:val="21"/>
              </w:rPr>
            </w:pPr>
            <w:r>
              <w:rPr>
                <w:sz w:val="21"/>
              </w:rPr>
              <w:t>g)</w:t>
            </w:r>
            <w:r>
              <w:rPr>
                <w:spacing w:val="72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Fundos 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Investimento</w:t>
            </w:r>
          </w:p>
        </w:tc>
        <w:tc>
          <w:tcPr>
            <w:tcW w:w="2415" w:type="dxa"/>
            <w:tcBorders>
              <w:bottom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Até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  <w:tcBorders>
              <w:bottom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17" w:right="4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Até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477"/>
        </w:trPr>
        <w:tc>
          <w:tcPr>
            <w:tcW w:w="5098" w:type="dxa"/>
            <w:tcBorders>
              <w:top w:val="single" w:sz="6" w:space="0" w:color="000000"/>
            </w:tcBorders>
          </w:tcPr>
          <w:p w:rsidR="00263A97" w:rsidRDefault="00D73B6D">
            <w:pPr>
              <w:pStyle w:val="TableParagraph"/>
              <w:spacing w:before="110"/>
              <w:ind w:left="475"/>
              <w:rPr>
                <w:sz w:val="21"/>
              </w:rPr>
            </w:pPr>
            <w:r>
              <w:rPr>
                <w:sz w:val="21"/>
              </w:rPr>
              <w:t>h)</w:t>
            </w:r>
            <w:r>
              <w:rPr>
                <w:spacing w:val="77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União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Federal</w:t>
            </w:r>
          </w:p>
        </w:tc>
        <w:tc>
          <w:tcPr>
            <w:tcW w:w="2415" w:type="dxa"/>
            <w:tcBorders>
              <w:top w:val="single" w:sz="6" w:space="0" w:color="000000"/>
            </w:tcBorders>
          </w:tcPr>
          <w:p w:rsidR="00263A97" w:rsidRDefault="00D73B6D">
            <w:pPr>
              <w:pStyle w:val="TableParagraph"/>
              <w:spacing w:before="110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Até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  <w:tcBorders>
              <w:top w:val="single" w:sz="6" w:space="0" w:color="000000"/>
            </w:tcBorders>
          </w:tcPr>
          <w:p w:rsidR="00263A97" w:rsidRDefault="00D73B6D">
            <w:pPr>
              <w:pStyle w:val="TableParagraph"/>
              <w:spacing w:before="110"/>
              <w:ind w:left="17" w:right="3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4" w:hanging="363"/>
              <w:jc w:val="both"/>
              <w:rPr>
                <w:sz w:val="21"/>
              </w:rPr>
            </w:pPr>
            <w:r>
              <w:rPr>
                <w:sz w:val="21"/>
              </w:rPr>
              <w:t>i)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Ativos financeiros de emissão do GESTOR e companhias integrantes de seu grupo </w:t>
            </w:r>
            <w:r>
              <w:rPr>
                <w:spacing w:val="-2"/>
                <w:sz w:val="21"/>
              </w:rPr>
              <w:t>econômico</w:t>
            </w:r>
          </w:p>
        </w:tc>
        <w:tc>
          <w:tcPr>
            <w:tcW w:w="2415" w:type="dxa"/>
          </w:tcPr>
          <w:p w:rsidR="00263A97" w:rsidRDefault="00263A97">
            <w:pPr>
              <w:pStyle w:val="TableParagraph"/>
              <w:spacing w:before="11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</w:tcPr>
          <w:p w:rsidR="00263A97" w:rsidRDefault="00263A97">
            <w:pPr>
              <w:pStyle w:val="TableParagraph"/>
              <w:spacing w:before="11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7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206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0" w:hanging="363"/>
              <w:jc w:val="both"/>
              <w:rPr>
                <w:sz w:val="21"/>
              </w:rPr>
            </w:pPr>
            <w:r>
              <w:rPr>
                <w:sz w:val="21"/>
              </w:rPr>
              <w:t xml:space="preserve">j) Ações de emissão do GESTOR e de companhias integrantes de seu grupo econômico, contanto que integrem índice </w:t>
            </w:r>
            <w:proofErr w:type="gramStart"/>
            <w:r>
              <w:rPr>
                <w:spacing w:val="-2"/>
                <w:sz w:val="21"/>
              </w:rPr>
              <w:t>IBOVESPA</w:t>
            </w:r>
            <w:proofErr w:type="gramEnd"/>
          </w:p>
        </w:tc>
        <w:tc>
          <w:tcPr>
            <w:tcW w:w="2415" w:type="dxa"/>
          </w:tcPr>
          <w:p w:rsidR="00263A97" w:rsidRDefault="00263A97">
            <w:pPr>
              <w:pStyle w:val="TableParagraph"/>
              <w:spacing w:before="238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</w:tcPr>
          <w:p w:rsidR="00263A97" w:rsidRDefault="00263A97">
            <w:pPr>
              <w:pStyle w:val="TableParagraph"/>
              <w:spacing w:before="238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7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 w:line="242" w:lineRule="auto"/>
              <w:ind w:left="835" w:right="88" w:hanging="363"/>
              <w:jc w:val="both"/>
              <w:rPr>
                <w:sz w:val="21"/>
              </w:rPr>
            </w:pPr>
            <w:r>
              <w:rPr>
                <w:sz w:val="21"/>
              </w:rPr>
              <w:t xml:space="preserve">k) Cotas de fundos de investimento administrados pelo GESTOR ou partes </w:t>
            </w:r>
            <w:r>
              <w:rPr>
                <w:spacing w:val="-2"/>
                <w:sz w:val="21"/>
              </w:rPr>
              <w:t>relacionadas</w:t>
            </w:r>
          </w:p>
        </w:tc>
        <w:tc>
          <w:tcPr>
            <w:tcW w:w="2415" w:type="dxa"/>
          </w:tcPr>
          <w:p w:rsidR="00263A97" w:rsidRDefault="00263A97">
            <w:pPr>
              <w:pStyle w:val="TableParagraph"/>
              <w:spacing w:before="11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5" w:right="10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228" w:type="dxa"/>
          </w:tcPr>
          <w:p w:rsidR="00263A97" w:rsidRDefault="00263A97">
            <w:pPr>
              <w:pStyle w:val="TableParagraph"/>
              <w:spacing w:before="11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7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0" w:hanging="363"/>
              <w:jc w:val="both"/>
              <w:rPr>
                <w:sz w:val="21"/>
              </w:rPr>
            </w:pPr>
            <w:r>
              <w:rPr>
                <w:sz w:val="21"/>
              </w:rPr>
              <w:t xml:space="preserve">l) Ações de emissão do GESTOR e de companhias integrantes de seu grupo </w:t>
            </w:r>
            <w:r>
              <w:rPr>
                <w:spacing w:val="-2"/>
                <w:sz w:val="21"/>
              </w:rPr>
              <w:t>econômico</w:t>
            </w:r>
          </w:p>
        </w:tc>
        <w:tc>
          <w:tcPr>
            <w:tcW w:w="4643" w:type="dxa"/>
            <w:gridSpan w:val="2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</w:tbl>
    <w:p w:rsidR="00263A97" w:rsidRDefault="00263A97">
      <w:pPr>
        <w:pStyle w:val="Corpodetexto"/>
        <w:rPr>
          <w:sz w:val="20"/>
        </w:rPr>
      </w:pPr>
    </w:p>
    <w:p w:rsidR="00263A97" w:rsidRDefault="00263A97">
      <w:pPr>
        <w:pStyle w:val="Corpodetexto"/>
        <w:spacing w:before="34"/>
        <w:rPr>
          <w:sz w:val="20"/>
        </w:r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8"/>
        <w:gridCol w:w="2600"/>
        <w:gridCol w:w="2043"/>
      </w:tblGrid>
      <w:tr w:rsidR="00263A97">
        <w:trPr>
          <w:trHeight w:val="479"/>
        </w:trPr>
        <w:tc>
          <w:tcPr>
            <w:tcW w:w="9741" w:type="dxa"/>
            <w:gridSpan w:val="3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30" w:right="1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lastRenderedPageBreak/>
              <w:t>LIMITES</w:t>
            </w:r>
            <w:r>
              <w:rPr>
                <w:rFonts w:ascii="Arial"/>
                <w:b/>
                <w:color w:val="FFFFFF"/>
                <w:spacing w:val="-13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POR</w:t>
            </w:r>
            <w:r>
              <w:rPr>
                <w:rFonts w:ascii="Arial"/>
                <w:b/>
                <w:color w:val="FFFFFF"/>
                <w:spacing w:val="-12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MODALIDADE</w:t>
            </w:r>
            <w:r>
              <w:rPr>
                <w:rFonts w:ascii="Arial"/>
                <w:b/>
                <w:color w:val="FFFFFF"/>
                <w:spacing w:val="-13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DE</w:t>
            </w:r>
            <w:r>
              <w:rPr>
                <w:rFonts w:ascii="Arial"/>
                <w:b/>
                <w:color w:val="FFFFFF"/>
                <w:spacing w:val="-8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ATIVO</w:t>
            </w:r>
            <w:r>
              <w:rPr>
                <w:rFonts w:ascii="Arial"/>
                <w:b/>
                <w:color w:val="FFFFFF"/>
                <w:spacing w:val="-6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FINANCEIRO</w:t>
            </w:r>
          </w:p>
        </w:tc>
      </w:tr>
      <w:tr w:rsidR="00263A97">
        <w:trPr>
          <w:trHeight w:val="71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232"/>
              <w:ind w:left="29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  <w:u w:val="single"/>
              </w:rPr>
              <w:t>ATIVO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705" w:right="579" w:hanging="11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  <w:u w:val="single"/>
              </w:rPr>
              <w:t>PERCENTUAL</w:t>
            </w:r>
            <w:r>
              <w:rPr>
                <w:rFonts w:ascii="Arial"/>
                <w:b/>
                <w:spacing w:val="-4"/>
                <w:sz w:val="21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  <w:u w:val="single"/>
              </w:rPr>
              <w:t>INDIVIDUAL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432" w:right="111" w:hanging="3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  <w:u w:val="single"/>
              </w:rPr>
              <w:t>PERCENTUAL</w:t>
            </w:r>
            <w:r>
              <w:rPr>
                <w:rFonts w:ascii="Arial"/>
                <w:b/>
                <w:spacing w:val="-15"/>
                <w:sz w:val="21"/>
                <w:u w:val="single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  <w:u w:val="single"/>
              </w:rPr>
              <w:t>EM</w:t>
            </w:r>
            <w:r>
              <w:rPr>
                <w:rFonts w:ascii="Arial"/>
                <w:b/>
                <w:spacing w:val="-2"/>
                <w:sz w:val="21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  <w:u w:val="single"/>
              </w:rPr>
              <w:t>CONJUNTO</w:t>
            </w:r>
          </w:p>
        </w:tc>
      </w:tr>
      <w:tr w:rsidR="00263A97">
        <w:trPr>
          <w:trHeight w:val="724"/>
        </w:trPr>
        <w:tc>
          <w:tcPr>
            <w:tcW w:w="5098" w:type="dxa"/>
          </w:tcPr>
          <w:p w:rsidR="00263A97" w:rsidRDefault="00D73B6D">
            <w:pPr>
              <w:pStyle w:val="TableParagraph"/>
              <w:tabs>
                <w:tab w:val="left" w:pos="1693"/>
                <w:tab w:val="left" w:pos="2686"/>
                <w:tab w:val="left" w:pos="3662"/>
                <w:tab w:val="left" w:pos="4013"/>
              </w:tabs>
              <w:spacing w:before="112"/>
              <w:ind w:left="835" w:right="105" w:hanging="363"/>
              <w:rPr>
                <w:sz w:val="21"/>
              </w:rPr>
            </w:pPr>
            <w:r>
              <w:rPr>
                <w:sz w:val="21"/>
              </w:rPr>
              <w:t>a)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Títulos</w:t>
            </w:r>
            <w:r>
              <w:rPr>
                <w:sz w:val="21"/>
              </w:rPr>
              <w:tab/>
            </w:r>
            <w:proofErr w:type="gramStart"/>
            <w:r>
              <w:rPr>
                <w:spacing w:val="-2"/>
                <w:sz w:val="21"/>
              </w:rPr>
              <w:t>públicos</w:t>
            </w:r>
            <w:proofErr w:type="gramEnd"/>
            <w:r>
              <w:rPr>
                <w:sz w:val="21"/>
              </w:rPr>
              <w:tab/>
            </w:r>
            <w:r>
              <w:rPr>
                <w:spacing w:val="-2"/>
                <w:sz w:val="21"/>
              </w:rPr>
              <w:t>federais</w:t>
            </w:r>
            <w:r>
              <w:rPr>
                <w:sz w:val="21"/>
              </w:rPr>
              <w:tab/>
            </w:r>
            <w:r>
              <w:rPr>
                <w:spacing w:val="-10"/>
                <w:sz w:val="21"/>
              </w:rPr>
              <w:t>e</w:t>
            </w:r>
            <w:r>
              <w:rPr>
                <w:sz w:val="21"/>
              </w:rPr>
              <w:tab/>
            </w:r>
            <w:r>
              <w:rPr>
                <w:spacing w:val="-4"/>
                <w:sz w:val="21"/>
              </w:rPr>
              <w:t xml:space="preserve">operações </w:t>
            </w:r>
            <w:r>
              <w:rPr>
                <w:sz w:val="21"/>
              </w:rPr>
              <w:t>compromissadas lastreadas nestes títulos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3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71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hanging="363"/>
              <w:rPr>
                <w:sz w:val="21"/>
              </w:rPr>
            </w:pPr>
            <w:r>
              <w:rPr>
                <w:sz w:val="21"/>
              </w:rPr>
              <w:t>b)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Ouro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financeiro,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desde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33"/>
                <w:sz w:val="21"/>
              </w:rPr>
              <w:t xml:space="preserve"> </w:t>
            </w:r>
            <w:r>
              <w:rPr>
                <w:sz w:val="21"/>
              </w:rPr>
              <w:t>negociado</w:t>
            </w:r>
            <w:r>
              <w:rPr>
                <w:spacing w:val="35"/>
                <w:sz w:val="21"/>
              </w:rPr>
              <w:t xml:space="preserve"> </w:t>
            </w:r>
            <w:r>
              <w:rPr>
                <w:sz w:val="21"/>
              </w:rPr>
              <w:t xml:space="preserve">em mercado </w:t>
            </w:r>
            <w:proofErr w:type="gramStart"/>
            <w:r>
              <w:rPr>
                <w:sz w:val="21"/>
              </w:rPr>
              <w:t>organizado</w:t>
            </w:r>
            <w:proofErr w:type="gramEnd"/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4" w:right="5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3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120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90" w:hanging="363"/>
              <w:jc w:val="both"/>
              <w:rPr>
                <w:sz w:val="21"/>
              </w:rPr>
            </w:pPr>
            <w:r>
              <w:rPr>
                <w:sz w:val="21"/>
              </w:rPr>
              <w:t>c) Títulos de emissão ou coobrigação de instituição financeira autorizada a funcionar pelo Banco Central do Brasil e operações compromissadas lastreadas nesses títulos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spacing w:before="23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spacing w:before="23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451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7" w:hanging="363"/>
              <w:jc w:val="both"/>
              <w:rPr>
                <w:sz w:val="21"/>
              </w:rPr>
            </w:pPr>
            <w:r>
              <w:rPr>
                <w:sz w:val="21"/>
              </w:rPr>
              <w:t>d) Notas promissórias, debêntures, notas comerciais e certificados de depósito de valores mobiliários, desde que tenham sido emitidas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companhias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abertas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objeto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 xml:space="preserve">de oferta </w:t>
            </w:r>
            <w:proofErr w:type="gramStart"/>
            <w:r>
              <w:rPr>
                <w:sz w:val="21"/>
              </w:rPr>
              <w:t>pública</w:t>
            </w:r>
            <w:proofErr w:type="gramEnd"/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90" w:hanging="363"/>
              <w:jc w:val="both"/>
              <w:rPr>
                <w:sz w:val="21"/>
              </w:rPr>
            </w:pPr>
            <w:r>
              <w:rPr>
                <w:sz w:val="21"/>
              </w:rPr>
              <w:t>e)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Bônus e recibos de subscrição, cupons e quaisquer outros ativos decorrentes dos valores mobiliários referidos </w:t>
            </w:r>
            <w:proofErr w:type="gramStart"/>
            <w:r>
              <w:rPr>
                <w:sz w:val="21"/>
              </w:rPr>
              <w:t>acima</w:t>
            </w:r>
            <w:proofErr w:type="gramEnd"/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44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6" w:hanging="363"/>
              <w:jc w:val="both"/>
              <w:rPr>
                <w:sz w:val="21"/>
              </w:rPr>
            </w:pPr>
            <w:r>
              <w:rPr>
                <w:sz w:val="21"/>
              </w:rPr>
              <w:t>f)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Cotas de fundos de investimento registrados com base no Anexo Normativo I da Resolução 175 (fundos de investimento financeiros - FIF) destinadas ao público em </w:t>
            </w:r>
            <w:r>
              <w:rPr>
                <w:spacing w:val="-2"/>
                <w:sz w:val="21"/>
              </w:rPr>
              <w:t>geral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09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09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44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9" w:hanging="363"/>
              <w:jc w:val="both"/>
              <w:rPr>
                <w:sz w:val="21"/>
              </w:rPr>
            </w:pPr>
            <w:r>
              <w:rPr>
                <w:sz w:val="21"/>
              </w:rPr>
              <w:t>g)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Cotas de fundos de investimento registrados com base no Anexo Normativo I da Resolução 175 (fundos de investimento financeiros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FIF)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destinados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exclusivamente a investidores qualificados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721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5" w:line="241" w:lineRule="exact"/>
              <w:ind w:left="475"/>
              <w:rPr>
                <w:sz w:val="21"/>
              </w:rPr>
            </w:pPr>
            <w:r>
              <w:rPr>
                <w:sz w:val="21"/>
              </w:rPr>
              <w:t>h)</w:t>
            </w:r>
            <w:r>
              <w:rPr>
                <w:spacing w:val="71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Cotas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fundos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investimento em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índices</w:t>
            </w:r>
          </w:p>
          <w:p w:rsidR="00263A97" w:rsidRDefault="00D73B6D">
            <w:pPr>
              <w:pStyle w:val="TableParagraph"/>
              <w:spacing w:line="241" w:lineRule="exact"/>
              <w:ind w:left="835"/>
              <w:rPr>
                <w:sz w:val="21"/>
              </w:rPr>
            </w:pP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ETF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5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5"/>
              <w:ind w:left="23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722"/>
        </w:trPr>
        <w:tc>
          <w:tcPr>
            <w:tcW w:w="5098" w:type="dxa"/>
          </w:tcPr>
          <w:p w:rsidR="00263A97" w:rsidRDefault="00D73B6D">
            <w:pPr>
              <w:pStyle w:val="TableParagraph"/>
              <w:tabs>
                <w:tab w:val="left" w:pos="835"/>
              </w:tabs>
              <w:spacing w:before="112"/>
              <w:ind w:left="835" w:right="126" w:hanging="363"/>
              <w:rPr>
                <w:sz w:val="21"/>
              </w:rPr>
            </w:pPr>
            <w:proofErr w:type="gramStart"/>
            <w:r>
              <w:rPr>
                <w:spacing w:val="-6"/>
                <w:sz w:val="21"/>
              </w:rPr>
              <w:t>i)</w:t>
            </w:r>
            <w:proofErr w:type="gramEnd"/>
            <w:r>
              <w:rPr>
                <w:sz w:val="21"/>
              </w:rPr>
              <w:tab/>
            </w:r>
            <w:r>
              <w:rPr>
                <w:spacing w:val="-2"/>
                <w:sz w:val="21"/>
              </w:rPr>
              <w:t>BDR-Ações,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BDR-Dívida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Corporativa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 xml:space="preserve">BDR- </w:t>
            </w:r>
            <w:r>
              <w:rPr>
                <w:sz w:val="21"/>
              </w:rPr>
              <w:t>ETF,e Ações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3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691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5"/>
              <w:ind w:left="835" w:right="86" w:hanging="363"/>
              <w:jc w:val="both"/>
              <w:rPr>
                <w:sz w:val="21"/>
              </w:rPr>
            </w:pPr>
            <w:r>
              <w:rPr>
                <w:sz w:val="21"/>
              </w:rPr>
              <w:t>j)</w:t>
            </w:r>
            <w:r>
              <w:rPr>
                <w:spacing w:val="40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Ativos, perfeitamente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fungíveis</w:t>
            </w:r>
            <w:proofErr w:type="gramEnd"/>
            <w:r>
              <w:rPr>
                <w:sz w:val="21"/>
              </w:rPr>
              <w:t xml:space="preserve"> de uma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única emissão de valores mobiliários, desde que essa aplicação em específico constitua a política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investimento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classe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os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ativos tenham sido emitidas por companhias abertas e objeto de oferta pública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23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 w:right="5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23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71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hanging="363"/>
              <w:rPr>
                <w:sz w:val="21"/>
              </w:rPr>
            </w:pPr>
            <w:r>
              <w:rPr>
                <w:sz w:val="21"/>
              </w:rPr>
              <w:t>k)</w:t>
            </w:r>
            <w:r>
              <w:rPr>
                <w:spacing w:val="40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Cotas</w:t>
            </w:r>
            <w:proofErr w:type="gramEnd"/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Fundos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Investimento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em Direitos Creditórios – FIDC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4" w:right="9"/>
              <w:jc w:val="center"/>
              <w:rPr>
                <w:sz w:val="21"/>
              </w:rPr>
            </w:pPr>
            <w:r>
              <w:rPr>
                <w:sz w:val="21"/>
              </w:rPr>
              <w:t>Sem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Limites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3" w:right="1"/>
              <w:jc w:val="center"/>
              <w:rPr>
                <w:sz w:val="21"/>
              </w:rPr>
            </w:pPr>
            <w:r>
              <w:rPr>
                <w:sz w:val="21"/>
              </w:rPr>
              <w:t>Sem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Limites</w:t>
            </w:r>
          </w:p>
        </w:tc>
      </w:tr>
      <w:tr w:rsidR="00263A97">
        <w:trPr>
          <w:trHeight w:val="724"/>
        </w:trPr>
        <w:tc>
          <w:tcPr>
            <w:tcW w:w="5098" w:type="dxa"/>
          </w:tcPr>
          <w:p w:rsidR="00263A97" w:rsidRDefault="00D73B6D">
            <w:pPr>
              <w:pStyle w:val="TableParagraph"/>
              <w:tabs>
                <w:tab w:val="left" w:pos="833"/>
              </w:tabs>
              <w:spacing w:before="112"/>
              <w:ind w:left="475"/>
              <w:rPr>
                <w:sz w:val="21"/>
              </w:rPr>
            </w:pPr>
            <w:proofErr w:type="gramStart"/>
            <w:r>
              <w:rPr>
                <w:spacing w:val="-5"/>
                <w:sz w:val="21"/>
              </w:rPr>
              <w:t>l)</w:t>
            </w:r>
            <w:proofErr w:type="gramEnd"/>
            <w:r>
              <w:rPr>
                <w:sz w:val="21"/>
              </w:rPr>
              <w:tab/>
              <w:t>Cotas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fundos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investimento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imobiliários</w:t>
            </w:r>
          </w:p>
          <w:p w:rsidR="00263A97" w:rsidRDefault="00D73B6D">
            <w:pPr>
              <w:pStyle w:val="TableParagraph"/>
              <w:spacing w:before="3"/>
              <w:ind w:left="835"/>
              <w:rPr>
                <w:sz w:val="21"/>
              </w:rPr>
            </w:pP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FII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3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</w:tbl>
    <w:p w:rsidR="00263A97" w:rsidRDefault="00263A97">
      <w:pPr>
        <w:pStyle w:val="TableParagraph"/>
        <w:jc w:val="center"/>
        <w:rPr>
          <w:sz w:val="21"/>
        </w:rPr>
        <w:sectPr w:rsidR="00263A97">
          <w:pgSz w:w="11910" w:h="16840"/>
          <w:pgMar w:top="2220" w:right="992" w:bottom="380" w:left="283" w:header="1487" w:footer="186" w:gutter="0"/>
          <w:cols w:space="720"/>
        </w:sectPr>
      </w:pPr>
    </w:p>
    <w:p w:rsidR="00263A97" w:rsidRDefault="00263A97">
      <w:pPr>
        <w:pStyle w:val="Corpodetexto"/>
        <w:rPr>
          <w:sz w:val="20"/>
        </w:rPr>
      </w:pPr>
    </w:p>
    <w:p w:rsidR="00263A97" w:rsidRDefault="00263A97">
      <w:pPr>
        <w:pStyle w:val="Corpodetexto"/>
        <w:spacing w:before="95"/>
        <w:rPr>
          <w:sz w:val="20"/>
        </w:r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8"/>
        <w:gridCol w:w="2600"/>
        <w:gridCol w:w="2043"/>
      </w:tblGrid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90" w:hanging="363"/>
              <w:jc w:val="both"/>
              <w:rPr>
                <w:sz w:val="21"/>
              </w:rPr>
            </w:pPr>
            <w:r>
              <w:rPr>
                <w:sz w:val="21"/>
              </w:rPr>
              <w:t>m) Valores mobiliários representativo de dívida 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emissão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companhia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não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registrada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 xml:space="preserve">na </w:t>
            </w:r>
            <w:r>
              <w:rPr>
                <w:spacing w:val="-4"/>
                <w:sz w:val="21"/>
              </w:rPr>
              <w:t>CVM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618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475"/>
              <w:rPr>
                <w:sz w:val="21"/>
              </w:rPr>
            </w:pPr>
            <w:r>
              <w:rPr>
                <w:sz w:val="21"/>
              </w:rPr>
              <w:t>n)</w:t>
            </w:r>
            <w:r>
              <w:rPr>
                <w:spacing w:val="70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Certificados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recebíveis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182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182"/>
              <w:ind w:left="23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451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5"/>
              <w:ind w:left="835" w:right="89" w:hanging="363"/>
              <w:jc w:val="both"/>
              <w:rPr>
                <w:sz w:val="21"/>
              </w:rPr>
            </w:pPr>
            <w:r>
              <w:rPr>
                <w:sz w:val="21"/>
              </w:rPr>
              <w:t>o)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Cotas de fundos de investimento registrados com base no Anexo Normativo I da Resolução 175 (fundos de investimento financeiros - FIF) e destinados exclusivamente a investidores profissionais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44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9" w:hanging="363"/>
              <w:jc w:val="both"/>
              <w:rPr>
                <w:sz w:val="21"/>
              </w:rPr>
            </w:pPr>
            <w:r>
              <w:rPr>
                <w:sz w:val="21"/>
              </w:rPr>
              <w:t>p)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Cotas de fundos de investimento em direitos creditórios cuja política de investimentos admita a aplicação em direitos creditórios </w:t>
            </w:r>
            <w:proofErr w:type="gramStart"/>
            <w:r>
              <w:rPr>
                <w:sz w:val="21"/>
              </w:rPr>
              <w:t>não-padronizados</w:t>
            </w:r>
            <w:proofErr w:type="gramEnd"/>
            <w:r>
              <w:rPr>
                <w:sz w:val="21"/>
              </w:rPr>
              <w:t>, conforme definidos na Resolução 175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4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4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120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6" w:hanging="363"/>
              <w:jc w:val="both"/>
              <w:rPr>
                <w:sz w:val="21"/>
              </w:rPr>
            </w:pPr>
            <w:r>
              <w:rPr>
                <w:sz w:val="21"/>
              </w:rPr>
              <w:t>q)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Certificados de recebíveis cujo lastro seja composto por direitos creditórios </w:t>
            </w:r>
            <w:proofErr w:type="gramStart"/>
            <w:r>
              <w:rPr>
                <w:sz w:val="21"/>
              </w:rPr>
              <w:t>não- padronizados</w:t>
            </w:r>
            <w:proofErr w:type="gramEnd"/>
            <w:r>
              <w:rPr>
                <w:sz w:val="21"/>
              </w:rPr>
              <w:t>, conforme definidos na Resolução 175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spacing w:before="23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 w:right="5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spacing w:before="235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950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 w:line="242" w:lineRule="auto"/>
              <w:ind w:left="835" w:right="90" w:hanging="363"/>
              <w:jc w:val="both"/>
              <w:rPr>
                <w:sz w:val="20"/>
              </w:rPr>
            </w:pPr>
            <w:r>
              <w:rPr>
                <w:sz w:val="21"/>
              </w:rPr>
              <w:t>r) Cotas de fundos de investimento em participações – FIP</w:t>
            </w:r>
            <w:r>
              <w:rPr>
                <w:sz w:val="20"/>
              </w:rPr>
              <w:t>, classificados como “entidade de investimento</w:t>
            </w:r>
            <w:proofErr w:type="gramStart"/>
            <w:r>
              <w:rPr>
                <w:sz w:val="20"/>
              </w:rPr>
              <w:t>”</w:t>
            </w:r>
            <w:proofErr w:type="gramEnd"/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spacing w:before="10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spacing w:before="106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726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 w:line="242" w:lineRule="auto"/>
              <w:ind w:left="835" w:hanging="363"/>
              <w:rPr>
                <w:sz w:val="21"/>
              </w:rPr>
            </w:pPr>
            <w:r>
              <w:rPr>
                <w:sz w:val="21"/>
              </w:rPr>
              <w:t>s)</w:t>
            </w:r>
            <w:r>
              <w:rPr>
                <w:spacing w:val="74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Cotas</w:t>
            </w:r>
            <w:proofErr w:type="gramEnd"/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z w:val="21"/>
              </w:rPr>
              <w:t>fundos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z w:val="21"/>
              </w:rPr>
              <w:t>investimento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z w:val="21"/>
              </w:rPr>
              <w:t>nas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z w:val="21"/>
              </w:rPr>
              <w:t>cadeias produtivas agroindustriais – FIAGRO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3" w:right="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86" w:hanging="363"/>
              <w:jc w:val="both"/>
              <w:rPr>
                <w:sz w:val="21"/>
              </w:rPr>
            </w:pPr>
            <w:r>
              <w:rPr>
                <w:sz w:val="21"/>
              </w:rPr>
              <w:t>t) Cotas de FIAGRO cujas políticas de investimento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admitam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aquisição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direitos creditórios </w:t>
            </w:r>
            <w:proofErr w:type="gramStart"/>
            <w:r>
              <w:rPr>
                <w:sz w:val="21"/>
              </w:rPr>
              <w:t>não-padronizados</w:t>
            </w:r>
            <w:proofErr w:type="gramEnd"/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100%</w:t>
            </w:r>
          </w:p>
        </w:tc>
      </w:tr>
      <w:tr w:rsidR="00263A97">
        <w:trPr>
          <w:trHeight w:val="47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475"/>
              <w:rPr>
                <w:sz w:val="21"/>
              </w:rPr>
            </w:pPr>
            <w:r>
              <w:rPr>
                <w:sz w:val="21"/>
              </w:rPr>
              <w:t>u)</w:t>
            </w:r>
            <w:r>
              <w:rPr>
                <w:spacing w:val="71"/>
                <w:w w:val="150"/>
                <w:sz w:val="21"/>
              </w:rPr>
              <w:t xml:space="preserve"> </w:t>
            </w:r>
            <w:r>
              <w:rPr>
                <w:sz w:val="21"/>
              </w:rPr>
              <w:t>Títulos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contratos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investimento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coletivo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24" w:right="5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23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47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475"/>
              <w:rPr>
                <w:sz w:val="21"/>
              </w:rPr>
            </w:pPr>
            <w:r>
              <w:rPr>
                <w:sz w:val="21"/>
              </w:rPr>
              <w:t>v)</w:t>
            </w:r>
            <w:proofErr w:type="gramStart"/>
            <w:r>
              <w:rPr>
                <w:spacing w:val="30"/>
                <w:sz w:val="21"/>
              </w:rPr>
              <w:t xml:space="preserve">  </w:t>
            </w:r>
            <w:proofErr w:type="gramEnd"/>
            <w:r>
              <w:rPr>
                <w:spacing w:val="-2"/>
                <w:sz w:val="21"/>
              </w:rPr>
              <w:t>Criptoativos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24" w:right="4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2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144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90" w:hanging="363"/>
              <w:jc w:val="both"/>
              <w:rPr>
                <w:sz w:val="21"/>
              </w:rPr>
            </w:pPr>
            <w:r>
              <w:rPr>
                <w:sz w:val="21"/>
              </w:rPr>
              <w:t xml:space="preserve">w) Valores mobiliários emitidos por meio de plataformas eletrônicas de investimento participativo, desde que </w:t>
            </w:r>
            <w:proofErr w:type="gramStart"/>
            <w:r>
              <w:rPr>
                <w:sz w:val="21"/>
              </w:rPr>
              <w:t>sejam</w:t>
            </w:r>
            <w:proofErr w:type="gramEnd"/>
            <w:r>
              <w:rPr>
                <w:sz w:val="21"/>
              </w:rPr>
              <w:t xml:space="preserve"> objeto de escrituração realizada por escriturador autorizado pela CVM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4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4" w:right="5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4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23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96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right="91" w:hanging="363"/>
              <w:jc w:val="both"/>
              <w:rPr>
                <w:sz w:val="21"/>
              </w:rPr>
            </w:pPr>
            <w:r>
              <w:rPr>
                <w:sz w:val="21"/>
              </w:rPr>
              <w:t>x) Cotas de outros fundos de investimento regulamentados pela CVM que não os constantes nesta tabela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4" w:right="9"/>
              <w:jc w:val="center"/>
              <w:rPr>
                <w:sz w:val="21"/>
              </w:rPr>
            </w:pPr>
            <w:r>
              <w:rPr>
                <w:sz w:val="21"/>
              </w:rPr>
              <w:t>Sem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limites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3" w:right="5"/>
              <w:jc w:val="center"/>
              <w:rPr>
                <w:sz w:val="21"/>
              </w:rPr>
            </w:pPr>
            <w:r>
              <w:rPr>
                <w:sz w:val="21"/>
              </w:rPr>
              <w:t>Sem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limites</w:t>
            </w:r>
          </w:p>
        </w:tc>
      </w:tr>
      <w:tr w:rsidR="00263A97">
        <w:trPr>
          <w:trHeight w:val="479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475"/>
              <w:rPr>
                <w:sz w:val="21"/>
              </w:rPr>
            </w:pPr>
            <w:r>
              <w:rPr>
                <w:sz w:val="21"/>
              </w:rPr>
              <w:t>y)</w:t>
            </w:r>
            <w:proofErr w:type="gramStart"/>
            <w:r>
              <w:rPr>
                <w:spacing w:val="28"/>
                <w:sz w:val="21"/>
              </w:rPr>
              <w:t xml:space="preserve">  </w:t>
            </w:r>
            <w:proofErr w:type="gramEnd"/>
            <w:r>
              <w:rPr>
                <w:sz w:val="21"/>
              </w:rPr>
              <w:t>CBIO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créditos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carbono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24" w:right="4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112"/>
              <w:ind w:left="2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  <w:tr w:rsidR="00263A97">
        <w:trPr>
          <w:trHeight w:val="724"/>
        </w:trPr>
        <w:tc>
          <w:tcPr>
            <w:tcW w:w="5098" w:type="dxa"/>
          </w:tcPr>
          <w:p w:rsidR="00263A97" w:rsidRDefault="00D73B6D">
            <w:pPr>
              <w:pStyle w:val="TableParagraph"/>
              <w:spacing w:before="112"/>
              <w:ind w:left="835" w:hanging="360"/>
              <w:rPr>
                <w:sz w:val="21"/>
              </w:rPr>
            </w:pPr>
            <w:r>
              <w:rPr>
                <w:sz w:val="21"/>
              </w:rPr>
              <w:t>z)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Outros ativos financeiros não previstos nos itens “k” ao “y”</w:t>
            </w:r>
          </w:p>
        </w:tc>
        <w:tc>
          <w:tcPr>
            <w:tcW w:w="2600" w:type="dxa"/>
            <w:tcBorders>
              <w:righ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4" w:right="5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  <w:tc>
          <w:tcPr>
            <w:tcW w:w="2043" w:type="dxa"/>
            <w:tcBorders>
              <w:left w:val="single" w:sz="6" w:space="0" w:color="000000"/>
            </w:tcBorders>
          </w:tcPr>
          <w:p w:rsidR="00263A97" w:rsidRDefault="00D73B6D">
            <w:pPr>
              <w:pStyle w:val="TableParagraph"/>
              <w:spacing w:before="232"/>
              <w:ind w:left="23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Vedado</w:t>
            </w:r>
          </w:p>
        </w:tc>
      </w:tr>
    </w:tbl>
    <w:p w:rsidR="00263A97" w:rsidRDefault="00263A97">
      <w:pPr>
        <w:pStyle w:val="TableParagraph"/>
        <w:jc w:val="center"/>
        <w:rPr>
          <w:sz w:val="21"/>
        </w:rPr>
        <w:sectPr w:rsidR="00263A97">
          <w:pgSz w:w="11910" w:h="16840"/>
          <w:pgMar w:top="2220" w:right="992" w:bottom="380" w:left="283" w:header="1487" w:footer="186" w:gutter="0"/>
          <w:cols w:space="720"/>
        </w:sectPr>
      </w:pPr>
    </w:p>
    <w:p w:rsidR="00263A97" w:rsidRDefault="00263A97">
      <w:pPr>
        <w:pStyle w:val="Corpodetexto"/>
      </w:pPr>
    </w:p>
    <w:p w:rsidR="00263A97" w:rsidRDefault="00263A97">
      <w:pPr>
        <w:pStyle w:val="Corpodetexto"/>
        <w:spacing w:before="65"/>
      </w:pPr>
    </w:p>
    <w:p w:rsidR="00263A97" w:rsidRDefault="00D73B6D">
      <w:pPr>
        <w:pStyle w:val="PargrafodaLista"/>
        <w:numPr>
          <w:ilvl w:val="1"/>
          <w:numId w:val="3"/>
        </w:numPr>
        <w:tabs>
          <w:tab w:val="left" w:pos="1475"/>
        </w:tabs>
        <w:ind w:left="1475" w:hanging="678"/>
        <w:jc w:val="both"/>
        <w:rPr>
          <w:sz w:val="21"/>
        </w:rPr>
      </w:pPr>
      <w:r>
        <w:rPr>
          <w:spacing w:val="-2"/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classe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cotas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respeitará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ainda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os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seguintes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limites:</w:t>
      </w:r>
    </w:p>
    <w:p w:rsidR="00263A97" w:rsidRDefault="00263A97">
      <w:pPr>
        <w:pStyle w:val="Corpodetexto"/>
        <w:spacing w:before="8"/>
        <w:rPr>
          <w:sz w:val="10"/>
        </w:r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6"/>
        <w:gridCol w:w="4672"/>
      </w:tblGrid>
      <w:tr w:rsidR="00263A97">
        <w:trPr>
          <w:trHeight w:val="486"/>
        </w:trPr>
        <w:tc>
          <w:tcPr>
            <w:tcW w:w="9738" w:type="dxa"/>
            <w:gridSpan w:val="2"/>
            <w:shd w:val="clear" w:color="auto" w:fill="E26B0A"/>
          </w:tcPr>
          <w:p w:rsidR="00263A97" w:rsidRDefault="00D73B6D">
            <w:pPr>
              <w:pStyle w:val="TableParagraph"/>
              <w:spacing w:before="115"/>
              <w:ind w:left="22"/>
              <w:jc w:val="center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color w:val="FFFFFF"/>
                <w:spacing w:val="-4"/>
                <w:sz w:val="21"/>
                <w:u w:val="single" w:color="FFFFFF"/>
              </w:rPr>
              <w:t>Características</w:t>
            </w:r>
            <w:r>
              <w:rPr>
                <w:rFonts w:ascii="Arial" w:hAnsi="Arial"/>
                <w:b/>
                <w:color w:val="FFFFFF"/>
                <w:spacing w:val="3"/>
                <w:sz w:val="21"/>
                <w:u w:val="single" w:color="FFFFFF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21"/>
                <w:u w:val="single" w:color="FFFFFF"/>
              </w:rPr>
              <w:t>Adicionais</w:t>
            </w:r>
            <w:r>
              <w:rPr>
                <w:rFonts w:ascii="Arial" w:hAnsi="Arial"/>
                <w:b/>
                <w:color w:val="FFFFFF"/>
                <w:spacing w:val="1"/>
                <w:sz w:val="21"/>
                <w:u w:val="single" w:color="FFFFFF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21"/>
                <w:u w:val="single" w:color="FFFFFF"/>
              </w:rPr>
              <w:t>Aplicáveis</w:t>
            </w:r>
            <w:r>
              <w:rPr>
                <w:rFonts w:ascii="Arial" w:hAnsi="Arial"/>
                <w:b/>
                <w:color w:val="FFFFFF"/>
                <w:spacing w:val="3"/>
                <w:sz w:val="21"/>
                <w:u w:val="single" w:color="FFFFFF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21"/>
                <w:u w:val="single" w:color="FFFFFF"/>
              </w:rPr>
              <w:t>à</w:t>
            </w:r>
            <w:r>
              <w:rPr>
                <w:rFonts w:ascii="Arial" w:hAnsi="Arial"/>
                <w:b/>
                <w:color w:val="FFFFFF"/>
                <w:spacing w:val="4"/>
                <w:sz w:val="21"/>
                <w:u w:val="single" w:color="FFFFFF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21"/>
                <w:u w:val="single" w:color="FFFFFF"/>
              </w:rPr>
              <w:t>Carteira</w:t>
            </w:r>
          </w:p>
        </w:tc>
      </w:tr>
      <w:tr w:rsidR="00263A97">
        <w:trPr>
          <w:trHeight w:val="719"/>
        </w:trPr>
        <w:tc>
          <w:tcPr>
            <w:tcW w:w="5066" w:type="dxa"/>
            <w:shd w:val="clear" w:color="auto" w:fill="E26B0A"/>
          </w:tcPr>
          <w:p w:rsidR="00263A97" w:rsidRDefault="00263A9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2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297" w:firstLine="74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color w:val="FFFFFF"/>
                <w:sz w:val="21"/>
                <w:u w:val="single" w:color="FFFFFF"/>
              </w:rPr>
              <w:t xml:space="preserve">PERCENTUAL </w:t>
            </w:r>
            <w:r>
              <w:rPr>
                <w:color w:val="FFFFFF"/>
                <w:sz w:val="21"/>
                <w:u w:val="single" w:color="FFFFFF"/>
              </w:rPr>
              <w:t>(em relação ao patrimônio</w:t>
            </w:r>
            <w:r>
              <w:rPr>
                <w:color w:val="FFFFFF"/>
                <w:sz w:val="21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líquido</w:t>
            </w:r>
            <w:r>
              <w:rPr>
                <w:color w:val="FFFFFF"/>
                <w:spacing w:val="-11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da</w:t>
            </w:r>
            <w:r>
              <w:rPr>
                <w:color w:val="FFFFFF"/>
                <w:spacing w:val="-12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classe</w:t>
            </w:r>
            <w:r>
              <w:rPr>
                <w:color w:val="FFFFFF"/>
                <w:spacing w:val="-10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de</w:t>
            </w:r>
            <w:r>
              <w:rPr>
                <w:color w:val="FFFFFF"/>
                <w:spacing w:val="-12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cotas)</w:t>
            </w:r>
            <w:r>
              <w:rPr>
                <w:color w:val="FFFFFF"/>
                <w:spacing w:val="-12"/>
                <w:sz w:val="21"/>
                <w:u w:val="single" w:color="FFFFFF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1"/>
                <w:u w:val="single" w:color="FFFFFF"/>
              </w:rPr>
              <w:t>OU</w:t>
            </w:r>
            <w:r>
              <w:rPr>
                <w:rFonts w:ascii="Arial" w:hAnsi="Arial"/>
                <w:b/>
                <w:color w:val="FFFFFF"/>
                <w:spacing w:val="-8"/>
                <w:sz w:val="21"/>
                <w:u w:val="single" w:color="FFFFFF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1"/>
                <w:u w:val="single" w:color="FFFFFF"/>
              </w:rPr>
              <w:t>LIMITAÇÃO</w:t>
            </w:r>
          </w:p>
        </w:tc>
      </w:tr>
      <w:tr w:rsidR="00263A97">
        <w:trPr>
          <w:trHeight w:val="964"/>
        </w:trPr>
        <w:tc>
          <w:tcPr>
            <w:tcW w:w="5066" w:type="dxa"/>
          </w:tcPr>
          <w:p w:rsidR="00263A97" w:rsidRDefault="00D73B6D">
            <w:pPr>
              <w:pStyle w:val="TableParagraph"/>
              <w:tabs>
                <w:tab w:val="left" w:pos="2539"/>
                <w:tab w:val="left" w:pos="3217"/>
                <w:tab w:val="left" w:pos="4663"/>
              </w:tabs>
              <w:spacing w:before="112"/>
              <w:ind w:left="475"/>
              <w:rPr>
                <w:rFonts w:ascii="Arial" w:hAnsi="Arial"/>
                <w:b/>
                <w:sz w:val="21"/>
              </w:rPr>
            </w:pPr>
            <w:r>
              <w:rPr>
                <w:color w:val="212A34"/>
                <w:sz w:val="21"/>
              </w:rPr>
              <w:t>a)</w:t>
            </w:r>
            <w:proofErr w:type="gramStart"/>
            <w:r>
              <w:rPr>
                <w:color w:val="212A34"/>
                <w:spacing w:val="27"/>
                <w:sz w:val="21"/>
              </w:rPr>
              <w:t xml:space="preserve">  </w:t>
            </w:r>
            <w:proofErr w:type="gramEnd"/>
            <w:r>
              <w:rPr>
                <w:rFonts w:ascii="Arial" w:hAnsi="Arial"/>
                <w:b/>
                <w:color w:val="212A34"/>
                <w:spacing w:val="-2"/>
                <w:sz w:val="21"/>
              </w:rPr>
              <w:t>OPERAÇÕES</w:t>
            </w:r>
            <w:r>
              <w:rPr>
                <w:rFonts w:ascii="Arial" w:hAnsi="Arial"/>
                <w:b/>
                <w:color w:val="212A34"/>
                <w:sz w:val="21"/>
              </w:rPr>
              <w:tab/>
            </w:r>
            <w:r>
              <w:rPr>
                <w:rFonts w:ascii="Arial" w:hAnsi="Arial"/>
                <w:b/>
                <w:color w:val="212A34"/>
                <w:spacing w:val="-5"/>
                <w:sz w:val="21"/>
              </w:rPr>
              <w:t>EM</w:t>
            </w:r>
            <w:r>
              <w:rPr>
                <w:rFonts w:ascii="Arial" w:hAnsi="Arial"/>
                <w:b/>
                <w:color w:val="212A34"/>
                <w:sz w:val="21"/>
              </w:rPr>
              <w:tab/>
            </w:r>
            <w:r>
              <w:rPr>
                <w:rFonts w:ascii="Arial" w:hAnsi="Arial"/>
                <w:b/>
                <w:color w:val="212A34"/>
                <w:spacing w:val="-2"/>
                <w:sz w:val="21"/>
              </w:rPr>
              <w:t>MERCADO</w:t>
            </w:r>
            <w:r>
              <w:rPr>
                <w:rFonts w:ascii="Arial" w:hAnsi="Arial"/>
                <w:b/>
                <w:color w:val="212A34"/>
                <w:sz w:val="21"/>
              </w:rPr>
              <w:tab/>
            </w:r>
            <w:r>
              <w:rPr>
                <w:rFonts w:ascii="Arial" w:hAnsi="Arial"/>
                <w:b/>
                <w:color w:val="212A34"/>
                <w:spacing w:val="-5"/>
                <w:sz w:val="21"/>
              </w:rPr>
              <w:t>DE</w:t>
            </w:r>
          </w:p>
          <w:p w:rsidR="00263A97" w:rsidRDefault="00D73B6D">
            <w:pPr>
              <w:pStyle w:val="TableParagraph"/>
              <w:spacing w:before="1"/>
              <w:ind w:left="835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212A34"/>
                <w:sz w:val="21"/>
              </w:rPr>
              <w:t>DERIVATIVOS,</w:t>
            </w:r>
            <w:r>
              <w:rPr>
                <w:rFonts w:ascii="Arial"/>
                <w:b/>
                <w:color w:val="212A34"/>
                <w:spacing w:val="-10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observados</w:t>
            </w:r>
            <w:r>
              <w:rPr>
                <w:rFonts w:ascii="Arial"/>
                <w:b/>
                <w:color w:val="212A34"/>
                <w:spacing w:val="-10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os</w:t>
            </w:r>
            <w:r>
              <w:rPr>
                <w:rFonts w:ascii="Arial"/>
                <w:b/>
                <w:color w:val="212A34"/>
                <w:spacing w:val="-10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limites</w:t>
            </w:r>
            <w:r>
              <w:rPr>
                <w:rFonts w:ascii="Arial"/>
                <w:b/>
                <w:color w:val="212A34"/>
                <w:spacing w:val="-8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 xml:space="preserve">da tabela </w:t>
            </w:r>
            <w:proofErr w:type="gramStart"/>
            <w:r>
              <w:rPr>
                <w:rFonts w:ascii="Arial"/>
                <w:b/>
                <w:color w:val="212A34"/>
                <w:sz w:val="21"/>
              </w:rPr>
              <w:t>acima</w:t>
            </w:r>
            <w:proofErr w:type="gramEnd"/>
          </w:p>
        </w:tc>
        <w:tc>
          <w:tcPr>
            <w:tcW w:w="4672" w:type="dxa"/>
          </w:tcPr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left="24" w:right="9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VEDADO</w:t>
            </w:r>
          </w:p>
        </w:tc>
      </w:tr>
      <w:tr w:rsidR="00263A97">
        <w:trPr>
          <w:trHeight w:val="724"/>
        </w:trPr>
        <w:tc>
          <w:tcPr>
            <w:tcW w:w="5066" w:type="dxa"/>
          </w:tcPr>
          <w:p w:rsidR="00263A97" w:rsidRDefault="00D73B6D">
            <w:pPr>
              <w:pStyle w:val="TableParagraph"/>
              <w:spacing w:before="112"/>
              <w:ind w:left="835" w:hanging="363"/>
              <w:rPr>
                <w:rFonts w:ascii="Arial" w:hAnsi="Arial"/>
                <w:b/>
                <w:sz w:val="21"/>
              </w:rPr>
            </w:pPr>
            <w:r>
              <w:rPr>
                <w:color w:val="212A34"/>
                <w:sz w:val="21"/>
              </w:rPr>
              <w:t>b)</w:t>
            </w:r>
            <w:r>
              <w:rPr>
                <w:color w:val="212A34"/>
                <w:spacing w:val="40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212A34"/>
                <w:sz w:val="21"/>
              </w:rPr>
              <w:t>ATIVOS</w:t>
            </w:r>
            <w:r>
              <w:rPr>
                <w:rFonts w:ascii="Arial" w:hAnsi="Arial"/>
                <w:b/>
                <w:color w:val="212A34"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212A34"/>
                <w:sz w:val="21"/>
              </w:rPr>
              <w:t>FINANCEIROS CLASSIFICADOS COMO CRÉDITO PRIVADO</w:t>
            </w:r>
          </w:p>
        </w:tc>
        <w:tc>
          <w:tcPr>
            <w:tcW w:w="4672" w:type="dxa"/>
          </w:tcPr>
          <w:p w:rsidR="00263A97" w:rsidRDefault="00D73B6D">
            <w:pPr>
              <w:pStyle w:val="TableParagraph"/>
              <w:spacing w:before="232"/>
              <w:ind w:left="24"/>
              <w:jc w:val="center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PODERÁ</w:t>
            </w:r>
            <w:r>
              <w:rPr>
                <w:rFonts w:ascii="Arial" w:hAnsi="Arial"/>
                <w:b/>
                <w:spacing w:val="-13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MAIS</w:t>
            </w:r>
            <w:r>
              <w:rPr>
                <w:rFonts w:ascii="Arial" w:hAnsi="Arial"/>
                <w:b/>
                <w:spacing w:val="-7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DE</w:t>
            </w:r>
            <w:r>
              <w:rPr>
                <w:rFonts w:ascii="Arial" w:hAnsi="Arial"/>
                <w:b/>
                <w:spacing w:val="-2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1"/>
              </w:rPr>
              <w:t>50%</w:t>
            </w:r>
          </w:p>
        </w:tc>
      </w:tr>
      <w:tr w:rsidR="00263A97">
        <w:trPr>
          <w:trHeight w:val="722"/>
        </w:trPr>
        <w:tc>
          <w:tcPr>
            <w:tcW w:w="5066" w:type="dxa"/>
          </w:tcPr>
          <w:p w:rsidR="00263A97" w:rsidRDefault="00D73B6D">
            <w:pPr>
              <w:pStyle w:val="TableParagraph"/>
              <w:spacing w:before="115"/>
              <w:ind w:left="835" w:hanging="363"/>
              <w:rPr>
                <w:rFonts w:ascii="Arial"/>
                <w:b/>
                <w:sz w:val="21"/>
              </w:rPr>
            </w:pPr>
            <w:r>
              <w:rPr>
                <w:color w:val="212A34"/>
                <w:sz w:val="21"/>
              </w:rPr>
              <w:t>c)</w:t>
            </w:r>
            <w:r>
              <w:rPr>
                <w:color w:val="212A34"/>
                <w:spacing w:val="70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ATIVOS</w:t>
            </w:r>
            <w:r>
              <w:rPr>
                <w:rFonts w:ascii="Arial"/>
                <w:b/>
                <w:color w:val="212A34"/>
                <w:spacing w:val="-14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FINANCEIROS</w:t>
            </w:r>
            <w:r>
              <w:rPr>
                <w:rFonts w:ascii="Arial"/>
                <w:b/>
                <w:color w:val="212A34"/>
                <w:spacing w:val="-15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NEGOCIADOS</w:t>
            </w:r>
            <w:r>
              <w:rPr>
                <w:rFonts w:ascii="Arial"/>
                <w:b/>
                <w:color w:val="212A34"/>
                <w:spacing w:val="-15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 xml:space="preserve">NO </w:t>
            </w:r>
            <w:r>
              <w:rPr>
                <w:rFonts w:ascii="Arial"/>
                <w:b/>
                <w:color w:val="212A34"/>
                <w:spacing w:val="-2"/>
                <w:sz w:val="21"/>
              </w:rPr>
              <w:t>EXTERIOR</w:t>
            </w:r>
          </w:p>
        </w:tc>
        <w:tc>
          <w:tcPr>
            <w:tcW w:w="4672" w:type="dxa"/>
          </w:tcPr>
          <w:p w:rsidR="00263A97" w:rsidRDefault="00D73B6D">
            <w:pPr>
              <w:pStyle w:val="TableParagraph"/>
              <w:spacing w:before="235"/>
              <w:ind w:left="24" w:right="5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Vedado</w:t>
            </w:r>
          </w:p>
        </w:tc>
      </w:tr>
      <w:tr w:rsidR="00263A97">
        <w:trPr>
          <w:trHeight w:val="724"/>
        </w:trPr>
        <w:tc>
          <w:tcPr>
            <w:tcW w:w="5066" w:type="dxa"/>
          </w:tcPr>
          <w:p w:rsidR="00263A97" w:rsidRDefault="00D73B6D">
            <w:pPr>
              <w:pStyle w:val="TableParagraph"/>
              <w:tabs>
                <w:tab w:val="left" w:pos="2953"/>
                <w:tab w:val="left" w:pos="4190"/>
              </w:tabs>
              <w:spacing w:before="112"/>
              <w:ind w:left="835" w:right="108" w:hanging="363"/>
              <w:rPr>
                <w:rFonts w:ascii="Arial" w:hAnsi="Arial"/>
                <w:b/>
                <w:sz w:val="21"/>
              </w:rPr>
            </w:pPr>
            <w:r>
              <w:rPr>
                <w:color w:val="212A34"/>
                <w:sz w:val="21"/>
              </w:rPr>
              <w:t>d)</w:t>
            </w:r>
            <w:r>
              <w:rPr>
                <w:color w:val="212A34"/>
                <w:spacing w:val="40"/>
                <w:sz w:val="21"/>
              </w:rPr>
              <w:t xml:space="preserve"> </w:t>
            </w:r>
            <w:r>
              <w:rPr>
                <w:rFonts w:ascii="Arial" w:hAnsi="Arial"/>
                <w:b/>
                <w:color w:val="212A34"/>
                <w:sz w:val="21"/>
              </w:rPr>
              <w:t>OPERAÇÕES</w:t>
            </w:r>
            <w:r>
              <w:rPr>
                <w:rFonts w:ascii="Arial" w:hAnsi="Arial"/>
                <w:b/>
                <w:color w:val="212A34"/>
                <w:sz w:val="21"/>
              </w:rPr>
              <w:tab/>
            </w:r>
            <w:r>
              <w:rPr>
                <w:rFonts w:ascii="Arial" w:hAnsi="Arial"/>
                <w:b/>
                <w:color w:val="212A34"/>
                <w:spacing w:val="-4"/>
                <w:sz w:val="21"/>
              </w:rPr>
              <w:t>QUE</w:t>
            </w:r>
            <w:r>
              <w:rPr>
                <w:rFonts w:ascii="Arial" w:hAnsi="Arial"/>
                <w:b/>
                <w:color w:val="212A34"/>
                <w:sz w:val="21"/>
              </w:rPr>
              <w:tab/>
            </w:r>
            <w:r>
              <w:rPr>
                <w:rFonts w:ascii="Arial" w:hAnsi="Arial"/>
                <w:b/>
                <w:color w:val="212A34"/>
                <w:spacing w:val="-6"/>
                <w:sz w:val="21"/>
              </w:rPr>
              <w:t xml:space="preserve">GEREM </w:t>
            </w:r>
            <w:proofErr w:type="gramStart"/>
            <w:r>
              <w:rPr>
                <w:rFonts w:ascii="Arial" w:hAnsi="Arial"/>
                <w:b/>
                <w:color w:val="212A34"/>
                <w:sz w:val="21"/>
              </w:rPr>
              <w:t>ALAVANCAGEM</w:t>
            </w:r>
            <w:proofErr w:type="gramEnd"/>
            <w:r>
              <w:rPr>
                <w:rFonts w:ascii="Arial" w:hAnsi="Arial"/>
                <w:b/>
                <w:color w:val="212A34"/>
                <w:sz w:val="21"/>
              </w:rPr>
              <w:t xml:space="preserve"> AO FUNDO</w:t>
            </w:r>
          </w:p>
        </w:tc>
        <w:tc>
          <w:tcPr>
            <w:tcW w:w="4672" w:type="dxa"/>
          </w:tcPr>
          <w:p w:rsidR="00263A97" w:rsidRDefault="00D73B6D">
            <w:pPr>
              <w:pStyle w:val="TableParagraph"/>
              <w:spacing w:before="232"/>
              <w:ind w:left="24" w:right="5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Vedado</w:t>
            </w:r>
          </w:p>
        </w:tc>
      </w:tr>
      <w:tr w:rsidR="00263A97">
        <w:trPr>
          <w:trHeight w:val="479"/>
        </w:trPr>
        <w:tc>
          <w:tcPr>
            <w:tcW w:w="5066" w:type="dxa"/>
          </w:tcPr>
          <w:p w:rsidR="00263A97" w:rsidRDefault="00D73B6D">
            <w:pPr>
              <w:pStyle w:val="TableParagraph"/>
              <w:spacing w:before="112"/>
              <w:ind w:left="475"/>
              <w:rPr>
                <w:rFonts w:ascii="Arial"/>
                <w:b/>
                <w:sz w:val="21"/>
              </w:rPr>
            </w:pPr>
            <w:r>
              <w:rPr>
                <w:color w:val="212A34"/>
                <w:sz w:val="21"/>
              </w:rPr>
              <w:t>e)</w:t>
            </w:r>
            <w:r>
              <w:rPr>
                <w:color w:val="212A34"/>
                <w:spacing w:val="77"/>
                <w:w w:val="150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RISCO</w:t>
            </w:r>
            <w:r>
              <w:rPr>
                <w:rFonts w:ascii="Arial"/>
                <w:b/>
                <w:color w:val="212A34"/>
                <w:spacing w:val="-2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z w:val="21"/>
              </w:rPr>
              <w:t>DE</w:t>
            </w:r>
            <w:r>
              <w:rPr>
                <w:rFonts w:ascii="Arial"/>
                <w:b/>
                <w:color w:val="212A34"/>
                <w:spacing w:val="-1"/>
                <w:sz w:val="21"/>
              </w:rPr>
              <w:t xml:space="preserve"> </w:t>
            </w:r>
            <w:r>
              <w:rPr>
                <w:rFonts w:ascii="Arial"/>
                <w:b/>
                <w:color w:val="212A34"/>
                <w:spacing w:val="-2"/>
                <w:sz w:val="21"/>
              </w:rPr>
              <w:t>CAPITAL</w:t>
            </w:r>
          </w:p>
        </w:tc>
        <w:tc>
          <w:tcPr>
            <w:tcW w:w="4672" w:type="dxa"/>
          </w:tcPr>
          <w:p w:rsidR="00263A97" w:rsidRDefault="00D73B6D">
            <w:pPr>
              <w:pStyle w:val="TableParagraph"/>
              <w:spacing w:before="112"/>
              <w:ind w:left="24" w:right="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Vedado</w:t>
            </w:r>
          </w:p>
        </w:tc>
      </w:tr>
      <w:tr w:rsidR="00263A97">
        <w:trPr>
          <w:trHeight w:val="479"/>
        </w:trPr>
        <w:tc>
          <w:tcPr>
            <w:tcW w:w="5066" w:type="dxa"/>
          </w:tcPr>
          <w:p w:rsidR="00263A97" w:rsidRDefault="00D73B6D">
            <w:pPr>
              <w:pStyle w:val="TableParagraph"/>
              <w:tabs>
                <w:tab w:val="left" w:pos="833"/>
              </w:tabs>
              <w:spacing w:before="112"/>
              <w:ind w:left="475"/>
              <w:rPr>
                <w:sz w:val="21"/>
              </w:rPr>
            </w:pPr>
            <w:proofErr w:type="gramStart"/>
            <w:r>
              <w:rPr>
                <w:color w:val="212A34"/>
                <w:spacing w:val="-5"/>
                <w:sz w:val="21"/>
              </w:rPr>
              <w:t>f)</w:t>
            </w:r>
            <w:proofErr w:type="gramEnd"/>
            <w:r>
              <w:rPr>
                <w:color w:val="212A34"/>
                <w:sz w:val="21"/>
              </w:rPr>
              <w:tab/>
              <w:t>Emprestar</w:t>
            </w:r>
            <w:r>
              <w:rPr>
                <w:color w:val="212A34"/>
                <w:spacing w:val="-13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ativos</w:t>
            </w:r>
            <w:r>
              <w:rPr>
                <w:color w:val="212A34"/>
                <w:spacing w:val="-13"/>
                <w:sz w:val="21"/>
              </w:rPr>
              <w:t xml:space="preserve"> </w:t>
            </w:r>
            <w:r>
              <w:rPr>
                <w:color w:val="212A34"/>
                <w:spacing w:val="-2"/>
                <w:sz w:val="21"/>
              </w:rPr>
              <w:t>financeiros</w:t>
            </w:r>
          </w:p>
        </w:tc>
        <w:tc>
          <w:tcPr>
            <w:tcW w:w="4672" w:type="dxa"/>
          </w:tcPr>
          <w:p w:rsidR="00263A97" w:rsidRDefault="00D73B6D">
            <w:pPr>
              <w:pStyle w:val="TableParagraph"/>
              <w:spacing w:before="112"/>
              <w:ind w:left="24" w:right="5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Vedado</w:t>
            </w:r>
          </w:p>
        </w:tc>
      </w:tr>
      <w:tr w:rsidR="00263A97">
        <w:trPr>
          <w:trHeight w:val="486"/>
        </w:trPr>
        <w:tc>
          <w:tcPr>
            <w:tcW w:w="5066" w:type="dxa"/>
          </w:tcPr>
          <w:p w:rsidR="00263A97" w:rsidRDefault="00D73B6D">
            <w:pPr>
              <w:pStyle w:val="TableParagraph"/>
              <w:spacing w:before="112"/>
              <w:ind w:left="475"/>
              <w:rPr>
                <w:sz w:val="21"/>
              </w:rPr>
            </w:pPr>
            <w:r>
              <w:rPr>
                <w:color w:val="212A34"/>
                <w:sz w:val="21"/>
              </w:rPr>
              <w:t>g)</w:t>
            </w:r>
            <w:r>
              <w:rPr>
                <w:color w:val="212A34"/>
                <w:spacing w:val="70"/>
                <w:w w:val="150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Tomar</w:t>
            </w:r>
            <w:r>
              <w:rPr>
                <w:color w:val="212A34"/>
                <w:spacing w:val="-6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ativos</w:t>
            </w:r>
            <w:r>
              <w:rPr>
                <w:color w:val="212A34"/>
                <w:spacing w:val="-5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financeiros</w:t>
            </w:r>
            <w:r>
              <w:rPr>
                <w:color w:val="212A34"/>
                <w:spacing w:val="-7"/>
                <w:sz w:val="21"/>
              </w:rPr>
              <w:t xml:space="preserve"> </w:t>
            </w:r>
            <w:r>
              <w:rPr>
                <w:color w:val="212A34"/>
                <w:sz w:val="21"/>
              </w:rPr>
              <w:t>em</w:t>
            </w:r>
            <w:r>
              <w:rPr>
                <w:color w:val="212A34"/>
                <w:spacing w:val="-3"/>
                <w:sz w:val="21"/>
              </w:rPr>
              <w:t xml:space="preserve"> </w:t>
            </w:r>
            <w:r>
              <w:rPr>
                <w:color w:val="212A34"/>
                <w:spacing w:val="-2"/>
                <w:sz w:val="21"/>
              </w:rPr>
              <w:t>empréstimo</w:t>
            </w:r>
          </w:p>
        </w:tc>
        <w:tc>
          <w:tcPr>
            <w:tcW w:w="4672" w:type="dxa"/>
          </w:tcPr>
          <w:p w:rsidR="00263A97" w:rsidRDefault="00D73B6D">
            <w:pPr>
              <w:pStyle w:val="TableParagraph"/>
              <w:spacing w:before="112"/>
              <w:ind w:left="24" w:right="5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Vedado</w:t>
            </w:r>
          </w:p>
        </w:tc>
      </w:tr>
    </w:tbl>
    <w:p w:rsidR="00263A97" w:rsidRDefault="00D73B6D">
      <w:pPr>
        <w:pStyle w:val="PargrafodaLista"/>
        <w:numPr>
          <w:ilvl w:val="1"/>
          <w:numId w:val="3"/>
        </w:numPr>
        <w:tabs>
          <w:tab w:val="left" w:pos="1475"/>
        </w:tabs>
        <w:spacing w:before="119"/>
        <w:ind w:left="797" w:right="75" w:firstLine="0"/>
        <w:jc w:val="both"/>
        <w:rPr>
          <w:sz w:val="21"/>
        </w:rPr>
      </w:pPr>
      <w:r>
        <w:rPr>
          <w:sz w:val="21"/>
        </w:rPr>
        <w:t xml:space="preserve">A classe de cotas poderá, a critério do GESTOR, contratar quaisquer operações onde figurem como contraparte direta ou indiretamente o ADMINISTRADOR, o GESTOR ou as suas empresas controladoras, controladas, coligadas e/ou subsidiárias </w:t>
      </w:r>
      <w:proofErr w:type="gramStart"/>
      <w:r>
        <w:rPr>
          <w:sz w:val="21"/>
        </w:rPr>
        <w:t>sob controle</w:t>
      </w:r>
      <w:proofErr w:type="gramEnd"/>
      <w:r>
        <w:rPr>
          <w:sz w:val="21"/>
        </w:rPr>
        <w:t xml:space="preserve"> comum, be</w:t>
      </w:r>
      <w:r>
        <w:rPr>
          <w:sz w:val="21"/>
        </w:rPr>
        <w:t>m como quaisquer carteiras, fundos de investimento e/ou clubes de investimento administrados pelo ADMINISTRADOR, GESTOR, ou pelas demais pessoas acima referidas.</w:t>
      </w:r>
    </w:p>
    <w:p w:rsidR="00263A97" w:rsidRDefault="00263A97">
      <w:pPr>
        <w:pStyle w:val="Corpodetexto"/>
        <w:spacing w:before="34"/>
      </w:pPr>
    </w:p>
    <w:p w:rsidR="00263A97" w:rsidRDefault="00D73B6D">
      <w:pPr>
        <w:ind w:left="797"/>
        <w:rPr>
          <w:rFonts w:ascii="Arial" w:hAnsi="Arial"/>
          <w:b/>
          <w:sz w:val="21"/>
        </w:rPr>
      </w:pPr>
      <w:r>
        <w:rPr>
          <w:rFonts w:ascii="Arial" w:hAnsi="Arial"/>
          <w:b/>
        </w:rPr>
        <w:t>CAPÍTULO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7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  <w:sz w:val="21"/>
        </w:rPr>
        <w:t>TRIBUTAÇÃO</w:t>
      </w:r>
    </w:p>
    <w:p w:rsidR="00263A97" w:rsidRDefault="00263A97">
      <w:pPr>
        <w:pStyle w:val="Corpodetexto"/>
        <w:spacing w:before="41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2"/>
        </w:numPr>
        <w:tabs>
          <w:tab w:val="left" w:pos="1475"/>
        </w:tabs>
        <w:ind w:right="78" w:firstLine="0"/>
        <w:jc w:val="both"/>
        <w:rPr>
          <w:sz w:val="20"/>
        </w:rPr>
      </w:pPr>
      <w:r>
        <w:rPr>
          <w:sz w:val="20"/>
        </w:rPr>
        <w:t>Considerando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Aplicação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Mínima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nos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Fundos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Investidos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sz w:val="20"/>
        </w:rPr>
        <w:t>definida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13"/>
          <w:sz w:val="20"/>
        </w:rPr>
        <w:t xml:space="preserve"> </w:t>
      </w:r>
      <w:r>
        <w:rPr>
          <w:sz w:val="20"/>
        </w:rPr>
        <w:t>Regulamento,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qual o GESTOR busca perseguir, os cotistas estarão sujeitos ao Regime Específico dos Fundos Não Sujeitos à Tributação Periódica, de acordo com a Lei nº 14.754, de 12 de dezembro de 2023 (“Lei nº 14.754”), sendo tributados da seguint</w:t>
      </w:r>
      <w:r>
        <w:rPr>
          <w:sz w:val="20"/>
        </w:rPr>
        <w:t>e forma:</w:t>
      </w:r>
    </w:p>
    <w:p w:rsidR="00263A97" w:rsidRDefault="00263A97">
      <w:pPr>
        <w:pStyle w:val="Corpodetexto"/>
        <w:spacing w:before="2" w:after="1"/>
        <w:rPr>
          <w:sz w:val="10"/>
        </w:rPr>
      </w:pPr>
    </w:p>
    <w:tbl>
      <w:tblPr>
        <w:tblStyle w:val="TableNormal"/>
        <w:tblW w:w="0" w:type="auto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6363"/>
      </w:tblGrid>
      <w:tr w:rsidR="00263A97">
        <w:trPr>
          <w:trHeight w:val="1442"/>
        </w:trPr>
        <w:tc>
          <w:tcPr>
            <w:tcW w:w="2441" w:type="dxa"/>
            <w:shd w:val="clear" w:color="auto" w:fill="E26B0A"/>
          </w:tcPr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spacing w:before="199"/>
              <w:rPr>
                <w:sz w:val="20"/>
              </w:rPr>
            </w:pPr>
          </w:p>
          <w:p w:rsidR="00263A97" w:rsidRDefault="00D73B6D">
            <w:pPr>
              <w:pStyle w:val="TableParagraph"/>
              <w:ind w:left="1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Operações</w:t>
            </w:r>
            <w:r>
              <w:rPr>
                <w:rFonts w:ascii="Arial" w:hAnsi="Arial"/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da</w:t>
            </w:r>
            <w:r>
              <w:rPr>
                <w:rFonts w:ascii="Arial" w:hAnsi="Arial"/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carteira:</w:t>
            </w:r>
          </w:p>
        </w:tc>
        <w:tc>
          <w:tcPr>
            <w:tcW w:w="6363" w:type="dxa"/>
          </w:tcPr>
          <w:p w:rsidR="00263A97" w:rsidRDefault="00263A97">
            <w:pPr>
              <w:pStyle w:val="TableParagraph"/>
              <w:spacing w:before="21"/>
              <w:rPr>
                <w:sz w:val="20"/>
              </w:rPr>
            </w:pPr>
          </w:p>
          <w:p w:rsidR="00263A97" w:rsidRDefault="00D73B6D">
            <w:pPr>
              <w:pStyle w:val="TableParagraph"/>
              <w:spacing w:line="247" w:lineRule="auto"/>
              <w:ind w:left="114" w:right="96"/>
              <w:jc w:val="both"/>
              <w:rPr>
                <w:sz w:val="20"/>
              </w:rPr>
            </w:pPr>
            <w:r>
              <w:rPr>
                <w:sz w:val="20"/>
              </w:rPr>
              <w:t>De acordo com a legislação vigente, as operações da carteira do FUNDO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isentas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Imposto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Renda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(“</w:t>
            </w:r>
            <w:r>
              <w:rPr>
                <w:rFonts w:ascii="Arial" w:hAnsi="Arial"/>
                <w:b/>
                <w:sz w:val="20"/>
              </w:rPr>
              <w:t>IR</w:t>
            </w:r>
            <w:r>
              <w:rPr>
                <w:sz w:val="20"/>
              </w:rPr>
              <w:t>”)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sujeitas ao Imposto sobre Operações Financeiras, na modalidade TVM (“</w:t>
            </w:r>
            <w:r>
              <w:rPr>
                <w:rFonts w:ascii="Arial" w:hAnsi="Arial"/>
                <w:b/>
                <w:sz w:val="20"/>
              </w:rPr>
              <w:t>IOF/TVM</w:t>
            </w:r>
            <w:r>
              <w:rPr>
                <w:sz w:val="20"/>
              </w:rPr>
              <w:t>”), à alíquota zero.</w:t>
            </w:r>
          </w:p>
        </w:tc>
      </w:tr>
      <w:tr w:rsidR="00263A97">
        <w:trPr>
          <w:trHeight w:val="719"/>
        </w:trPr>
        <w:tc>
          <w:tcPr>
            <w:tcW w:w="8804" w:type="dxa"/>
            <w:gridSpan w:val="2"/>
            <w:shd w:val="clear" w:color="auto" w:fill="E26B0A"/>
          </w:tcPr>
          <w:p w:rsidR="00263A97" w:rsidRDefault="00263A97">
            <w:pPr>
              <w:pStyle w:val="TableParagraph"/>
              <w:spacing w:before="16"/>
              <w:rPr>
                <w:sz w:val="20"/>
              </w:rPr>
            </w:pPr>
          </w:p>
          <w:p w:rsidR="00263A97" w:rsidRDefault="00D73B6D">
            <w:pPr>
              <w:pStyle w:val="TableParagraph"/>
              <w:ind w:left="1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Tributação</w:t>
            </w:r>
            <w:r>
              <w:rPr>
                <w:rFonts w:ascii="Arial" w:hAnsi="Arial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na</w:t>
            </w:r>
            <w:r>
              <w:rPr>
                <w:rFonts w:ascii="Arial" w:hAns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fonte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dos</w:t>
            </w:r>
            <w:r>
              <w:rPr>
                <w:rFonts w:ascii="Arial" w:hAnsi="Arial"/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rendimentos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auferidos</w:t>
            </w:r>
            <w:r>
              <w:rPr>
                <w:rFonts w:ascii="Arial" w:hAnsi="Arial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pelos</w:t>
            </w:r>
            <w:r>
              <w:rPr>
                <w:rFonts w:ascii="Arial" w:hAns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cotistas:</w:t>
            </w:r>
          </w:p>
        </w:tc>
      </w:tr>
      <w:tr w:rsidR="00263A97">
        <w:trPr>
          <w:trHeight w:val="1199"/>
        </w:trPr>
        <w:tc>
          <w:tcPr>
            <w:tcW w:w="2441" w:type="dxa"/>
            <w:shd w:val="clear" w:color="auto" w:fill="F9BF8E"/>
          </w:tcPr>
          <w:p w:rsidR="00263A97" w:rsidRDefault="00263A97">
            <w:pPr>
              <w:pStyle w:val="TableParagraph"/>
              <w:spacing w:before="139"/>
              <w:rPr>
                <w:sz w:val="20"/>
              </w:rPr>
            </w:pPr>
          </w:p>
          <w:p w:rsidR="00263A97" w:rsidRDefault="00D73B6D">
            <w:pPr>
              <w:pStyle w:val="TableParagraph"/>
              <w:spacing w:line="247" w:lineRule="auto"/>
              <w:ind w:left="573" w:hanging="35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Imposto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Renda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na Fonte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(“IRF”):</w:t>
            </w:r>
          </w:p>
        </w:tc>
        <w:tc>
          <w:tcPr>
            <w:tcW w:w="6363" w:type="dxa"/>
          </w:tcPr>
          <w:p w:rsidR="00263A97" w:rsidRDefault="00263A97">
            <w:pPr>
              <w:pStyle w:val="TableParagraph"/>
              <w:spacing w:before="19"/>
              <w:rPr>
                <w:sz w:val="20"/>
              </w:rPr>
            </w:pPr>
          </w:p>
          <w:p w:rsidR="00263A97" w:rsidRDefault="00D73B6D">
            <w:pPr>
              <w:pStyle w:val="TableParagraph"/>
              <w:spacing w:line="249" w:lineRule="auto"/>
              <w:ind w:left="114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Os cotistas serão tributados pelo </w:t>
            </w:r>
            <w:proofErr w:type="gramStart"/>
            <w:r>
              <w:rPr>
                <w:sz w:val="20"/>
              </w:rPr>
              <w:t>IR na</w:t>
            </w:r>
            <w:proofErr w:type="gramEnd"/>
            <w:r>
              <w:rPr>
                <w:sz w:val="20"/>
              </w:rPr>
              <w:t xml:space="preserve"> fonte à alíquota de 15% (quinze por cento) exclusivamente na data da distribuição de rendimentos ou no resgate das cotas.</w:t>
            </w:r>
          </w:p>
        </w:tc>
      </w:tr>
    </w:tbl>
    <w:p w:rsidR="00263A97" w:rsidRDefault="00263A97">
      <w:pPr>
        <w:pStyle w:val="TableParagraph"/>
        <w:spacing w:line="249" w:lineRule="auto"/>
        <w:jc w:val="both"/>
        <w:rPr>
          <w:sz w:val="20"/>
        </w:rPr>
        <w:sectPr w:rsidR="00263A97">
          <w:pgSz w:w="11910" w:h="16840"/>
          <w:pgMar w:top="2220" w:right="992" w:bottom="380" w:left="283" w:header="1487" w:footer="186" w:gutter="0"/>
          <w:cols w:space="720"/>
        </w:sectPr>
      </w:pPr>
    </w:p>
    <w:p w:rsidR="00263A97" w:rsidRDefault="00263A97">
      <w:pPr>
        <w:pStyle w:val="Corpodetexto"/>
        <w:rPr>
          <w:sz w:val="20"/>
        </w:rPr>
      </w:pPr>
    </w:p>
    <w:p w:rsidR="00263A97" w:rsidRDefault="00263A97">
      <w:pPr>
        <w:pStyle w:val="Corpodetexto"/>
        <w:spacing w:before="95"/>
        <w:rPr>
          <w:sz w:val="20"/>
        </w:rPr>
      </w:pPr>
    </w:p>
    <w:tbl>
      <w:tblPr>
        <w:tblStyle w:val="TableNormal"/>
        <w:tblW w:w="0" w:type="auto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6363"/>
      </w:tblGrid>
      <w:tr w:rsidR="00263A97">
        <w:trPr>
          <w:trHeight w:val="1679"/>
        </w:trPr>
        <w:tc>
          <w:tcPr>
            <w:tcW w:w="2441" w:type="dxa"/>
            <w:shd w:val="clear" w:color="auto" w:fill="F9BF8E"/>
          </w:tcPr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rPr>
                <w:sz w:val="20"/>
              </w:rPr>
            </w:pPr>
          </w:p>
          <w:p w:rsidR="00263A97" w:rsidRDefault="00263A97">
            <w:pPr>
              <w:pStyle w:val="TableParagraph"/>
              <w:spacing w:before="36"/>
              <w:rPr>
                <w:sz w:val="20"/>
              </w:rPr>
            </w:pPr>
          </w:p>
          <w:p w:rsidR="00263A97" w:rsidRDefault="00D73B6D">
            <w:pPr>
              <w:pStyle w:val="TableParagraph"/>
              <w:ind w:left="16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Amortização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cotas:</w:t>
            </w:r>
          </w:p>
        </w:tc>
        <w:tc>
          <w:tcPr>
            <w:tcW w:w="6363" w:type="dxa"/>
          </w:tcPr>
          <w:p w:rsidR="00263A97" w:rsidRDefault="00263A97">
            <w:pPr>
              <w:pStyle w:val="TableParagraph"/>
              <w:spacing w:before="19"/>
              <w:rPr>
                <w:sz w:val="20"/>
              </w:rPr>
            </w:pPr>
          </w:p>
          <w:p w:rsidR="00263A97" w:rsidRDefault="00D73B6D">
            <w:pPr>
              <w:pStyle w:val="TableParagraph"/>
              <w:spacing w:line="249" w:lineRule="auto"/>
              <w:ind w:left="114" w:right="96"/>
              <w:jc w:val="both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amortização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cotas,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IR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deverá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incidir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diferença positiva entre o preço da amortização e a parcela do custo de aquisição da cota calculada com base na proporção que o preço da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amortização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representar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patrimonial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cota,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alíquota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 15% (quinze por cento).</w:t>
            </w:r>
          </w:p>
        </w:tc>
      </w:tr>
    </w:tbl>
    <w:p w:rsidR="00263A97" w:rsidRDefault="00263A97">
      <w:pPr>
        <w:pStyle w:val="Corpodetexto"/>
        <w:spacing w:before="137"/>
        <w:rPr>
          <w:sz w:val="20"/>
        </w:rPr>
      </w:pPr>
    </w:p>
    <w:p w:rsidR="00263A97" w:rsidRDefault="00D73B6D">
      <w:pPr>
        <w:pStyle w:val="PargrafodaLista"/>
        <w:numPr>
          <w:ilvl w:val="1"/>
          <w:numId w:val="2"/>
        </w:numPr>
        <w:tabs>
          <w:tab w:val="left" w:pos="1475"/>
        </w:tabs>
        <w:ind w:right="82" w:firstLine="0"/>
        <w:jc w:val="both"/>
        <w:rPr>
          <w:sz w:val="20"/>
        </w:rPr>
      </w:pPr>
      <w:r>
        <w:rPr>
          <w:sz w:val="20"/>
        </w:rPr>
        <w:t xml:space="preserve">Caso, por qualquer motivo, a </w:t>
      </w:r>
      <w:r>
        <w:rPr>
          <w:rFonts w:ascii="Arial" w:hAnsi="Arial"/>
          <w:b/>
          <w:sz w:val="20"/>
        </w:rPr>
        <w:t xml:space="preserve">Aplicação Mínima nos Fundos Investidos </w:t>
      </w:r>
      <w:r>
        <w:rPr>
          <w:sz w:val="20"/>
        </w:rPr>
        <w:t>não seja observada pelo GESTOR, não será possível assegurar a aplicação do Regime Específico dos Fundos Não Sujeitos à Tributação Periódica.</w:t>
      </w:r>
    </w:p>
    <w:p w:rsidR="00263A97" w:rsidRDefault="00D73B6D">
      <w:pPr>
        <w:pStyle w:val="PargrafodaLista"/>
        <w:numPr>
          <w:ilvl w:val="2"/>
          <w:numId w:val="2"/>
        </w:numPr>
        <w:tabs>
          <w:tab w:val="left" w:pos="2151"/>
          <w:tab w:val="left" w:pos="2155"/>
        </w:tabs>
        <w:spacing w:before="117" w:line="242" w:lineRule="auto"/>
        <w:ind w:right="83"/>
        <w:jc w:val="both"/>
        <w:rPr>
          <w:sz w:val="20"/>
        </w:rPr>
      </w:pPr>
      <w:r>
        <w:rPr>
          <w:sz w:val="20"/>
        </w:rPr>
        <w:t>Neste</w:t>
      </w:r>
      <w:r>
        <w:rPr>
          <w:spacing w:val="-14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Fundo</w:t>
      </w:r>
      <w:r>
        <w:rPr>
          <w:spacing w:val="-8"/>
          <w:sz w:val="20"/>
        </w:rPr>
        <w:t xml:space="preserve"> </w:t>
      </w:r>
      <w:r>
        <w:rPr>
          <w:sz w:val="20"/>
        </w:rPr>
        <w:t>poderá</w:t>
      </w:r>
      <w:r>
        <w:rPr>
          <w:spacing w:val="-9"/>
          <w:sz w:val="20"/>
        </w:rPr>
        <w:t xml:space="preserve"> </w:t>
      </w:r>
      <w:r>
        <w:rPr>
          <w:sz w:val="20"/>
        </w:rPr>
        <w:t>ter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tratamento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trib</w:t>
      </w:r>
      <w:r>
        <w:rPr>
          <w:rFonts w:ascii="Arial" w:hAnsi="Arial"/>
          <w:b/>
          <w:sz w:val="20"/>
        </w:rPr>
        <w:t>utário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longo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prazo,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segundo</w:t>
      </w:r>
      <w:r>
        <w:rPr>
          <w:spacing w:val="-12"/>
          <w:sz w:val="20"/>
        </w:rPr>
        <w:t xml:space="preserve"> </w:t>
      </w:r>
      <w:r>
        <w:rPr>
          <w:sz w:val="20"/>
        </w:rPr>
        <w:t>classificação definida para</w:t>
      </w:r>
      <w:r>
        <w:rPr>
          <w:spacing w:val="-5"/>
          <w:sz w:val="20"/>
        </w:rPr>
        <w:t xml:space="preserve"> </w:t>
      </w:r>
      <w:r>
        <w:rPr>
          <w:sz w:val="20"/>
        </w:rPr>
        <w:t>fundos de investimento pela regulamentação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vigente,</w:t>
      </w:r>
      <w:r>
        <w:rPr>
          <w:spacing w:val="-4"/>
          <w:sz w:val="20"/>
        </w:rPr>
        <w:t xml:space="preserve"> </w:t>
      </w:r>
      <w:r>
        <w:rPr>
          <w:sz w:val="20"/>
        </w:rPr>
        <w:t>sendo aplicável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a seguinte </w:t>
      </w:r>
      <w:r>
        <w:rPr>
          <w:spacing w:val="-2"/>
          <w:sz w:val="20"/>
        </w:rPr>
        <w:t>tributação:</w:t>
      </w:r>
    </w:p>
    <w:p w:rsidR="00263A97" w:rsidRDefault="00263A97">
      <w:pPr>
        <w:pStyle w:val="Corpodetexto"/>
        <w:spacing w:before="2"/>
        <w:rPr>
          <w:sz w:val="10"/>
        </w:rPr>
      </w:pPr>
    </w:p>
    <w:tbl>
      <w:tblPr>
        <w:tblStyle w:val="TableNormal"/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7"/>
        <w:gridCol w:w="6948"/>
      </w:tblGrid>
      <w:tr w:rsidR="00263A97">
        <w:trPr>
          <w:trHeight w:val="1204"/>
        </w:trPr>
        <w:tc>
          <w:tcPr>
            <w:tcW w:w="2777" w:type="dxa"/>
            <w:shd w:val="clear" w:color="auto" w:fill="E26B0A"/>
          </w:tcPr>
          <w:p w:rsidR="00263A97" w:rsidRDefault="00263A97">
            <w:pPr>
              <w:pStyle w:val="TableParagraph"/>
              <w:spacing w:before="230"/>
              <w:rPr>
                <w:sz w:val="21"/>
              </w:rPr>
            </w:pPr>
          </w:p>
          <w:p w:rsidR="00263A97" w:rsidRDefault="00D73B6D">
            <w:pPr>
              <w:pStyle w:val="TableParagraph"/>
              <w:spacing w:before="1"/>
              <w:ind w:right="359"/>
              <w:jc w:val="right"/>
              <w:rPr>
                <w:sz w:val="21"/>
              </w:rPr>
            </w:pPr>
            <w:r>
              <w:rPr>
                <w:color w:val="FFFFFF"/>
                <w:sz w:val="21"/>
              </w:rPr>
              <w:t>Operações</w:t>
            </w:r>
            <w:r>
              <w:rPr>
                <w:color w:val="FFFFFF"/>
                <w:spacing w:val="-9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da</w:t>
            </w:r>
            <w:r>
              <w:rPr>
                <w:color w:val="FFFFFF"/>
                <w:spacing w:val="-9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carteira: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09" w:right="89"/>
              <w:jc w:val="both"/>
              <w:rPr>
                <w:sz w:val="21"/>
              </w:rPr>
            </w:pPr>
            <w:r>
              <w:rPr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acordo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com 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legislação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vigente, as operações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carteira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classe são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isentas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Imposto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sobre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Renda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(“IR”)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estão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sujeitas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Imposto sobre Operações Financeiras, na modalidade TVM (“IOF/TVM”), à alíquota zero.</w:t>
            </w:r>
          </w:p>
        </w:tc>
      </w:tr>
      <w:tr w:rsidR="00263A97">
        <w:trPr>
          <w:trHeight w:val="479"/>
        </w:trPr>
        <w:tc>
          <w:tcPr>
            <w:tcW w:w="9725" w:type="dxa"/>
            <w:gridSpan w:val="2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2"/>
              <w:rPr>
                <w:sz w:val="21"/>
              </w:rPr>
            </w:pPr>
            <w:r>
              <w:rPr>
                <w:color w:val="FFFFFF"/>
                <w:sz w:val="21"/>
              </w:rPr>
              <w:t>Tributação</w:t>
            </w:r>
            <w:r>
              <w:rPr>
                <w:color w:val="FFFFFF"/>
                <w:spacing w:val="-12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na</w:t>
            </w:r>
            <w:r>
              <w:rPr>
                <w:color w:val="FFFFFF"/>
                <w:spacing w:val="-11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fonte</w:t>
            </w:r>
            <w:r>
              <w:rPr>
                <w:color w:val="FFFFFF"/>
                <w:spacing w:val="-10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dos</w:t>
            </w:r>
            <w:r>
              <w:rPr>
                <w:color w:val="FFFFFF"/>
                <w:spacing w:val="-10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rendimentos</w:t>
            </w:r>
            <w:r>
              <w:rPr>
                <w:color w:val="FFFFFF"/>
                <w:spacing w:val="-7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auferidos</w:t>
            </w:r>
            <w:r>
              <w:rPr>
                <w:color w:val="FFFFFF"/>
                <w:spacing w:val="-10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pelos</w:t>
            </w:r>
            <w:r>
              <w:rPr>
                <w:color w:val="FFFFFF"/>
                <w:spacing w:val="-11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cotistas:</w:t>
            </w:r>
          </w:p>
        </w:tc>
      </w:tr>
      <w:tr w:rsidR="00263A97">
        <w:trPr>
          <w:trHeight w:val="484"/>
        </w:trPr>
        <w:tc>
          <w:tcPr>
            <w:tcW w:w="9725" w:type="dxa"/>
            <w:gridSpan w:val="2"/>
            <w:shd w:val="clear" w:color="auto" w:fill="F9BF8E"/>
          </w:tcPr>
          <w:p w:rsidR="00263A97" w:rsidRDefault="00D73B6D">
            <w:pPr>
              <w:pStyle w:val="TableParagraph"/>
              <w:tabs>
                <w:tab w:val="left" w:pos="1192"/>
              </w:tabs>
              <w:spacing w:before="112"/>
              <w:ind w:left="472"/>
              <w:rPr>
                <w:sz w:val="21"/>
              </w:rPr>
            </w:pPr>
            <w:r>
              <w:rPr>
                <w:rFonts w:ascii="Arial" w:hAnsi="Arial"/>
                <w:b/>
                <w:spacing w:val="-5"/>
                <w:sz w:val="21"/>
              </w:rPr>
              <w:t>I.</w:t>
            </w:r>
            <w:r>
              <w:rPr>
                <w:rFonts w:ascii="Arial" w:hAnsi="Arial"/>
                <w:b/>
                <w:sz w:val="21"/>
              </w:rPr>
              <w:tab/>
            </w:r>
            <w:r>
              <w:rPr>
                <w:sz w:val="21"/>
              </w:rPr>
              <w:t>Imposto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Renda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na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Fonte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(“IRF”):</w:t>
            </w:r>
          </w:p>
        </w:tc>
      </w:tr>
      <w:tr w:rsidR="00263A97">
        <w:trPr>
          <w:trHeight w:val="964"/>
        </w:trPr>
        <w:tc>
          <w:tcPr>
            <w:tcW w:w="9725" w:type="dxa"/>
            <w:gridSpan w:val="2"/>
          </w:tcPr>
          <w:p w:rsidR="00263A97" w:rsidRDefault="00D73B6D">
            <w:pPr>
              <w:pStyle w:val="TableParagraph"/>
              <w:spacing w:before="112"/>
              <w:ind w:left="112" w:right="91"/>
              <w:jc w:val="both"/>
              <w:rPr>
                <w:sz w:val="21"/>
              </w:rPr>
            </w:pPr>
            <w:r>
              <w:rPr>
                <w:sz w:val="21"/>
              </w:rPr>
              <w:t>Os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rendimentos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auferidos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pelos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cotistas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serão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tributados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pelo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IRF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último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dia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útil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dos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meses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maio e novembro no caso de cobrança semestral (“Come-Cotas”) e na amortização de cotas, conforme as seguintes alíquotas regressivas em função do prazo de aplicaç</w:t>
            </w:r>
            <w:r>
              <w:rPr>
                <w:sz w:val="21"/>
              </w:rPr>
              <w:t>ão:</w:t>
            </w:r>
          </w:p>
        </w:tc>
      </w:tr>
      <w:tr w:rsidR="00263A97">
        <w:trPr>
          <w:trHeight w:val="481"/>
        </w:trPr>
        <w:tc>
          <w:tcPr>
            <w:tcW w:w="2777" w:type="dxa"/>
            <w:shd w:val="clear" w:color="auto" w:fill="E26B0A"/>
          </w:tcPr>
          <w:p w:rsidR="00263A97" w:rsidRDefault="00D73B6D">
            <w:pPr>
              <w:pStyle w:val="TableParagraph"/>
              <w:spacing w:before="115"/>
              <w:ind w:right="365"/>
              <w:jc w:val="right"/>
              <w:rPr>
                <w:sz w:val="21"/>
              </w:rPr>
            </w:pPr>
            <w:r>
              <w:rPr>
                <w:color w:val="FFFFFF"/>
                <w:sz w:val="21"/>
              </w:rPr>
              <w:t>Período</w:t>
            </w:r>
            <w:r>
              <w:rPr>
                <w:color w:val="FFFFFF"/>
                <w:spacing w:val="-8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da</w:t>
            </w:r>
            <w:r>
              <w:rPr>
                <w:color w:val="FFFFFF"/>
                <w:spacing w:val="-4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aplicação:</w:t>
            </w:r>
          </w:p>
        </w:tc>
        <w:tc>
          <w:tcPr>
            <w:tcW w:w="6948" w:type="dxa"/>
            <w:shd w:val="clear" w:color="auto" w:fill="E26B0A"/>
          </w:tcPr>
          <w:p w:rsidR="00263A97" w:rsidRDefault="00D73B6D">
            <w:pPr>
              <w:pStyle w:val="TableParagraph"/>
              <w:spacing w:before="115"/>
              <w:ind w:left="11" w:right="1"/>
              <w:jc w:val="center"/>
              <w:rPr>
                <w:sz w:val="21"/>
              </w:rPr>
            </w:pPr>
            <w:r>
              <w:rPr>
                <w:color w:val="FFFFFF"/>
                <w:sz w:val="21"/>
                <w:u w:val="single" w:color="FFFFFF"/>
              </w:rPr>
              <w:t>Alíquotas</w:t>
            </w:r>
            <w:r>
              <w:rPr>
                <w:color w:val="FFFFFF"/>
                <w:spacing w:val="-10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de</w:t>
            </w:r>
            <w:r>
              <w:rPr>
                <w:color w:val="FFFFFF"/>
                <w:spacing w:val="-10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Longo</w:t>
            </w:r>
            <w:r>
              <w:rPr>
                <w:color w:val="FFFFFF"/>
                <w:spacing w:val="-7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1"/>
                <w:u w:val="single" w:color="FFFFFF"/>
              </w:rPr>
              <w:t>Prazo</w:t>
            </w:r>
          </w:p>
        </w:tc>
      </w:tr>
      <w:tr w:rsidR="00263A97">
        <w:trPr>
          <w:trHeight w:val="479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818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180</w:t>
            </w:r>
            <w:r>
              <w:rPr>
                <w:spacing w:val="-4"/>
                <w:sz w:val="21"/>
              </w:rPr>
              <w:t xml:space="preserve"> dias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22,5%</w:t>
            </w:r>
          </w:p>
        </w:tc>
      </w:tr>
      <w:tr w:rsidR="00263A97">
        <w:trPr>
          <w:trHeight w:val="479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549"/>
              <w:rPr>
                <w:sz w:val="21"/>
              </w:rPr>
            </w:pPr>
            <w:r>
              <w:rPr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181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360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dias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20,0%</w:t>
            </w:r>
          </w:p>
        </w:tc>
      </w:tr>
      <w:tr w:rsidR="00263A97">
        <w:trPr>
          <w:trHeight w:val="484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549"/>
              <w:rPr>
                <w:sz w:val="21"/>
              </w:rPr>
            </w:pPr>
            <w:r>
              <w:rPr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361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720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dias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17,5%</w:t>
            </w:r>
          </w:p>
        </w:tc>
      </w:tr>
      <w:tr w:rsidR="00263A97">
        <w:trPr>
          <w:trHeight w:val="479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539"/>
              <w:rPr>
                <w:sz w:val="21"/>
              </w:rPr>
            </w:pPr>
            <w:r>
              <w:rPr>
                <w:sz w:val="21"/>
              </w:rPr>
              <w:t>Acima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720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dias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 w:right="2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15,0%</w:t>
            </w:r>
          </w:p>
        </w:tc>
      </w:tr>
      <w:tr w:rsidR="00263A97">
        <w:trPr>
          <w:trHeight w:val="479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811"/>
              <w:rPr>
                <w:sz w:val="21"/>
              </w:rPr>
            </w:pPr>
            <w:r>
              <w:rPr>
                <w:spacing w:val="-4"/>
                <w:sz w:val="21"/>
              </w:rPr>
              <w:t>Come-</w:t>
            </w:r>
            <w:r>
              <w:rPr>
                <w:spacing w:val="-2"/>
                <w:sz w:val="21"/>
              </w:rPr>
              <w:t>Cotas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15,0%</w:t>
            </w:r>
          </w:p>
        </w:tc>
      </w:tr>
      <w:tr w:rsidR="00263A97">
        <w:trPr>
          <w:trHeight w:val="2051"/>
        </w:trPr>
        <w:tc>
          <w:tcPr>
            <w:tcW w:w="9725" w:type="dxa"/>
            <w:gridSpan w:val="2"/>
          </w:tcPr>
          <w:p w:rsidR="00263A97" w:rsidRDefault="00D73B6D">
            <w:pPr>
              <w:pStyle w:val="TableParagraph"/>
              <w:spacing w:before="112"/>
              <w:ind w:left="112"/>
              <w:jc w:val="both"/>
              <w:rPr>
                <w:sz w:val="21"/>
              </w:rPr>
            </w:pPr>
            <w:r>
              <w:rPr>
                <w:sz w:val="21"/>
                <w:u w:val="single"/>
              </w:rPr>
              <w:t>NÃO</w:t>
            </w:r>
            <w:r>
              <w:rPr>
                <w:spacing w:val="-15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HÁ</w:t>
            </w:r>
            <w:r>
              <w:rPr>
                <w:spacing w:val="-12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GARANTIA</w:t>
            </w:r>
            <w:r>
              <w:rPr>
                <w:spacing w:val="-1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DE</w:t>
            </w:r>
            <w:r>
              <w:rPr>
                <w:spacing w:val="-12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QUE</w:t>
            </w:r>
            <w:r>
              <w:rPr>
                <w:spacing w:val="-13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ESTA</w:t>
            </w:r>
            <w:r>
              <w:rPr>
                <w:spacing w:val="-10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CLASSE</w:t>
            </w:r>
            <w:r>
              <w:rPr>
                <w:spacing w:val="-1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TERÁ</w:t>
            </w:r>
            <w:r>
              <w:rPr>
                <w:spacing w:val="-10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O</w:t>
            </w:r>
            <w:r>
              <w:rPr>
                <w:spacing w:val="-1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TRATAMENTO</w:t>
            </w:r>
            <w:r>
              <w:rPr>
                <w:spacing w:val="-10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TRIBUTÁRIO</w:t>
            </w:r>
            <w:r>
              <w:rPr>
                <w:spacing w:val="-1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PARA</w:t>
            </w:r>
            <w:r>
              <w:rPr>
                <w:spacing w:val="-10"/>
                <w:sz w:val="21"/>
                <w:u w:val="single"/>
              </w:rPr>
              <w:t xml:space="preserve"> </w:t>
            </w:r>
            <w:r>
              <w:rPr>
                <w:spacing w:val="-2"/>
                <w:sz w:val="21"/>
                <w:u w:val="single"/>
              </w:rPr>
              <w:t>FUNDOS</w:t>
            </w:r>
          </w:p>
          <w:p w:rsidR="00263A97" w:rsidRDefault="00D73B6D">
            <w:pPr>
              <w:pStyle w:val="TableParagraph"/>
              <w:spacing w:before="6"/>
              <w:ind w:left="112" w:right="97"/>
              <w:jc w:val="both"/>
              <w:rPr>
                <w:sz w:val="21"/>
              </w:rPr>
            </w:pPr>
            <w:r>
              <w:rPr>
                <w:sz w:val="21"/>
                <w:u w:val="single"/>
              </w:rPr>
              <w:t>DE</w:t>
            </w:r>
            <w:r>
              <w:rPr>
                <w:spacing w:val="-7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LONGO</w:t>
            </w:r>
            <w:r>
              <w:rPr>
                <w:spacing w:val="-5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PRAZO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quando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composição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carteira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títulos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tenha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prazo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médio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igual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ou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superior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 365 (trezentos e sessenta e cinco) dias.</w:t>
            </w:r>
          </w:p>
          <w:p w:rsidR="00263A97" w:rsidRDefault="00D73B6D">
            <w:pPr>
              <w:pStyle w:val="TableParagraph"/>
              <w:spacing w:before="117"/>
              <w:ind w:left="112" w:right="90"/>
              <w:jc w:val="both"/>
              <w:rPr>
                <w:sz w:val="21"/>
              </w:rPr>
            </w:pPr>
            <w:r>
              <w:rPr>
                <w:sz w:val="21"/>
              </w:rPr>
              <w:t>Caso, por razões estratégicas e/ou operacionais decorrentes da busca do cumprimento da política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 investimento, a carteira do FUNDO for classificada como de Curto Prazo, como tal entendendo-se aquela cuja composição de títulos tenha prazo médio igual ou inferior a 365 (trezentos e sessenta e cinco) dias, o IRF será cobrado às seguintes alíquotas:</w:t>
            </w:r>
          </w:p>
        </w:tc>
      </w:tr>
      <w:tr w:rsidR="00263A97">
        <w:trPr>
          <w:trHeight w:val="484"/>
        </w:trPr>
        <w:tc>
          <w:tcPr>
            <w:tcW w:w="2777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right="365"/>
              <w:jc w:val="right"/>
              <w:rPr>
                <w:sz w:val="21"/>
              </w:rPr>
            </w:pPr>
            <w:r>
              <w:rPr>
                <w:color w:val="FFFFFF"/>
                <w:sz w:val="21"/>
              </w:rPr>
              <w:t>P</w:t>
            </w:r>
            <w:r>
              <w:rPr>
                <w:color w:val="FFFFFF"/>
                <w:sz w:val="21"/>
              </w:rPr>
              <w:t>eríodo</w:t>
            </w:r>
            <w:r>
              <w:rPr>
                <w:color w:val="FFFFFF"/>
                <w:spacing w:val="-8"/>
                <w:sz w:val="21"/>
              </w:rPr>
              <w:t xml:space="preserve"> </w:t>
            </w:r>
            <w:r>
              <w:rPr>
                <w:color w:val="FFFFFF"/>
                <w:sz w:val="21"/>
              </w:rPr>
              <w:t>da</w:t>
            </w:r>
            <w:r>
              <w:rPr>
                <w:color w:val="FFFFFF"/>
                <w:spacing w:val="-4"/>
                <w:sz w:val="21"/>
              </w:rPr>
              <w:t xml:space="preserve"> </w:t>
            </w:r>
            <w:r>
              <w:rPr>
                <w:color w:val="FFFFFF"/>
                <w:spacing w:val="-2"/>
                <w:sz w:val="21"/>
              </w:rPr>
              <w:t>aplicação:</w:t>
            </w:r>
          </w:p>
        </w:tc>
        <w:tc>
          <w:tcPr>
            <w:tcW w:w="6948" w:type="dxa"/>
            <w:shd w:val="clear" w:color="auto" w:fill="E26B0A"/>
          </w:tcPr>
          <w:p w:rsidR="00263A97" w:rsidRDefault="00D73B6D">
            <w:pPr>
              <w:pStyle w:val="TableParagraph"/>
              <w:spacing w:before="112"/>
              <w:ind w:left="11" w:right="6"/>
              <w:jc w:val="center"/>
              <w:rPr>
                <w:sz w:val="21"/>
              </w:rPr>
            </w:pPr>
            <w:r>
              <w:rPr>
                <w:color w:val="FFFFFF"/>
                <w:sz w:val="21"/>
                <w:u w:val="single" w:color="FFFFFF"/>
              </w:rPr>
              <w:t>Alíquotas</w:t>
            </w:r>
            <w:r>
              <w:rPr>
                <w:color w:val="FFFFFF"/>
                <w:spacing w:val="-7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de</w:t>
            </w:r>
            <w:r>
              <w:rPr>
                <w:color w:val="FFFFFF"/>
                <w:spacing w:val="-9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z w:val="21"/>
                <w:u w:val="single" w:color="FFFFFF"/>
              </w:rPr>
              <w:t>Curto</w:t>
            </w:r>
            <w:r>
              <w:rPr>
                <w:color w:val="FFFFFF"/>
                <w:spacing w:val="-9"/>
                <w:sz w:val="21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1"/>
                <w:u w:val="single" w:color="FFFFFF"/>
              </w:rPr>
              <w:t>Prazo</w:t>
            </w:r>
          </w:p>
        </w:tc>
      </w:tr>
      <w:tr w:rsidR="00263A97">
        <w:trPr>
          <w:trHeight w:val="479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818"/>
              <w:rPr>
                <w:sz w:val="21"/>
              </w:rPr>
            </w:pPr>
            <w:r>
              <w:rPr>
                <w:sz w:val="21"/>
              </w:rPr>
              <w:t>Até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180</w:t>
            </w:r>
            <w:r>
              <w:rPr>
                <w:spacing w:val="-4"/>
                <w:sz w:val="21"/>
              </w:rPr>
              <w:t xml:space="preserve"> dias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22,5%</w:t>
            </w:r>
          </w:p>
        </w:tc>
      </w:tr>
    </w:tbl>
    <w:p w:rsidR="00263A97" w:rsidRDefault="00263A97">
      <w:pPr>
        <w:pStyle w:val="TableParagraph"/>
        <w:jc w:val="center"/>
        <w:rPr>
          <w:sz w:val="21"/>
        </w:rPr>
        <w:sectPr w:rsidR="00263A97">
          <w:headerReference w:type="default" r:id="rId13"/>
          <w:footerReference w:type="default" r:id="rId14"/>
          <w:pgSz w:w="11910" w:h="16840"/>
          <w:pgMar w:top="2220" w:right="992" w:bottom="380" w:left="283" w:header="1487" w:footer="186" w:gutter="0"/>
          <w:cols w:space="720"/>
        </w:sectPr>
      </w:pPr>
    </w:p>
    <w:p w:rsidR="00263A97" w:rsidRDefault="00263A97">
      <w:pPr>
        <w:pStyle w:val="Corpodetexto"/>
        <w:rPr>
          <w:sz w:val="20"/>
        </w:rPr>
      </w:pPr>
    </w:p>
    <w:p w:rsidR="00263A97" w:rsidRDefault="00263A97">
      <w:pPr>
        <w:pStyle w:val="Corpodetexto"/>
        <w:spacing w:before="95"/>
        <w:rPr>
          <w:sz w:val="20"/>
        </w:rPr>
      </w:pPr>
    </w:p>
    <w:tbl>
      <w:tblPr>
        <w:tblStyle w:val="TableNormal"/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7"/>
        <w:gridCol w:w="6948"/>
      </w:tblGrid>
      <w:tr w:rsidR="00263A97">
        <w:trPr>
          <w:trHeight w:val="479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19"/>
              <w:jc w:val="center"/>
              <w:rPr>
                <w:sz w:val="21"/>
              </w:rPr>
            </w:pPr>
            <w:r>
              <w:rPr>
                <w:sz w:val="21"/>
              </w:rPr>
              <w:t>Acima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180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dias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 w:right="2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20,0%</w:t>
            </w:r>
          </w:p>
        </w:tc>
      </w:tr>
      <w:tr w:rsidR="00263A97">
        <w:trPr>
          <w:trHeight w:val="484"/>
        </w:trPr>
        <w:tc>
          <w:tcPr>
            <w:tcW w:w="2777" w:type="dxa"/>
          </w:tcPr>
          <w:p w:rsidR="00263A97" w:rsidRDefault="00D73B6D">
            <w:pPr>
              <w:pStyle w:val="TableParagraph"/>
              <w:spacing w:before="112"/>
              <w:ind w:left="19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Come-</w:t>
            </w:r>
            <w:r>
              <w:rPr>
                <w:spacing w:val="-2"/>
                <w:sz w:val="21"/>
              </w:rPr>
              <w:t>Cotas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20,0%</w:t>
            </w:r>
          </w:p>
        </w:tc>
      </w:tr>
      <w:tr w:rsidR="00263A97">
        <w:trPr>
          <w:trHeight w:val="1929"/>
        </w:trPr>
        <w:tc>
          <w:tcPr>
            <w:tcW w:w="2777" w:type="dxa"/>
            <w:shd w:val="clear" w:color="auto" w:fill="F9BF8E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10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9" w:right="4"/>
              <w:jc w:val="center"/>
              <w:rPr>
                <w:sz w:val="21"/>
              </w:rPr>
            </w:pPr>
            <w:r>
              <w:rPr>
                <w:sz w:val="21"/>
              </w:rPr>
              <w:t>Cobrança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IRF: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2"/>
              <w:ind w:left="109" w:right="93"/>
              <w:jc w:val="both"/>
              <w:rPr>
                <w:sz w:val="21"/>
              </w:rPr>
            </w:pPr>
            <w:r>
              <w:rPr>
                <w:sz w:val="21"/>
              </w:rPr>
              <w:t>Na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hipótese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resgate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das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cotas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ocasião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encerramento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prazo de duração da classe de cotas ou sua liquidação, o rendimento será constituído pela diferença positiva entre o valor de resgate e o custo de aquisição das cotas à alíquo</w:t>
            </w:r>
            <w:r>
              <w:rPr>
                <w:sz w:val="21"/>
              </w:rPr>
              <w:t>ta aplicável com base no prazo médio dos títulos componentes da carteira da classe e no prazo de aplicação na classe pelo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cotista. A cobrança do imposto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será realizada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pela retenção de parte do valor resgatado.</w:t>
            </w:r>
          </w:p>
        </w:tc>
      </w:tr>
      <w:tr w:rsidR="00263A97">
        <w:trPr>
          <w:trHeight w:val="2531"/>
        </w:trPr>
        <w:tc>
          <w:tcPr>
            <w:tcW w:w="2777" w:type="dxa"/>
            <w:shd w:val="clear" w:color="auto" w:fill="F9BF8E"/>
          </w:tcPr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rPr>
                <w:sz w:val="21"/>
              </w:rPr>
            </w:pPr>
          </w:p>
          <w:p w:rsidR="00263A97" w:rsidRDefault="00263A97">
            <w:pPr>
              <w:pStyle w:val="TableParagraph"/>
              <w:spacing w:before="173"/>
              <w:rPr>
                <w:sz w:val="21"/>
              </w:rPr>
            </w:pPr>
          </w:p>
          <w:p w:rsidR="00263A97" w:rsidRDefault="00D73B6D">
            <w:pPr>
              <w:pStyle w:val="TableParagraph"/>
              <w:ind w:left="19" w:right="9"/>
              <w:jc w:val="center"/>
              <w:rPr>
                <w:sz w:val="21"/>
              </w:rPr>
            </w:pPr>
            <w:r>
              <w:rPr>
                <w:sz w:val="21"/>
              </w:rPr>
              <w:t>Amortização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Cotas:</w:t>
            </w:r>
          </w:p>
        </w:tc>
        <w:tc>
          <w:tcPr>
            <w:tcW w:w="6948" w:type="dxa"/>
          </w:tcPr>
          <w:p w:rsidR="00263A97" w:rsidRDefault="00D73B6D">
            <w:pPr>
              <w:pStyle w:val="TableParagraph"/>
              <w:spacing w:before="115"/>
              <w:ind w:left="109" w:right="95"/>
              <w:jc w:val="both"/>
              <w:rPr>
                <w:sz w:val="21"/>
              </w:rPr>
            </w:pPr>
            <w:r>
              <w:rPr>
                <w:sz w:val="21"/>
              </w:rPr>
              <w:t>O IRF deverá incidir sobre o valor que exceder o respectivo custo de aquisição,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na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proporção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parcela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amortizada,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à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alíquota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aplicável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com base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prazo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médio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dos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títulos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componentes da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carteira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classe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no prazo de aplicação na classe pelo cotista, às alíquotas regressivas descritas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à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hipótese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resgate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cotas,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definidas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função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prazo do investimento do cotista respectivo.</w:t>
            </w:r>
          </w:p>
          <w:p w:rsidR="00263A97" w:rsidRDefault="00D73B6D">
            <w:pPr>
              <w:pStyle w:val="TableParagraph"/>
              <w:spacing w:before="113" w:line="242" w:lineRule="auto"/>
              <w:ind w:left="109" w:right="98"/>
              <w:jc w:val="both"/>
              <w:rPr>
                <w:sz w:val="21"/>
              </w:rPr>
            </w:pPr>
            <w:r>
              <w:rPr>
                <w:sz w:val="21"/>
              </w:rPr>
              <w:t>Por ocasião de cada amortização de cotas, será apurada e aplicada alíquota</w:t>
            </w:r>
            <w:r>
              <w:rPr>
                <w:sz w:val="21"/>
              </w:rPr>
              <w:t xml:space="preserve"> complementar de IRF entre aquela utilizada na modalidade "come-cotas" e aquela aplicável segundo o período de aplicação.</w:t>
            </w:r>
          </w:p>
        </w:tc>
      </w:tr>
      <w:tr w:rsidR="00263A97">
        <w:trPr>
          <w:trHeight w:val="484"/>
        </w:trPr>
        <w:tc>
          <w:tcPr>
            <w:tcW w:w="9725" w:type="dxa"/>
            <w:gridSpan w:val="2"/>
            <w:shd w:val="clear" w:color="auto" w:fill="E26B0A"/>
          </w:tcPr>
          <w:p w:rsidR="00263A97" w:rsidRDefault="00D73B6D">
            <w:pPr>
              <w:pStyle w:val="TableParagraph"/>
              <w:tabs>
                <w:tab w:val="left" w:pos="1192"/>
              </w:tabs>
              <w:spacing w:before="112"/>
              <w:ind w:left="472"/>
              <w:rPr>
                <w:sz w:val="21"/>
              </w:rPr>
            </w:pPr>
            <w:r>
              <w:rPr>
                <w:rFonts w:ascii="Arial"/>
                <w:b/>
                <w:color w:val="FFFFFF"/>
                <w:spacing w:val="-5"/>
                <w:sz w:val="21"/>
              </w:rPr>
              <w:t>II.</w:t>
            </w:r>
            <w:r>
              <w:rPr>
                <w:rFonts w:ascii="Arial"/>
                <w:b/>
                <w:color w:val="FFFFFF"/>
                <w:sz w:val="21"/>
              </w:rPr>
              <w:tab/>
            </w:r>
            <w:r>
              <w:rPr>
                <w:color w:val="FFFFFF"/>
                <w:spacing w:val="-2"/>
                <w:sz w:val="21"/>
              </w:rPr>
              <w:t>IOF/TVM:</w:t>
            </w:r>
          </w:p>
        </w:tc>
      </w:tr>
      <w:tr w:rsidR="00263A97">
        <w:trPr>
          <w:trHeight w:val="1929"/>
        </w:trPr>
        <w:tc>
          <w:tcPr>
            <w:tcW w:w="9725" w:type="dxa"/>
            <w:gridSpan w:val="2"/>
          </w:tcPr>
          <w:p w:rsidR="00263A97" w:rsidRDefault="00D73B6D">
            <w:pPr>
              <w:pStyle w:val="TableParagraph"/>
              <w:spacing w:before="112"/>
              <w:ind w:left="112" w:right="90"/>
              <w:jc w:val="both"/>
              <w:rPr>
                <w:sz w:val="21"/>
              </w:rPr>
            </w:pPr>
            <w:r>
              <w:rPr>
                <w:sz w:val="21"/>
              </w:rPr>
              <w:t>Resgates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alienações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ocorridos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em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prazo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inferior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(trinta)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dias da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data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aplicação na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classe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 cotas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sofrerão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tributação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pelo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IOF/TVM, conforme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tabela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decrescente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em função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prazo.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 partir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do 30º (trigésimo)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dia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 aplicação não há incidência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de IOF/TVM. Esse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imposto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é de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1% (um por cento) ao dia, sobre o valor do resgate, limitado ao rendimento da aplicação em</w:t>
            </w:r>
            <w:r>
              <w:rPr>
                <w:sz w:val="21"/>
              </w:rPr>
              <w:t xml:space="preserve"> função do prazo de acordo com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uma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tabela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regressiva.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Ele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começa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limitado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96%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(noventa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seis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cento)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rendimento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para resgates 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1º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(primeiro) dia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útil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subsequente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aplicação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chega</w:t>
            </w:r>
            <w:r>
              <w:rPr>
                <w:spacing w:val="-4"/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a</w:t>
            </w:r>
            <w:proofErr w:type="gramEnd"/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zero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resgates 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partir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do 30º (trigésimo) dia da data da aplicação.</w:t>
            </w:r>
          </w:p>
        </w:tc>
      </w:tr>
    </w:tbl>
    <w:p w:rsidR="00263A97" w:rsidRDefault="00D73B6D">
      <w:pPr>
        <w:pStyle w:val="Ttulo1"/>
        <w:numPr>
          <w:ilvl w:val="1"/>
          <w:numId w:val="2"/>
        </w:numPr>
        <w:tabs>
          <w:tab w:val="left" w:pos="1476"/>
        </w:tabs>
        <w:spacing w:before="117"/>
        <w:ind w:left="1476" w:hanging="679"/>
        <w:jc w:val="both"/>
      </w:pPr>
      <w:r>
        <w:t>Aporte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ativos</w:t>
      </w:r>
      <w:r>
        <w:rPr>
          <w:spacing w:val="-4"/>
        </w:rPr>
        <w:t xml:space="preserve"> </w:t>
      </w:r>
      <w:r>
        <w:rPr>
          <w:spacing w:val="-2"/>
        </w:rPr>
        <w:t>financeiros</w:t>
      </w:r>
    </w:p>
    <w:p w:rsidR="00263A97" w:rsidRDefault="00D73B6D">
      <w:pPr>
        <w:pStyle w:val="PargrafodaLista"/>
        <w:numPr>
          <w:ilvl w:val="2"/>
          <w:numId w:val="2"/>
        </w:numPr>
        <w:tabs>
          <w:tab w:val="left" w:pos="1755"/>
          <w:tab w:val="left" w:pos="1761"/>
        </w:tabs>
        <w:spacing w:before="121"/>
        <w:ind w:left="1761" w:right="78" w:hanging="677"/>
        <w:jc w:val="both"/>
        <w:rPr>
          <w:sz w:val="21"/>
        </w:rPr>
      </w:pPr>
      <w:r>
        <w:rPr>
          <w:sz w:val="21"/>
        </w:rPr>
        <w:t>O aporte de ativos financeiros na classe única de cotas será feito de acordo com a legislação em vigor, notadamente o Artigo</w:t>
      </w:r>
      <w:r>
        <w:rPr>
          <w:spacing w:val="-1"/>
          <w:sz w:val="21"/>
        </w:rPr>
        <w:t xml:space="preserve"> </w:t>
      </w:r>
      <w:r>
        <w:rPr>
          <w:sz w:val="21"/>
        </w:rPr>
        <w:t>1º, da Lei nº 13.043 de 13</w:t>
      </w:r>
      <w:r>
        <w:rPr>
          <w:spacing w:val="-1"/>
          <w:sz w:val="21"/>
        </w:rPr>
        <w:t xml:space="preserve"> </w:t>
      </w:r>
      <w:r>
        <w:rPr>
          <w:sz w:val="21"/>
        </w:rPr>
        <w:t>de novembro de 2014 e alterações posteriores, devendo ser realizado a valor de mercado e mediante a apresentação dos documentos e comprovações nele previstos.</w:t>
      </w:r>
    </w:p>
    <w:p w:rsidR="00263A97" w:rsidRDefault="00D73B6D">
      <w:pPr>
        <w:pStyle w:val="PargrafodaLista"/>
        <w:numPr>
          <w:ilvl w:val="2"/>
          <w:numId w:val="2"/>
        </w:numPr>
        <w:tabs>
          <w:tab w:val="left" w:pos="1755"/>
          <w:tab w:val="left" w:pos="1761"/>
        </w:tabs>
        <w:spacing w:before="119"/>
        <w:ind w:left="1761" w:right="78" w:hanging="677"/>
        <w:jc w:val="both"/>
        <w:rPr>
          <w:sz w:val="21"/>
        </w:rPr>
      </w:pPr>
      <w:r>
        <w:rPr>
          <w:sz w:val="21"/>
        </w:rPr>
        <w:t>Por ocasião do aporte, o ADMINISTRADOR se reserva no direito de apurar</w:t>
      </w:r>
      <w:r>
        <w:rPr>
          <w:spacing w:val="-2"/>
          <w:sz w:val="21"/>
        </w:rPr>
        <w:t xml:space="preserve"> </w:t>
      </w:r>
      <w:r>
        <w:rPr>
          <w:sz w:val="21"/>
        </w:rPr>
        <w:t>eventuais tributos devidos</w:t>
      </w:r>
      <w:r>
        <w:rPr>
          <w:sz w:val="21"/>
        </w:rPr>
        <w:t xml:space="preserve"> e exigir, como condição para a efetivação da operação e a seu exclusivo critério, o prévio recebimento dos recursos necessários à quitação desses. Ainda, o ADMINISTRADOR se</w:t>
      </w:r>
      <w:r>
        <w:rPr>
          <w:spacing w:val="-14"/>
          <w:sz w:val="21"/>
        </w:rPr>
        <w:t xml:space="preserve"> </w:t>
      </w:r>
      <w:r>
        <w:rPr>
          <w:sz w:val="21"/>
        </w:rPr>
        <w:t>reserva</w:t>
      </w:r>
      <w:r>
        <w:rPr>
          <w:spacing w:val="-9"/>
          <w:sz w:val="21"/>
        </w:rPr>
        <w:t xml:space="preserve"> </w:t>
      </w:r>
      <w:r>
        <w:rPr>
          <w:sz w:val="21"/>
        </w:rPr>
        <w:t>no</w:t>
      </w:r>
      <w:r>
        <w:rPr>
          <w:spacing w:val="-14"/>
          <w:sz w:val="21"/>
        </w:rPr>
        <w:t xml:space="preserve"> </w:t>
      </w:r>
      <w:r>
        <w:rPr>
          <w:sz w:val="21"/>
        </w:rPr>
        <w:t>direito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z w:val="21"/>
        </w:rPr>
        <w:t>reclassificar</w:t>
      </w:r>
      <w:r>
        <w:rPr>
          <w:spacing w:val="-12"/>
          <w:sz w:val="21"/>
        </w:rPr>
        <w:t xml:space="preserve"> </w:t>
      </w:r>
      <w:r>
        <w:rPr>
          <w:sz w:val="21"/>
        </w:rPr>
        <w:t>operações</w:t>
      </w:r>
      <w:r>
        <w:rPr>
          <w:spacing w:val="-12"/>
          <w:sz w:val="21"/>
        </w:rPr>
        <w:t xml:space="preserve"> </w:t>
      </w:r>
      <w:r>
        <w:rPr>
          <w:sz w:val="21"/>
        </w:rPr>
        <w:t>que,</w:t>
      </w:r>
      <w:r>
        <w:rPr>
          <w:spacing w:val="-14"/>
          <w:sz w:val="21"/>
        </w:rPr>
        <w:t xml:space="preserve"> </w:t>
      </w:r>
      <w:r>
        <w:rPr>
          <w:sz w:val="21"/>
        </w:rPr>
        <w:t>na</w:t>
      </w:r>
      <w:r>
        <w:rPr>
          <w:spacing w:val="-6"/>
          <w:sz w:val="21"/>
        </w:rPr>
        <w:t xml:space="preserve"> </w:t>
      </w:r>
      <w:r>
        <w:rPr>
          <w:sz w:val="21"/>
        </w:rPr>
        <w:t>essência,</w:t>
      </w:r>
      <w:r>
        <w:rPr>
          <w:spacing w:val="-12"/>
          <w:sz w:val="21"/>
        </w:rPr>
        <w:t xml:space="preserve"> </w:t>
      </w:r>
      <w:r>
        <w:rPr>
          <w:sz w:val="21"/>
        </w:rPr>
        <w:t>sejam</w:t>
      </w:r>
      <w:r>
        <w:rPr>
          <w:spacing w:val="-12"/>
          <w:sz w:val="21"/>
        </w:rPr>
        <w:t xml:space="preserve"> </w:t>
      </w:r>
      <w:r>
        <w:rPr>
          <w:sz w:val="21"/>
        </w:rPr>
        <w:t>equivalentes</w:t>
      </w:r>
      <w:r>
        <w:rPr>
          <w:spacing w:val="-12"/>
          <w:sz w:val="21"/>
        </w:rPr>
        <w:t xml:space="preserve"> </w:t>
      </w:r>
      <w:r>
        <w:rPr>
          <w:sz w:val="21"/>
        </w:rPr>
        <w:t>a</w:t>
      </w:r>
      <w:r>
        <w:rPr>
          <w:spacing w:val="-9"/>
          <w:sz w:val="21"/>
        </w:rPr>
        <w:t xml:space="preserve"> </w:t>
      </w:r>
      <w:r>
        <w:rPr>
          <w:sz w:val="21"/>
        </w:rPr>
        <w:t>aportes para a elas aplicar as exigências previstas neste item.</w:t>
      </w:r>
    </w:p>
    <w:p w:rsidR="00263A97" w:rsidRDefault="00D73B6D">
      <w:pPr>
        <w:pStyle w:val="PargrafodaLista"/>
        <w:numPr>
          <w:ilvl w:val="1"/>
          <w:numId w:val="2"/>
        </w:numPr>
        <w:tabs>
          <w:tab w:val="left" w:pos="1475"/>
        </w:tabs>
        <w:spacing w:before="122"/>
        <w:ind w:right="73" w:firstLine="0"/>
        <w:jc w:val="both"/>
        <w:rPr>
          <w:sz w:val="21"/>
        </w:rPr>
      </w:pPr>
      <w:r>
        <w:rPr>
          <w:sz w:val="21"/>
        </w:rPr>
        <w:t>O</w:t>
      </w:r>
      <w:r>
        <w:rPr>
          <w:spacing w:val="-3"/>
          <w:sz w:val="21"/>
        </w:rPr>
        <w:t xml:space="preserve"> </w:t>
      </w:r>
      <w:r>
        <w:rPr>
          <w:sz w:val="21"/>
        </w:rPr>
        <w:t>disposto</w:t>
      </w:r>
      <w:r>
        <w:rPr>
          <w:spacing w:val="-7"/>
          <w:sz w:val="21"/>
        </w:rPr>
        <w:t xml:space="preserve"> </w:t>
      </w:r>
      <w:r>
        <w:rPr>
          <w:sz w:val="21"/>
        </w:rPr>
        <w:t>neste</w:t>
      </w:r>
      <w:r>
        <w:rPr>
          <w:spacing w:val="-9"/>
          <w:sz w:val="21"/>
        </w:rPr>
        <w:t xml:space="preserve"> </w:t>
      </w:r>
      <w:r>
        <w:rPr>
          <w:sz w:val="21"/>
        </w:rPr>
        <w:t>Capítulo</w:t>
      </w:r>
      <w:r>
        <w:rPr>
          <w:spacing w:val="-8"/>
          <w:sz w:val="21"/>
        </w:rPr>
        <w:t xml:space="preserve"> </w:t>
      </w:r>
      <w:r>
        <w:rPr>
          <w:sz w:val="21"/>
        </w:rPr>
        <w:t>foi</w:t>
      </w:r>
      <w:r>
        <w:rPr>
          <w:spacing w:val="-5"/>
          <w:sz w:val="21"/>
        </w:rPr>
        <w:t xml:space="preserve"> </w:t>
      </w:r>
      <w:r>
        <w:rPr>
          <w:sz w:val="21"/>
        </w:rPr>
        <w:t>elaborado</w:t>
      </w:r>
      <w:r>
        <w:rPr>
          <w:spacing w:val="-7"/>
          <w:sz w:val="21"/>
        </w:rPr>
        <w:t xml:space="preserve"> </w:t>
      </w:r>
      <w:r>
        <w:rPr>
          <w:sz w:val="21"/>
        </w:rPr>
        <w:t>com</w:t>
      </w:r>
      <w:r>
        <w:rPr>
          <w:spacing w:val="-3"/>
          <w:sz w:val="21"/>
        </w:rPr>
        <w:t xml:space="preserve"> </w:t>
      </w:r>
      <w:r>
        <w:rPr>
          <w:sz w:val="21"/>
        </w:rPr>
        <w:t>base</w:t>
      </w:r>
      <w:r>
        <w:rPr>
          <w:spacing w:val="-7"/>
          <w:sz w:val="21"/>
        </w:rPr>
        <w:t xml:space="preserve"> </w:t>
      </w:r>
      <w:r>
        <w:rPr>
          <w:sz w:val="21"/>
        </w:rPr>
        <w:t>na</w:t>
      </w:r>
      <w:r>
        <w:rPr>
          <w:spacing w:val="-8"/>
          <w:sz w:val="21"/>
        </w:rPr>
        <w:t xml:space="preserve"> </w:t>
      </w:r>
      <w:r>
        <w:rPr>
          <w:sz w:val="21"/>
        </w:rPr>
        <w:t>legislação e</w:t>
      </w:r>
      <w:r>
        <w:rPr>
          <w:spacing w:val="-8"/>
          <w:sz w:val="21"/>
        </w:rPr>
        <w:t xml:space="preserve"> </w:t>
      </w:r>
      <w:r>
        <w:rPr>
          <w:sz w:val="21"/>
        </w:rPr>
        <w:t>regulamentação</w:t>
      </w:r>
      <w:r>
        <w:rPr>
          <w:spacing w:val="-7"/>
          <w:sz w:val="21"/>
        </w:rPr>
        <w:t xml:space="preserve"> </w:t>
      </w:r>
      <w:r>
        <w:rPr>
          <w:sz w:val="21"/>
        </w:rPr>
        <w:t>em</w:t>
      </w:r>
      <w:r>
        <w:rPr>
          <w:spacing w:val="-3"/>
          <w:sz w:val="21"/>
        </w:rPr>
        <w:t xml:space="preserve"> </w:t>
      </w:r>
      <w:r>
        <w:rPr>
          <w:sz w:val="21"/>
        </w:rPr>
        <w:t>vigor</w:t>
      </w:r>
      <w:r>
        <w:rPr>
          <w:spacing w:val="-5"/>
          <w:sz w:val="21"/>
        </w:rPr>
        <w:t xml:space="preserve"> </w:t>
      </w:r>
      <w:r>
        <w:rPr>
          <w:sz w:val="21"/>
        </w:rPr>
        <w:t>e</w:t>
      </w:r>
      <w:r>
        <w:rPr>
          <w:spacing w:val="-8"/>
          <w:sz w:val="21"/>
        </w:rPr>
        <w:t xml:space="preserve"> </w:t>
      </w:r>
      <w:r>
        <w:rPr>
          <w:sz w:val="21"/>
        </w:rPr>
        <w:t>tem por objetivo descrever de forma sumária o tratamento tributário aplicável em regra aos cotistas e ao FUNDO e</w:t>
      </w:r>
      <w:r>
        <w:rPr>
          <w:spacing w:val="-6"/>
          <w:sz w:val="21"/>
        </w:rPr>
        <w:t xml:space="preserve"> </w:t>
      </w:r>
      <w:r>
        <w:rPr>
          <w:sz w:val="21"/>
        </w:rPr>
        <w:t>não</w:t>
      </w:r>
      <w:r>
        <w:rPr>
          <w:spacing w:val="-5"/>
          <w:sz w:val="21"/>
        </w:rPr>
        <w:t xml:space="preserve"> </w:t>
      </w:r>
      <w:r>
        <w:rPr>
          <w:sz w:val="21"/>
        </w:rPr>
        <w:t>se</w:t>
      </w:r>
      <w:r>
        <w:rPr>
          <w:spacing w:val="-5"/>
          <w:sz w:val="21"/>
        </w:rPr>
        <w:t xml:space="preserve"> </w:t>
      </w:r>
      <w:r>
        <w:rPr>
          <w:sz w:val="21"/>
        </w:rPr>
        <w:t>aplica</w:t>
      </w:r>
      <w:r>
        <w:rPr>
          <w:spacing w:val="-6"/>
          <w:sz w:val="21"/>
        </w:rPr>
        <w:t xml:space="preserve"> </w:t>
      </w:r>
      <w:r>
        <w:rPr>
          <w:sz w:val="21"/>
        </w:rPr>
        <w:t>aos</w:t>
      </w:r>
      <w:r>
        <w:rPr>
          <w:spacing w:val="-1"/>
          <w:sz w:val="21"/>
        </w:rPr>
        <w:t xml:space="preserve"> </w:t>
      </w:r>
      <w:r>
        <w:rPr>
          <w:sz w:val="21"/>
        </w:rPr>
        <w:t>cotistas</w:t>
      </w:r>
      <w:r>
        <w:rPr>
          <w:spacing w:val="-1"/>
          <w:sz w:val="21"/>
        </w:rPr>
        <w:t xml:space="preserve"> </w:t>
      </w:r>
      <w:r>
        <w:rPr>
          <w:sz w:val="21"/>
        </w:rPr>
        <w:t>sujeitos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regras de</w:t>
      </w:r>
      <w:r>
        <w:rPr>
          <w:spacing w:val="-3"/>
          <w:sz w:val="21"/>
        </w:rPr>
        <w:t xml:space="preserve"> </w:t>
      </w:r>
      <w:r>
        <w:rPr>
          <w:sz w:val="21"/>
        </w:rPr>
        <w:t>tributação</w:t>
      </w:r>
      <w:r>
        <w:rPr>
          <w:spacing w:val="-5"/>
          <w:sz w:val="21"/>
        </w:rPr>
        <w:t xml:space="preserve"> </w:t>
      </w:r>
      <w:r>
        <w:rPr>
          <w:sz w:val="21"/>
        </w:rPr>
        <w:t>específicas, na</w:t>
      </w:r>
      <w:r>
        <w:rPr>
          <w:spacing w:val="-5"/>
          <w:sz w:val="21"/>
        </w:rPr>
        <w:t xml:space="preserve"> </w:t>
      </w:r>
      <w:r>
        <w:rPr>
          <w:sz w:val="21"/>
        </w:rPr>
        <w:t>forma</w:t>
      </w:r>
      <w:r>
        <w:rPr>
          <w:spacing w:val="-6"/>
          <w:sz w:val="21"/>
        </w:rPr>
        <w:t xml:space="preserve"> </w:t>
      </w:r>
      <w:r>
        <w:rPr>
          <w:sz w:val="21"/>
        </w:rPr>
        <w:t>da</w:t>
      </w:r>
      <w:r>
        <w:rPr>
          <w:spacing w:val="-5"/>
          <w:sz w:val="21"/>
        </w:rPr>
        <w:t xml:space="preserve"> </w:t>
      </w:r>
      <w:r>
        <w:rPr>
          <w:sz w:val="21"/>
        </w:rPr>
        <w:t>legislação</w:t>
      </w:r>
      <w:r>
        <w:rPr>
          <w:spacing w:val="-6"/>
          <w:sz w:val="21"/>
        </w:rPr>
        <w:t xml:space="preserve"> </w:t>
      </w:r>
      <w:r>
        <w:rPr>
          <w:sz w:val="21"/>
        </w:rPr>
        <w:t>e regulamentação em vigor.</w:t>
      </w:r>
    </w:p>
    <w:p w:rsidR="00263A97" w:rsidRDefault="00D73B6D">
      <w:pPr>
        <w:pStyle w:val="PargrafodaLista"/>
        <w:numPr>
          <w:ilvl w:val="1"/>
          <w:numId w:val="2"/>
        </w:numPr>
        <w:tabs>
          <w:tab w:val="left" w:pos="1475"/>
        </w:tabs>
        <w:spacing w:before="121"/>
        <w:ind w:right="80" w:firstLine="0"/>
        <w:jc w:val="both"/>
        <w:rPr>
          <w:sz w:val="21"/>
        </w:rPr>
      </w:pPr>
      <w:r>
        <w:rPr>
          <w:sz w:val="21"/>
        </w:rPr>
        <w:t>Há</w:t>
      </w:r>
      <w:r>
        <w:rPr>
          <w:spacing w:val="-10"/>
          <w:sz w:val="21"/>
        </w:rPr>
        <w:t xml:space="preserve"> </w:t>
      </w:r>
      <w:r>
        <w:rPr>
          <w:sz w:val="21"/>
        </w:rPr>
        <w:t>exceções</w:t>
      </w:r>
      <w:r>
        <w:rPr>
          <w:spacing w:val="-7"/>
          <w:sz w:val="21"/>
        </w:rPr>
        <w:t xml:space="preserve"> </w:t>
      </w:r>
      <w:r>
        <w:rPr>
          <w:sz w:val="21"/>
        </w:rPr>
        <w:t>(inclusiv</w:t>
      </w:r>
      <w:r>
        <w:rPr>
          <w:sz w:val="21"/>
        </w:rPr>
        <w:t>e</w:t>
      </w:r>
      <w:r>
        <w:rPr>
          <w:spacing w:val="-10"/>
          <w:sz w:val="21"/>
        </w:rPr>
        <w:t xml:space="preserve"> </w:t>
      </w:r>
      <w:r>
        <w:rPr>
          <w:sz w:val="21"/>
        </w:rPr>
        <w:t>relativas</w:t>
      </w:r>
      <w:r>
        <w:rPr>
          <w:spacing w:val="-7"/>
          <w:sz w:val="21"/>
        </w:rPr>
        <w:t xml:space="preserve"> </w:t>
      </w:r>
      <w:r>
        <w:rPr>
          <w:sz w:val="21"/>
        </w:rPr>
        <w:t>à</w:t>
      </w:r>
      <w:r>
        <w:rPr>
          <w:spacing w:val="-9"/>
          <w:sz w:val="21"/>
        </w:rPr>
        <w:t xml:space="preserve"> </w:t>
      </w:r>
      <w:r>
        <w:rPr>
          <w:sz w:val="21"/>
        </w:rPr>
        <w:t>natureza</w:t>
      </w:r>
      <w:r>
        <w:rPr>
          <w:spacing w:val="-9"/>
          <w:sz w:val="21"/>
        </w:rPr>
        <w:t xml:space="preserve"> </w:t>
      </w:r>
      <w:r>
        <w:rPr>
          <w:sz w:val="21"/>
        </w:rPr>
        <w:t>ou</w:t>
      </w:r>
      <w:r>
        <w:rPr>
          <w:spacing w:val="-9"/>
          <w:sz w:val="21"/>
        </w:rPr>
        <w:t xml:space="preserve"> </w:t>
      </w:r>
      <w:r>
        <w:rPr>
          <w:sz w:val="21"/>
        </w:rPr>
        <w:t>ao</w:t>
      </w:r>
      <w:r>
        <w:rPr>
          <w:spacing w:val="-9"/>
          <w:sz w:val="21"/>
        </w:rPr>
        <w:t xml:space="preserve"> </w:t>
      </w:r>
      <w:r>
        <w:rPr>
          <w:sz w:val="21"/>
        </w:rPr>
        <w:t>domicílio</w:t>
      </w:r>
      <w:r>
        <w:rPr>
          <w:spacing w:val="-9"/>
          <w:sz w:val="21"/>
        </w:rPr>
        <w:t xml:space="preserve"> </w:t>
      </w:r>
      <w:r>
        <w:rPr>
          <w:sz w:val="21"/>
        </w:rPr>
        <w:t>do</w:t>
      </w:r>
      <w:r>
        <w:rPr>
          <w:spacing w:val="-9"/>
          <w:sz w:val="21"/>
        </w:rPr>
        <w:t xml:space="preserve"> </w:t>
      </w:r>
      <w:r>
        <w:rPr>
          <w:sz w:val="21"/>
        </w:rPr>
        <w:t>investidor)</w:t>
      </w:r>
      <w:r>
        <w:rPr>
          <w:spacing w:val="-7"/>
          <w:sz w:val="21"/>
        </w:rPr>
        <w:t xml:space="preserve"> </w:t>
      </w:r>
      <w:r>
        <w:rPr>
          <w:sz w:val="21"/>
        </w:rPr>
        <w:t>e</w:t>
      </w:r>
      <w:r>
        <w:rPr>
          <w:spacing w:val="-10"/>
          <w:sz w:val="21"/>
        </w:rPr>
        <w:t xml:space="preserve"> </w:t>
      </w:r>
      <w:r>
        <w:rPr>
          <w:sz w:val="21"/>
        </w:rPr>
        <w:t>tributos</w:t>
      </w:r>
      <w:r>
        <w:rPr>
          <w:spacing w:val="-7"/>
          <w:sz w:val="21"/>
        </w:rPr>
        <w:t xml:space="preserve"> </w:t>
      </w:r>
      <w:r>
        <w:rPr>
          <w:sz w:val="21"/>
        </w:rPr>
        <w:t>adicionais</w:t>
      </w:r>
      <w:r>
        <w:rPr>
          <w:spacing w:val="-7"/>
          <w:sz w:val="21"/>
        </w:rPr>
        <w:t xml:space="preserve"> </w:t>
      </w:r>
      <w:r>
        <w:rPr>
          <w:sz w:val="21"/>
        </w:rPr>
        <w:t>que podem</w:t>
      </w:r>
      <w:r>
        <w:rPr>
          <w:spacing w:val="-14"/>
          <w:sz w:val="21"/>
        </w:rPr>
        <w:t xml:space="preserve"> </w:t>
      </w:r>
      <w:r>
        <w:rPr>
          <w:sz w:val="21"/>
        </w:rPr>
        <w:t>ser</w:t>
      </w:r>
      <w:r>
        <w:rPr>
          <w:spacing w:val="-13"/>
          <w:sz w:val="21"/>
        </w:rPr>
        <w:t xml:space="preserve"> </w:t>
      </w:r>
      <w:r>
        <w:rPr>
          <w:sz w:val="21"/>
        </w:rPr>
        <w:t>aplicados,</w:t>
      </w:r>
      <w:r>
        <w:rPr>
          <w:spacing w:val="-13"/>
          <w:sz w:val="21"/>
        </w:rPr>
        <w:t xml:space="preserve"> </w:t>
      </w:r>
      <w:r>
        <w:rPr>
          <w:sz w:val="21"/>
        </w:rPr>
        <w:t>motivo</w:t>
      </w:r>
      <w:r>
        <w:rPr>
          <w:spacing w:val="-13"/>
          <w:sz w:val="21"/>
        </w:rPr>
        <w:t xml:space="preserve"> </w:t>
      </w:r>
      <w:r>
        <w:rPr>
          <w:sz w:val="21"/>
        </w:rPr>
        <w:t>pelo</w:t>
      </w:r>
      <w:r>
        <w:rPr>
          <w:spacing w:val="-15"/>
          <w:sz w:val="21"/>
        </w:rPr>
        <w:t xml:space="preserve"> </w:t>
      </w:r>
      <w:r>
        <w:rPr>
          <w:sz w:val="21"/>
        </w:rPr>
        <w:t>qual</w:t>
      </w:r>
      <w:r>
        <w:rPr>
          <w:spacing w:val="-13"/>
          <w:sz w:val="21"/>
        </w:rPr>
        <w:t xml:space="preserve"> </w:t>
      </w:r>
      <w:r>
        <w:rPr>
          <w:sz w:val="21"/>
        </w:rPr>
        <w:t>os</w:t>
      </w:r>
      <w:r>
        <w:rPr>
          <w:spacing w:val="-13"/>
          <w:sz w:val="21"/>
        </w:rPr>
        <w:t xml:space="preserve"> </w:t>
      </w:r>
      <w:r>
        <w:rPr>
          <w:sz w:val="21"/>
        </w:rPr>
        <w:t>cotistas</w:t>
      </w:r>
      <w:r>
        <w:rPr>
          <w:spacing w:val="-13"/>
          <w:sz w:val="21"/>
        </w:rPr>
        <w:t xml:space="preserve"> </w:t>
      </w:r>
      <w:r>
        <w:rPr>
          <w:sz w:val="21"/>
        </w:rPr>
        <w:t>devem</w:t>
      </w:r>
      <w:r>
        <w:rPr>
          <w:spacing w:val="-12"/>
          <w:sz w:val="21"/>
        </w:rPr>
        <w:t xml:space="preserve"> </w:t>
      </w:r>
      <w:r>
        <w:rPr>
          <w:sz w:val="21"/>
        </w:rPr>
        <w:t>consultar</w:t>
      </w:r>
      <w:r>
        <w:rPr>
          <w:spacing w:val="-13"/>
          <w:sz w:val="21"/>
        </w:rPr>
        <w:t xml:space="preserve"> </w:t>
      </w:r>
      <w:r>
        <w:rPr>
          <w:sz w:val="21"/>
        </w:rPr>
        <w:t>seus</w:t>
      </w:r>
      <w:r>
        <w:rPr>
          <w:spacing w:val="-13"/>
          <w:sz w:val="21"/>
        </w:rPr>
        <w:t xml:space="preserve"> </w:t>
      </w:r>
      <w:r>
        <w:rPr>
          <w:sz w:val="21"/>
        </w:rPr>
        <w:t>assessores</w:t>
      </w:r>
      <w:r>
        <w:rPr>
          <w:spacing w:val="-13"/>
          <w:sz w:val="21"/>
        </w:rPr>
        <w:t xml:space="preserve"> </w:t>
      </w:r>
      <w:r>
        <w:rPr>
          <w:sz w:val="21"/>
        </w:rPr>
        <w:t>jurídicos</w:t>
      </w:r>
      <w:r>
        <w:rPr>
          <w:spacing w:val="-13"/>
          <w:sz w:val="21"/>
        </w:rPr>
        <w:t xml:space="preserve"> </w:t>
      </w:r>
      <w:r>
        <w:rPr>
          <w:sz w:val="21"/>
        </w:rPr>
        <w:t>com</w:t>
      </w:r>
      <w:r>
        <w:rPr>
          <w:spacing w:val="-14"/>
          <w:sz w:val="21"/>
        </w:rPr>
        <w:t xml:space="preserve"> </w:t>
      </w:r>
      <w:r>
        <w:rPr>
          <w:sz w:val="21"/>
        </w:rPr>
        <w:t>relação à tributação aplicável nos investimentos realizados no FUNDO.</w:t>
      </w:r>
    </w:p>
    <w:p w:rsidR="00263A97" w:rsidRDefault="00263A97">
      <w:pPr>
        <w:pStyle w:val="PargrafodaLista"/>
        <w:rPr>
          <w:sz w:val="21"/>
        </w:rPr>
        <w:sectPr w:rsidR="00263A97">
          <w:headerReference w:type="default" r:id="rId15"/>
          <w:footerReference w:type="default" r:id="rId16"/>
          <w:pgSz w:w="11910" w:h="16840"/>
          <w:pgMar w:top="2220" w:right="992" w:bottom="380" w:left="283" w:header="1487" w:footer="186" w:gutter="0"/>
          <w:pgNumType w:start="1"/>
          <w:cols w:space="720"/>
        </w:sectPr>
      </w:pPr>
    </w:p>
    <w:p w:rsidR="00263A97" w:rsidRDefault="00263A97">
      <w:pPr>
        <w:pStyle w:val="Corpodetexto"/>
      </w:pPr>
    </w:p>
    <w:p w:rsidR="00263A97" w:rsidRDefault="00263A97">
      <w:pPr>
        <w:pStyle w:val="Corpodetexto"/>
        <w:spacing w:before="65"/>
      </w:pPr>
    </w:p>
    <w:p w:rsidR="00263A97" w:rsidRDefault="00D73B6D">
      <w:pPr>
        <w:pStyle w:val="Ttulo1"/>
      </w:pPr>
      <w:r>
        <w:rPr>
          <w:sz w:val="22"/>
        </w:rPr>
        <w:t>CAPÍTULO</w:t>
      </w:r>
      <w:r>
        <w:rPr>
          <w:spacing w:val="-10"/>
          <w:sz w:val="22"/>
        </w:rPr>
        <w:t xml:space="preserve"> </w:t>
      </w:r>
      <w:r>
        <w:rPr>
          <w:sz w:val="22"/>
        </w:rPr>
        <w:t>8</w:t>
      </w:r>
      <w:r>
        <w:rPr>
          <w:spacing w:val="-7"/>
          <w:sz w:val="22"/>
        </w:rPr>
        <w:t xml:space="preserve"> </w:t>
      </w:r>
      <w:r>
        <w:rPr>
          <w:sz w:val="22"/>
        </w:rPr>
        <w:t>–</w:t>
      </w:r>
      <w:r>
        <w:rPr>
          <w:spacing w:val="-12"/>
          <w:sz w:val="22"/>
        </w:rPr>
        <w:t xml:space="preserve"> </w:t>
      </w:r>
      <w:r>
        <w:t>FATORES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RISCO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POLÍTICA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RISCOS</w:t>
      </w:r>
    </w:p>
    <w:p w:rsidR="00263A97" w:rsidRDefault="00263A97">
      <w:pPr>
        <w:pStyle w:val="Corpodetexto"/>
        <w:spacing w:before="33"/>
        <w:rPr>
          <w:rFonts w:ascii="Arial"/>
          <w:b/>
        </w:rPr>
      </w:pPr>
    </w:p>
    <w:p w:rsidR="00263A97" w:rsidRDefault="00D73B6D">
      <w:pPr>
        <w:pStyle w:val="PargrafodaLista"/>
        <w:numPr>
          <w:ilvl w:val="1"/>
          <w:numId w:val="1"/>
        </w:numPr>
        <w:tabs>
          <w:tab w:val="left" w:pos="1475"/>
        </w:tabs>
        <w:spacing w:before="1"/>
        <w:ind w:right="77" w:firstLine="0"/>
        <w:jc w:val="both"/>
        <w:rPr>
          <w:sz w:val="21"/>
        </w:rPr>
      </w:pPr>
      <w:r>
        <w:rPr>
          <w:sz w:val="21"/>
        </w:rPr>
        <w:t>A carteira da classe de cotas está sujeita às flutuações de preços e/ou cotações do mercado, conforme</w:t>
      </w:r>
      <w:r>
        <w:rPr>
          <w:spacing w:val="-7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caso,</w:t>
      </w:r>
      <w:r>
        <w:rPr>
          <w:spacing w:val="-5"/>
          <w:sz w:val="21"/>
        </w:rPr>
        <w:t xml:space="preserve"> </w:t>
      </w:r>
      <w:r>
        <w:rPr>
          <w:sz w:val="21"/>
        </w:rPr>
        <w:t>aos</w:t>
      </w:r>
      <w:r>
        <w:rPr>
          <w:spacing w:val="-7"/>
          <w:sz w:val="21"/>
        </w:rPr>
        <w:t xml:space="preserve"> </w:t>
      </w:r>
      <w:r>
        <w:rPr>
          <w:sz w:val="21"/>
        </w:rPr>
        <w:t>riscos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crédito</w:t>
      </w:r>
      <w:r>
        <w:rPr>
          <w:spacing w:val="-3"/>
          <w:sz w:val="21"/>
        </w:rPr>
        <w:t xml:space="preserve"> </w:t>
      </w:r>
      <w:r>
        <w:rPr>
          <w:sz w:val="21"/>
        </w:rPr>
        <w:t>e</w:t>
      </w:r>
      <w:r>
        <w:rPr>
          <w:spacing w:val="-8"/>
          <w:sz w:val="21"/>
        </w:rPr>
        <w:t xml:space="preserve"> </w:t>
      </w:r>
      <w:r>
        <w:rPr>
          <w:sz w:val="21"/>
        </w:rPr>
        <w:t>liquidez</w:t>
      </w:r>
      <w:r>
        <w:rPr>
          <w:spacing w:val="-9"/>
          <w:sz w:val="21"/>
        </w:rPr>
        <w:t xml:space="preserve"> </w:t>
      </w:r>
      <w:r>
        <w:rPr>
          <w:sz w:val="21"/>
        </w:rPr>
        <w:t>e</w:t>
      </w:r>
      <w:r>
        <w:rPr>
          <w:spacing w:val="-7"/>
          <w:sz w:val="21"/>
        </w:rPr>
        <w:t xml:space="preserve"> </w:t>
      </w:r>
      <w:r>
        <w:rPr>
          <w:sz w:val="21"/>
        </w:rPr>
        <w:t>às</w:t>
      </w:r>
      <w:r>
        <w:rPr>
          <w:spacing w:val="-7"/>
          <w:sz w:val="21"/>
        </w:rPr>
        <w:t xml:space="preserve"> </w:t>
      </w:r>
      <w:r>
        <w:rPr>
          <w:sz w:val="21"/>
        </w:rPr>
        <w:t>variações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preços</w:t>
      </w:r>
      <w:r>
        <w:rPr>
          <w:spacing w:val="-7"/>
          <w:sz w:val="21"/>
        </w:rPr>
        <w:t xml:space="preserve"> </w:t>
      </w:r>
      <w:r>
        <w:rPr>
          <w:sz w:val="21"/>
        </w:rPr>
        <w:t>e</w:t>
      </w:r>
      <w:r>
        <w:rPr>
          <w:spacing w:val="-7"/>
          <w:sz w:val="21"/>
        </w:rPr>
        <w:t xml:space="preserve"> </w:t>
      </w:r>
      <w:r>
        <w:rPr>
          <w:sz w:val="21"/>
        </w:rPr>
        <w:t>cotações</w:t>
      </w:r>
      <w:r>
        <w:rPr>
          <w:spacing w:val="-7"/>
          <w:sz w:val="21"/>
        </w:rPr>
        <w:t xml:space="preserve"> </w:t>
      </w:r>
      <w:r>
        <w:rPr>
          <w:sz w:val="21"/>
        </w:rPr>
        <w:t>inerentes</w:t>
      </w:r>
      <w:r>
        <w:rPr>
          <w:spacing w:val="-7"/>
          <w:sz w:val="21"/>
        </w:rPr>
        <w:t xml:space="preserve"> </w:t>
      </w:r>
      <w:r>
        <w:rPr>
          <w:sz w:val="21"/>
        </w:rPr>
        <w:t>aos</w:t>
      </w:r>
      <w:r>
        <w:rPr>
          <w:spacing w:val="-7"/>
          <w:sz w:val="21"/>
        </w:rPr>
        <w:t xml:space="preserve"> </w:t>
      </w:r>
      <w:r>
        <w:rPr>
          <w:sz w:val="21"/>
        </w:rPr>
        <w:t>seus ativos financeiros, o que pode acarretar perda patrimonial à classe de cotas e aos cotistas.</w:t>
      </w:r>
    </w:p>
    <w:p w:rsidR="00263A97" w:rsidRDefault="00D73B6D">
      <w:pPr>
        <w:pStyle w:val="PargrafodaLista"/>
        <w:numPr>
          <w:ilvl w:val="1"/>
          <w:numId w:val="1"/>
        </w:numPr>
        <w:tabs>
          <w:tab w:val="left" w:pos="1475"/>
        </w:tabs>
        <w:spacing w:before="122"/>
        <w:ind w:right="83" w:firstLine="0"/>
        <w:jc w:val="both"/>
        <w:rPr>
          <w:sz w:val="21"/>
        </w:rPr>
      </w:pPr>
      <w:r>
        <w:rPr>
          <w:sz w:val="21"/>
        </w:rPr>
        <w:t>Os</w:t>
      </w:r>
      <w:r>
        <w:rPr>
          <w:spacing w:val="-7"/>
          <w:sz w:val="21"/>
        </w:rPr>
        <w:t xml:space="preserve"> </w:t>
      </w:r>
      <w:r>
        <w:rPr>
          <w:sz w:val="21"/>
        </w:rPr>
        <w:t>fatores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risco</w:t>
      </w:r>
      <w:r>
        <w:rPr>
          <w:spacing w:val="-8"/>
          <w:sz w:val="21"/>
        </w:rPr>
        <w:t xml:space="preserve"> </w:t>
      </w:r>
      <w:r>
        <w:rPr>
          <w:sz w:val="21"/>
        </w:rPr>
        <w:t>ora</w:t>
      </w:r>
      <w:r>
        <w:rPr>
          <w:spacing w:val="-9"/>
          <w:sz w:val="21"/>
        </w:rPr>
        <w:t xml:space="preserve"> </w:t>
      </w:r>
      <w:r>
        <w:rPr>
          <w:sz w:val="21"/>
        </w:rPr>
        <w:t>descritos</w:t>
      </w:r>
      <w:r>
        <w:rPr>
          <w:spacing w:val="-7"/>
          <w:sz w:val="21"/>
        </w:rPr>
        <w:t xml:space="preserve"> </w:t>
      </w:r>
      <w:r>
        <w:rPr>
          <w:sz w:val="21"/>
        </w:rPr>
        <w:t>levam</w:t>
      </w:r>
      <w:r>
        <w:rPr>
          <w:spacing w:val="-6"/>
          <w:sz w:val="21"/>
        </w:rPr>
        <w:t xml:space="preserve"> </w:t>
      </w:r>
      <w:r>
        <w:rPr>
          <w:sz w:val="21"/>
        </w:rPr>
        <w:t>em</w:t>
      </w:r>
      <w:r>
        <w:rPr>
          <w:spacing w:val="-3"/>
          <w:sz w:val="21"/>
        </w:rPr>
        <w:t xml:space="preserve"> </w:t>
      </w:r>
      <w:r>
        <w:rPr>
          <w:sz w:val="21"/>
        </w:rPr>
        <w:t>consideração</w:t>
      </w:r>
      <w:r>
        <w:rPr>
          <w:spacing w:val="-7"/>
          <w:sz w:val="21"/>
        </w:rPr>
        <w:t xml:space="preserve"> </w:t>
      </w:r>
      <w:r>
        <w:rPr>
          <w:sz w:val="21"/>
        </w:rPr>
        <w:t>a</w:t>
      </w:r>
      <w:r>
        <w:rPr>
          <w:spacing w:val="-7"/>
          <w:sz w:val="21"/>
        </w:rPr>
        <w:t xml:space="preserve"> </w:t>
      </w:r>
      <w:r>
        <w:rPr>
          <w:sz w:val="21"/>
        </w:rPr>
        <w:t>carteira</w:t>
      </w:r>
      <w:r>
        <w:rPr>
          <w:spacing w:val="-8"/>
          <w:sz w:val="21"/>
        </w:rPr>
        <w:t xml:space="preserve"> </w:t>
      </w:r>
      <w:r>
        <w:rPr>
          <w:sz w:val="21"/>
        </w:rPr>
        <w:t>da</w:t>
      </w:r>
      <w:r>
        <w:rPr>
          <w:spacing w:val="-8"/>
          <w:sz w:val="21"/>
        </w:rPr>
        <w:t xml:space="preserve"> </w:t>
      </w:r>
      <w:r>
        <w:rPr>
          <w:sz w:val="21"/>
        </w:rPr>
        <w:t>classe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cotas,</w:t>
      </w:r>
      <w:r>
        <w:rPr>
          <w:spacing w:val="-5"/>
          <w:sz w:val="21"/>
        </w:rPr>
        <w:t xml:space="preserve"> </w:t>
      </w:r>
      <w:r>
        <w:rPr>
          <w:sz w:val="21"/>
        </w:rPr>
        <w:t>bem</w:t>
      </w:r>
      <w:r>
        <w:rPr>
          <w:spacing w:val="-6"/>
          <w:sz w:val="21"/>
        </w:rPr>
        <w:t xml:space="preserve"> </w:t>
      </w:r>
      <w:r>
        <w:rPr>
          <w:sz w:val="21"/>
        </w:rPr>
        <w:t>como a carteira de eventuais fundos investidos, e podem ser consult</w:t>
      </w:r>
      <w:r>
        <w:rPr>
          <w:sz w:val="21"/>
        </w:rPr>
        <w:t>ados no link do website descrito adiante.</w:t>
      </w:r>
    </w:p>
    <w:p w:rsidR="00263A97" w:rsidRDefault="00D73B6D">
      <w:pPr>
        <w:pStyle w:val="PargrafodaLista"/>
        <w:numPr>
          <w:ilvl w:val="1"/>
          <w:numId w:val="1"/>
        </w:numPr>
        <w:tabs>
          <w:tab w:val="left" w:pos="1475"/>
        </w:tabs>
        <w:spacing w:before="122"/>
        <w:ind w:right="74" w:firstLine="0"/>
        <w:jc w:val="both"/>
        <w:rPr>
          <w:sz w:val="21"/>
        </w:rPr>
      </w:pPr>
      <w:r>
        <w:rPr>
          <w:sz w:val="21"/>
        </w:rPr>
        <w:t>O GESTOR e o ADMINISTRADOR podem utilizar métricas para aferir o nível de exposição da classe de cotas aos riscos, conforme mencionados no link do website descrito adiante.</w:t>
      </w:r>
    </w:p>
    <w:p w:rsidR="00263A97" w:rsidRDefault="00D73B6D">
      <w:pPr>
        <w:pStyle w:val="PargrafodaLista"/>
        <w:numPr>
          <w:ilvl w:val="2"/>
          <w:numId w:val="1"/>
        </w:numPr>
        <w:tabs>
          <w:tab w:val="left" w:pos="1755"/>
          <w:tab w:val="left" w:pos="1761"/>
        </w:tabs>
        <w:spacing w:before="117" w:line="242" w:lineRule="auto"/>
        <w:ind w:right="72" w:hanging="677"/>
        <w:jc w:val="both"/>
        <w:rPr>
          <w:sz w:val="21"/>
        </w:rPr>
      </w:pPr>
      <w:r>
        <w:rPr>
          <w:sz w:val="21"/>
        </w:rPr>
        <w:t>Os métodos utilizados para o gerenciamento dos riscos a que a classe de cotas se encontra sujeita</w:t>
      </w:r>
      <w:r>
        <w:rPr>
          <w:spacing w:val="-15"/>
          <w:sz w:val="21"/>
        </w:rPr>
        <w:t xml:space="preserve"> </w:t>
      </w:r>
      <w:r>
        <w:rPr>
          <w:sz w:val="21"/>
        </w:rPr>
        <w:t>não</w:t>
      </w:r>
      <w:r>
        <w:rPr>
          <w:spacing w:val="-15"/>
          <w:sz w:val="21"/>
        </w:rPr>
        <w:t xml:space="preserve"> </w:t>
      </w:r>
      <w:r>
        <w:rPr>
          <w:sz w:val="21"/>
        </w:rPr>
        <w:t>constituem</w:t>
      </w:r>
      <w:r>
        <w:rPr>
          <w:spacing w:val="-14"/>
          <w:sz w:val="21"/>
        </w:rPr>
        <w:t xml:space="preserve"> </w:t>
      </w:r>
      <w:r>
        <w:rPr>
          <w:sz w:val="21"/>
        </w:rPr>
        <w:t>garantia</w:t>
      </w:r>
      <w:r>
        <w:rPr>
          <w:spacing w:val="-15"/>
          <w:sz w:val="21"/>
        </w:rPr>
        <w:t xml:space="preserve"> </w:t>
      </w:r>
      <w:r>
        <w:rPr>
          <w:sz w:val="21"/>
        </w:rPr>
        <w:t>contra</w:t>
      </w:r>
      <w:r>
        <w:rPr>
          <w:spacing w:val="-14"/>
          <w:sz w:val="21"/>
        </w:rPr>
        <w:t xml:space="preserve"> </w:t>
      </w:r>
      <w:r>
        <w:rPr>
          <w:sz w:val="21"/>
        </w:rPr>
        <w:t>eventuais</w:t>
      </w:r>
      <w:r>
        <w:rPr>
          <w:spacing w:val="-15"/>
          <w:sz w:val="21"/>
        </w:rPr>
        <w:t xml:space="preserve"> </w:t>
      </w:r>
      <w:r>
        <w:rPr>
          <w:sz w:val="21"/>
        </w:rPr>
        <w:t>perdas</w:t>
      </w:r>
      <w:r>
        <w:rPr>
          <w:spacing w:val="-14"/>
          <w:sz w:val="21"/>
        </w:rPr>
        <w:t xml:space="preserve"> </w:t>
      </w:r>
      <w:r>
        <w:rPr>
          <w:sz w:val="21"/>
        </w:rPr>
        <w:t>patrimoniais</w:t>
      </w:r>
      <w:r>
        <w:rPr>
          <w:spacing w:val="-15"/>
          <w:sz w:val="21"/>
        </w:rPr>
        <w:t xml:space="preserve"> </w:t>
      </w:r>
      <w:r>
        <w:rPr>
          <w:sz w:val="21"/>
        </w:rPr>
        <w:t>que</w:t>
      </w:r>
      <w:r>
        <w:rPr>
          <w:spacing w:val="-13"/>
          <w:sz w:val="21"/>
        </w:rPr>
        <w:t xml:space="preserve"> </w:t>
      </w:r>
      <w:r>
        <w:rPr>
          <w:sz w:val="21"/>
        </w:rPr>
        <w:t>possam</w:t>
      </w:r>
      <w:r>
        <w:rPr>
          <w:spacing w:val="-13"/>
          <w:sz w:val="21"/>
        </w:rPr>
        <w:t xml:space="preserve"> </w:t>
      </w:r>
      <w:r>
        <w:rPr>
          <w:sz w:val="21"/>
        </w:rPr>
        <w:t>ser</w:t>
      </w:r>
      <w:r>
        <w:rPr>
          <w:spacing w:val="-15"/>
          <w:sz w:val="21"/>
        </w:rPr>
        <w:t xml:space="preserve"> </w:t>
      </w:r>
      <w:r>
        <w:rPr>
          <w:sz w:val="21"/>
        </w:rPr>
        <w:t>incorridas pela classe de cotas.</w:t>
      </w:r>
    </w:p>
    <w:p w:rsidR="00263A97" w:rsidRDefault="00D73B6D">
      <w:pPr>
        <w:pStyle w:val="PargrafodaLista"/>
        <w:numPr>
          <w:ilvl w:val="1"/>
          <w:numId w:val="1"/>
        </w:numPr>
        <w:tabs>
          <w:tab w:val="left" w:pos="1475"/>
        </w:tabs>
        <w:spacing w:before="113"/>
        <w:ind w:left="1475" w:hanging="678"/>
        <w:jc w:val="both"/>
        <w:rPr>
          <w:sz w:val="21"/>
        </w:rPr>
      </w:pPr>
      <w:r>
        <w:rPr>
          <w:sz w:val="21"/>
        </w:rPr>
        <w:t>Dentre</w:t>
      </w:r>
      <w:r>
        <w:rPr>
          <w:spacing w:val="-13"/>
          <w:sz w:val="21"/>
        </w:rPr>
        <w:t xml:space="preserve"> </w:t>
      </w:r>
      <w:r>
        <w:rPr>
          <w:sz w:val="21"/>
        </w:rPr>
        <w:t>os</w:t>
      </w:r>
      <w:r>
        <w:rPr>
          <w:spacing w:val="-5"/>
          <w:sz w:val="21"/>
        </w:rPr>
        <w:t xml:space="preserve"> </w:t>
      </w:r>
      <w:r>
        <w:rPr>
          <w:sz w:val="21"/>
        </w:rPr>
        <w:t>fatores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risco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7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7"/>
          <w:sz w:val="21"/>
        </w:rPr>
        <w:t xml:space="preserve"> </w:t>
      </w:r>
      <w:r>
        <w:rPr>
          <w:sz w:val="21"/>
        </w:rPr>
        <w:t>classe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cotas</w:t>
      </w:r>
      <w:r>
        <w:rPr>
          <w:spacing w:val="-1"/>
          <w:sz w:val="21"/>
        </w:rPr>
        <w:t xml:space="preserve"> </w:t>
      </w:r>
      <w:r>
        <w:rPr>
          <w:sz w:val="21"/>
        </w:rPr>
        <w:t>está</w:t>
      </w:r>
      <w:r>
        <w:rPr>
          <w:spacing w:val="-8"/>
          <w:sz w:val="21"/>
        </w:rPr>
        <w:t xml:space="preserve"> </w:t>
      </w:r>
      <w:r>
        <w:rPr>
          <w:sz w:val="21"/>
        </w:rPr>
        <w:t>sujeita,</w:t>
      </w:r>
      <w:r>
        <w:rPr>
          <w:spacing w:val="-3"/>
          <w:sz w:val="21"/>
        </w:rPr>
        <w:t xml:space="preserve"> </w:t>
      </w:r>
      <w:r>
        <w:rPr>
          <w:sz w:val="21"/>
        </w:rPr>
        <w:t>incluem-se,</w:t>
      </w:r>
      <w:r>
        <w:rPr>
          <w:spacing w:val="-4"/>
          <w:sz w:val="21"/>
        </w:rPr>
        <w:t xml:space="preserve"> </w:t>
      </w:r>
      <w:r>
        <w:rPr>
          <w:sz w:val="21"/>
        </w:rPr>
        <w:t>sem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limitação:</w:t>
      </w:r>
    </w:p>
    <w:p w:rsidR="00263A97" w:rsidRDefault="00D73B6D">
      <w:pPr>
        <w:pStyle w:val="Ttulo1"/>
        <w:spacing w:before="119"/>
        <w:ind w:left="1476" w:right="71"/>
        <w:jc w:val="both"/>
      </w:pPr>
      <w:r>
        <w:rPr>
          <w:u w:val="single"/>
        </w:rPr>
        <w:t>Risco de Mercado</w:t>
      </w:r>
      <w:r>
        <w:rPr>
          <w:rFonts w:ascii="Arial MT" w:hAnsi="Arial MT"/>
          <w:b w:val="0"/>
        </w:rPr>
        <w:t xml:space="preserve">, </w:t>
      </w:r>
      <w:r>
        <w:rPr>
          <w:u w:val="single"/>
        </w:rPr>
        <w:t>Risco Relacionado a Fatores Macroeconômicos e à Política</w:t>
      </w:r>
      <w:r>
        <w:t xml:space="preserve"> </w:t>
      </w:r>
      <w:r>
        <w:rPr>
          <w:u w:val="single"/>
        </w:rPr>
        <w:t>Governamental, Risco Regulatório e Judicial</w:t>
      </w:r>
      <w:r>
        <w:rPr>
          <w:rFonts w:ascii="Arial MT" w:hAnsi="Arial MT"/>
          <w:b w:val="0"/>
        </w:rPr>
        <w:t xml:space="preserve">, </w:t>
      </w:r>
      <w:r>
        <w:rPr>
          <w:u w:val="single"/>
        </w:rPr>
        <w:t>Risco de Concentração</w:t>
      </w:r>
      <w:r>
        <w:rPr>
          <w:rFonts w:ascii="Arial MT" w:hAnsi="Arial MT"/>
          <w:b w:val="0"/>
        </w:rPr>
        <w:t xml:space="preserve">, </w:t>
      </w:r>
      <w:r>
        <w:rPr>
          <w:u w:val="single"/>
        </w:rPr>
        <w:t>Dependência do</w:t>
      </w:r>
      <w:r>
        <w:t xml:space="preserve"> </w:t>
      </w:r>
      <w:r>
        <w:rPr>
          <w:u w:val="single"/>
        </w:rPr>
        <w:t>GESTOR</w:t>
      </w:r>
      <w:r>
        <w:rPr>
          <w:rFonts w:ascii="Arial MT" w:hAnsi="Arial MT"/>
          <w:b w:val="0"/>
        </w:rPr>
        <w:t xml:space="preserve">, </w:t>
      </w:r>
      <w:r>
        <w:rPr>
          <w:u w:val="single"/>
        </w:rPr>
        <w:t>Risco de Crédito, Risco de Liquidez</w:t>
      </w:r>
      <w:r>
        <w:rPr>
          <w:rFonts w:ascii="Arial MT" w:hAnsi="Arial MT"/>
          <w:b w:val="0"/>
        </w:rPr>
        <w:t xml:space="preserve">, </w:t>
      </w:r>
      <w:r>
        <w:rPr>
          <w:u w:val="single"/>
        </w:rPr>
        <w:t xml:space="preserve">Risco </w:t>
      </w:r>
      <w:r>
        <w:rPr>
          <w:u w:val="single"/>
        </w:rPr>
        <w:t>de Patrimônio Negativo</w:t>
      </w:r>
      <w:r>
        <w:rPr>
          <w:rFonts w:ascii="Arial MT" w:hAnsi="Arial MT"/>
          <w:b w:val="0"/>
        </w:rPr>
        <w:t xml:space="preserve">, </w:t>
      </w:r>
      <w:r>
        <w:rPr>
          <w:u w:val="single"/>
        </w:rPr>
        <w:t>Risco</w:t>
      </w:r>
      <w:r>
        <w:t xml:space="preserve"> </w:t>
      </w:r>
      <w:r>
        <w:rPr>
          <w:u w:val="single"/>
        </w:rPr>
        <w:t>Decorrente de Investimento em Fundos Estruturados.</w:t>
      </w:r>
    </w:p>
    <w:p w:rsidR="00263A97" w:rsidRDefault="00D73B6D">
      <w:pPr>
        <w:pStyle w:val="Corpodetexto"/>
        <w:spacing w:before="123"/>
        <w:ind w:left="1476" w:right="72"/>
        <w:jc w:val="both"/>
      </w:pPr>
      <w:r>
        <w:rPr>
          <w:rFonts w:ascii="Arial" w:hAnsi="Arial"/>
          <w:b/>
          <w:u w:val="single"/>
        </w:rPr>
        <w:t>Outros Riscos</w:t>
      </w:r>
      <w:r>
        <w:t>: Não há garantia de que a classe de cotas seja capaz de gerar retornos para os cotistas. Não há garantia de que os cotistas receberão qualquer distribuição da cl</w:t>
      </w:r>
      <w:r>
        <w:t>asse de cotas. Consequentemente, investimentos na classe de cotas somente devem ser realizados por investidores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possam</w:t>
      </w:r>
      <w:r>
        <w:rPr>
          <w:spacing w:val="-6"/>
        </w:rPr>
        <w:t xml:space="preserve"> </w:t>
      </w:r>
      <w:r>
        <w:t>lidar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possibilidade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perda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totalidade</w:t>
      </w:r>
      <w:r>
        <w:rPr>
          <w:spacing w:val="-9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investidos.</w:t>
      </w:r>
    </w:p>
    <w:p w:rsidR="00263A97" w:rsidRDefault="00D73B6D">
      <w:pPr>
        <w:spacing w:before="124"/>
        <w:ind w:left="1476" w:right="82"/>
        <w:jc w:val="both"/>
        <w:rPr>
          <w:sz w:val="20"/>
        </w:rPr>
      </w:pPr>
      <w:r>
        <w:rPr>
          <w:rFonts w:ascii="Arial" w:hAnsi="Arial"/>
          <w:b/>
          <w:sz w:val="20"/>
          <w:u w:val="single"/>
        </w:rPr>
        <w:t>Risco de Desenquadramento para Fins Tributários</w:t>
      </w:r>
      <w:r>
        <w:rPr>
          <w:sz w:val="20"/>
        </w:rPr>
        <w:t>: Caso (a) os ativos previstos na Aplicação Mínima nos Fundos Investidos deixem de satisfazer qualquer uma das condições previstas na Lei nº 14.754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neste</w:t>
      </w:r>
      <w:r>
        <w:rPr>
          <w:spacing w:val="-8"/>
          <w:sz w:val="20"/>
        </w:rPr>
        <w:t xml:space="preserve"> </w:t>
      </w:r>
      <w:r>
        <w:rPr>
          <w:sz w:val="20"/>
        </w:rPr>
        <w:t>Regulamento;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(b)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meio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alavancagem</w:t>
      </w:r>
      <w:proofErr w:type="gramEnd"/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Fundo</w:t>
      </w:r>
      <w:r>
        <w:rPr>
          <w:spacing w:val="-8"/>
          <w:sz w:val="20"/>
        </w:rPr>
        <w:t xml:space="preserve"> </w:t>
      </w:r>
      <w:r>
        <w:rPr>
          <w:sz w:val="20"/>
        </w:rPr>
        <w:t>não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mantenha a proporção de 95% </w:t>
      </w:r>
      <w:r>
        <w:rPr>
          <w:sz w:val="20"/>
        </w:rPr>
        <w:t>na Aplicação Mínima nos Fundos Investidos, não é possível garantir que estes ativos e, consequentemente, a classe continuarão a receber o tratamento tributário destinado ao Regime Específico dos Fundos Não Sujeitos à Tributação Periódica, de acordo com o p</w:t>
      </w:r>
      <w:r>
        <w:rPr>
          <w:sz w:val="20"/>
        </w:rPr>
        <w:t>revisto no capítulo de tributação.</w:t>
      </w:r>
    </w:p>
    <w:p w:rsidR="00263A97" w:rsidRDefault="00263A97">
      <w:pPr>
        <w:pStyle w:val="Corpodetexto"/>
        <w:spacing w:before="47"/>
        <w:rPr>
          <w:sz w:val="20"/>
        </w:rPr>
      </w:pPr>
    </w:p>
    <w:p w:rsidR="00263A97" w:rsidRDefault="00D73B6D">
      <w:pPr>
        <w:pStyle w:val="PargrafodaLista"/>
        <w:numPr>
          <w:ilvl w:val="1"/>
          <w:numId w:val="1"/>
        </w:numPr>
        <w:tabs>
          <w:tab w:val="left" w:pos="797"/>
        </w:tabs>
        <w:ind w:right="79" w:hanging="682"/>
        <w:jc w:val="left"/>
        <w:rPr>
          <w:sz w:val="21"/>
        </w:rPr>
      </w:pPr>
      <w:r>
        <w:rPr>
          <w:sz w:val="21"/>
        </w:rPr>
        <w:t xml:space="preserve">O inteiro teor dos fatores de riscos e a métrica completa adotada pelo GESTOR e o ADMINISTRADOR, descritos neste Capítulo, podem ser consultados no link: </w:t>
      </w:r>
      <w:hyperlink r:id="rId17">
        <w:r>
          <w:rPr>
            <w:sz w:val="21"/>
          </w:rPr>
          <w:t>http</w:t>
        </w:r>
        <w:r>
          <w:rPr>
            <w:sz w:val="21"/>
          </w:rPr>
          <w:t>://www.dillon.com.br/produtos/adm.html.</w:t>
        </w:r>
      </w:hyperlink>
    </w:p>
    <w:p w:rsidR="00263A97" w:rsidRDefault="00D73B6D">
      <w:pPr>
        <w:pStyle w:val="PargrafodaLista"/>
        <w:numPr>
          <w:ilvl w:val="2"/>
          <w:numId w:val="1"/>
        </w:numPr>
        <w:tabs>
          <w:tab w:val="left" w:pos="1755"/>
          <w:tab w:val="left" w:pos="1761"/>
        </w:tabs>
        <w:spacing w:before="122"/>
        <w:ind w:right="75" w:hanging="677"/>
        <w:jc w:val="both"/>
        <w:rPr>
          <w:sz w:val="21"/>
        </w:rPr>
      </w:pPr>
      <w:r>
        <w:rPr>
          <w:sz w:val="21"/>
        </w:rPr>
        <w:t>Os</w:t>
      </w:r>
      <w:r>
        <w:rPr>
          <w:spacing w:val="-13"/>
          <w:sz w:val="21"/>
        </w:rPr>
        <w:t xml:space="preserve"> </w:t>
      </w:r>
      <w:r>
        <w:rPr>
          <w:sz w:val="21"/>
        </w:rPr>
        <w:t>fatores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risco</w:t>
      </w:r>
      <w:r>
        <w:rPr>
          <w:spacing w:val="-15"/>
          <w:sz w:val="21"/>
        </w:rPr>
        <w:t xml:space="preserve"> </w:t>
      </w:r>
      <w:r>
        <w:rPr>
          <w:sz w:val="21"/>
        </w:rPr>
        <w:t>ora</w:t>
      </w:r>
      <w:r>
        <w:rPr>
          <w:spacing w:val="-15"/>
          <w:sz w:val="21"/>
        </w:rPr>
        <w:t xml:space="preserve"> </w:t>
      </w:r>
      <w:r>
        <w:rPr>
          <w:sz w:val="21"/>
        </w:rPr>
        <w:t>descritos</w:t>
      </w:r>
      <w:r>
        <w:rPr>
          <w:spacing w:val="-12"/>
          <w:sz w:val="21"/>
        </w:rPr>
        <w:t xml:space="preserve"> </w:t>
      </w:r>
      <w:r>
        <w:rPr>
          <w:sz w:val="21"/>
        </w:rPr>
        <w:t>poderão</w:t>
      </w:r>
      <w:r>
        <w:rPr>
          <w:spacing w:val="-13"/>
          <w:sz w:val="21"/>
        </w:rPr>
        <w:t xml:space="preserve"> </w:t>
      </w:r>
      <w:r>
        <w:rPr>
          <w:sz w:val="21"/>
        </w:rPr>
        <w:t>sofrer</w:t>
      </w:r>
      <w:r>
        <w:rPr>
          <w:spacing w:val="-13"/>
          <w:sz w:val="21"/>
        </w:rPr>
        <w:t xml:space="preserve"> </w:t>
      </w:r>
      <w:r>
        <w:rPr>
          <w:sz w:val="21"/>
        </w:rPr>
        <w:t>alterações</w:t>
      </w:r>
      <w:r>
        <w:rPr>
          <w:spacing w:val="-13"/>
          <w:sz w:val="21"/>
        </w:rPr>
        <w:t xml:space="preserve"> </w:t>
      </w:r>
      <w:r>
        <w:rPr>
          <w:sz w:val="21"/>
        </w:rPr>
        <w:t>circunstanciais,</w:t>
      </w:r>
      <w:r>
        <w:rPr>
          <w:spacing w:val="-13"/>
          <w:sz w:val="21"/>
        </w:rPr>
        <w:t xml:space="preserve"> </w:t>
      </w:r>
      <w:r>
        <w:rPr>
          <w:sz w:val="21"/>
        </w:rPr>
        <w:t>e,</w:t>
      </w:r>
      <w:r>
        <w:rPr>
          <w:spacing w:val="-13"/>
          <w:sz w:val="21"/>
        </w:rPr>
        <w:t xml:space="preserve"> </w:t>
      </w:r>
      <w:r>
        <w:rPr>
          <w:sz w:val="21"/>
        </w:rPr>
        <w:t>portanto,</w:t>
      </w:r>
      <w:r>
        <w:rPr>
          <w:spacing w:val="-11"/>
          <w:sz w:val="21"/>
        </w:rPr>
        <w:t xml:space="preserve"> </w:t>
      </w:r>
      <w:r>
        <w:rPr>
          <w:sz w:val="21"/>
        </w:rPr>
        <w:t>poderão ser</w:t>
      </w:r>
      <w:r>
        <w:rPr>
          <w:spacing w:val="-15"/>
          <w:sz w:val="21"/>
        </w:rPr>
        <w:t xml:space="preserve"> </w:t>
      </w:r>
      <w:r>
        <w:rPr>
          <w:sz w:val="21"/>
        </w:rPr>
        <w:t>reavaliados</w:t>
      </w:r>
      <w:r>
        <w:rPr>
          <w:spacing w:val="-15"/>
          <w:sz w:val="21"/>
        </w:rPr>
        <w:t xml:space="preserve"> </w:t>
      </w:r>
      <w:r>
        <w:rPr>
          <w:sz w:val="21"/>
        </w:rPr>
        <w:t>no</w:t>
      </w:r>
      <w:r>
        <w:rPr>
          <w:spacing w:val="-14"/>
          <w:sz w:val="21"/>
        </w:rPr>
        <w:t xml:space="preserve"> </w:t>
      </w:r>
      <w:r>
        <w:rPr>
          <w:sz w:val="21"/>
        </w:rPr>
        <w:t>devido</w:t>
      </w:r>
      <w:r>
        <w:rPr>
          <w:spacing w:val="-15"/>
          <w:sz w:val="21"/>
        </w:rPr>
        <w:t xml:space="preserve"> </w:t>
      </w:r>
      <w:r>
        <w:rPr>
          <w:sz w:val="21"/>
        </w:rPr>
        <w:t>contexto,</w:t>
      </w:r>
      <w:r>
        <w:rPr>
          <w:spacing w:val="-14"/>
          <w:sz w:val="21"/>
        </w:rPr>
        <w:t xml:space="preserve"> </w:t>
      </w:r>
      <w:r>
        <w:rPr>
          <w:sz w:val="21"/>
        </w:rPr>
        <w:t>a</w:t>
      </w:r>
      <w:r>
        <w:rPr>
          <w:spacing w:val="-15"/>
          <w:sz w:val="21"/>
        </w:rPr>
        <w:t xml:space="preserve"> </w:t>
      </w:r>
      <w:r>
        <w:rPr>
          <w:sz w:val="21"/>
        </w:rPr>
        <w:t>exclusivo</w:t>
      </w:r>
      <w:r>
        <w:rPr>
          <w:spacing w:val="-15"/>
          <w:sz w:val="21"/>
        </w:rPr>
        <w:t xml:space="preserve"> </w:t>
      </w:r>
      <w:r>
        <w:rPr>
          <w:sz w:val="21"/>
        </w:rPr>
        <w:t>critério</w:t>
      </w:r>
      <w:r>
        <w:rPr>
          <w:spacing w:val="-14"/>
          <w:sz w:val="21"/>
        </w:rPr>
        <w:t xml:space="preserve"> </w:t>
      </w:r>
      <w:r>
        <w:rPr>
          <w:sz w:val="21"/>
        </w:rPr>
        <w:t>dos</w:t>
      </w:r>
      <w:r>
        <w:rPr>
          <w:spacing w:val="-15"/>
          <w:sz w:val="21"/>
        </w:rPr>
        <w:t xml:space="preserve"> </w:t>
      </w:r>
      <w:r>
        <w:rPr>
          <w:sz w:val="21"/>
        </w:rPr>
        <w:t>Prestadores</w:t>
      </w:r>
      <w:r>
        <w:rPr>
          <w:spacing w:val="-14"/>
          <w:sz w:val="21"/>
        </w:rPr>
        <w:t xml:space="preserve"> </w:t>
      </w:r>
      <w:r>
        <w:rPr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z w:val="21"/>
        </w:rPr>
        <w:t>Serviços</w:t>
      </w:r>
      <w:r>
        <w:rPr>
          <w:spacing w:val="-15"/>
          <w:sz w:val="21"/>
        </w:rPr>
        <w:t xml:space="preserve"> </w:t>
      </w:r>
      <w:r>
        <w:rPr>
          <w:sz w:val="21"/>
        </w:rPr>
        <w:t>Essenciais. O ADMINISTRADOR esclarece que quaisquer mudanças no teor constante no link descrito acima serão devidamente informadas aos cotistas através do envio de fato relevante.</w:t>
      </w:r>
    </w:p>
    <w:p w:rsidR="00263A97" w:rsidRDefault="00D73B6D">
      <w:pPr>
        <w:pStyle w:val="PargrafodaLista"/>
        <w:numPr>
          <w:ilvl w:val="1"/>
          <w:numId w:val="1"/>
        </w:numPr>
        <w:tabs>
          <w:tab w:val="left" w:pos="1475"/>
        </w:tabs>
        <w:spacing w:before="118"/>
        <w:ind w:right="76" w:firstLine="0"/>
        <w:jc w:val="both"/>
        <w:rPr>
          <w:sz w:val="21"/>
        </w:rPr>
      </w:pPr>
      <w:r>
        <w:rPr>
          <w:sz w:val="21"/>
        </w:rPr>
        <w:t>Não obstante o emprego, pelo ADMINISTRADOR e pelo GESTOR, de plena diligênci</w:t>
      </w:r>
      <w:r>
        <w:rPr>
          <w:sz w:val="21"/>
        </w:rPr>
        <w:t>a e da boa prática de administração e gestão de fundos de investimento e da estrita observância da política de investimento</w:t>
      </w:r>
      <w:r>
        <w:rPr>
          <w:spacing w:val="-6"/>
          <w:sz w:val="21"/>
        </w:rPr>
        <w:t xml:space="preserve"> </w:t>
      </w:r>
      <w:r>
        <w:rPr>
          <w:sz w:val="21"/>
        </w:rPr>
        <w:t>definida</w:t>
      </w:r>
      <w:r>
        <w:rPr>
          <w:spacing w:val="-4"/>
          <w:sz w:val="21"/>
        </w:rPr>
        <w:t xml:space="preserve"> </w:t>
      </w:r>
      <w:r>
        <w:rPr>
          <w:sz w:val="21"/>
        </w:rPr>
        <w:t>no</w:t>
      </w:r>
      <w:r>
        <w:rPr>
          <w:spacing w:val="-6"/>
          <w:sz w:val="21"/>
        </w:rPr>
        <w:t xml:space="preserve"> </w:t>
      </w:r>
      <w:r>
        <w:rPr>
          <w:sz w:val="21"/>
        </w:rPr>
        <w:t>Anexo</w:t>
      </w:r>
      <w:r>
        <w:rPr>
          <w:spacing w:val="-7"/>
          <w:sz w:val="21"/>
        </w:rPr>
        <w:t xml:space="preserve"> </w:t>
      </w:r>
      <w:r>
        <w:rPr>
          <w:sz w:val="21"/>
        </w:rPr>
        <w:t>desta</w:t>
      </w:r>
      <w:r>
        <w:rPr>
          <w:spacing w:val="-7"/>
          <w:sz w:val="21"/>
        </w:rPr>
        <w:t xml:space="preserve"> </w:t>
      </w:r>
      <w:r>
        <w:rPr>
          <w:sz w:val="21"/>
        </w:rPr>
        <w:t>classe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cotas,</w:t>
      </w:r>
      <w:r>
        <w:rPr>
          <w:spacing w:val="-2"/>
          <w:sz w:val="21"/>
        </w:rPr>
        <w:t xml:space="preserve"> </w:t>
      </w:r>
      <w:r>
        <w:rPr>
          <w:sz w:val="21"/>
        </w:rPr>
        <w:t>das</w:t>
      </w:r>
      <w:r>
        <w:rPr>
          <w:spacing w:val="-4"/>
          <w:sz w:val="21"/>
        </w:rPr>
        <w:t xml:space="preserve"> </w:t>
      </w:r>
      <w:r>
        <w:rPr>
          <w:sz w:val="21"/>
        </w:rPr>
        <w:t>regras</w:t>
      </w:r>
      <w:r>
        <w:rPr>
          <w:spacing w:val="-4"/>
          <w:sz w:val="21"/>
        </w:rPr>
        <w:t xml:space="preserve"> </w:t>
      </w:r>
      <w:r>
        <w:rPr>
          <w:sz w:val="21"/>
        </w:rPr>
        <w:t>legais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6"/>
          <w:sz w:val="21"/>
        </w:rPr>
        <w:t xml:space="preserve"> </w:t>
      </w:r>
      <w:r>
        <w:rPr>
          <w:sz w:val="21"/>
        </w:rPr>
        <w:t>regulamentares</w:t>
      </w:r>
      <w:r>
        <w:rPr>
          <w:spacing w:val="-4"/>
          <w:sz w:val="21"/>
        </w:rPr>
        <w:t xml:space="preserve"> </w:t>
      </w:r>
      <w:r>
        <w:rPr>
          <w:sz w:val="21"/>
        </w:rPr>
        <w:t>em</w:t>
      </w:r>
      <w:r>
        <w:rPr>
          <w:spacing w:val="-2"/>
          <w:sz w:val="21"/>
        </w:rPr>
        <w:t xml:space="preserve"> </w:t>
      </w:r>
      <w:r>
        <w:rPr>
          <w:sz w:val="21"/>
        </w:rPr>
        <w:t>vigor,</w:t>
      </w:r>
      <w:r>
        <w:rPr>
          <w:spacing w:val="-2"/>
          <w:sz w:val="21"/>
        </w:rPr>
        <w:t xml:space="preserve"> </w:t>
      </w:r>
      <w:r>
        <w:rPr>
          <w:sz w:val="21"/>
        </w:rPr>
        <w:t>este estará sujeito a outros fatores de risco,</w:t>
      </w:r>
      <w:r>
        <w:rPr>
          <w:sz w:val="21"/>
        </w:rPr>
        <w:t xml:space="preserve"> que poderão ocasionar perdas ao seu patrimônio e, consequentemente, ao cotista.</w:t>
      </w:r>
    </w:p>
    <w:p w:rsidR="00263A97" w:rsidRDefault="00D73B6D">
      <w:pPr>
        <w:pStyle w:val="PargrafodaLista"/>
        <w:numPr>
          <w:ilvl w:val="1"/>
          <w:numId w:val="1"/>
        </w:numPr>
        <w:tabs>
          <w:tab w:val="left" w:pos="1475"/>
        </w:tabs>
        <w:spacing w:before="118"/>
        <w:ind w:right="75" w:firstLine="0"/>
        <w:jc w:val="both"/>
        <w:rPr>
          <w:sz w:val="21"/>
        </w:rPr>
      </w:pPr>
      <w:r>
        <w:rPr>
          <w:sz w:val="21"/>
        </w:rPr>
        <w:t xml:space="preserve">O GESTOR, visando proporcionar a melhor rentabilidade aos cotistas, </w:t>
      </w:r>
      <w:proofErr w:type="gramStart"/>
      <w:r>
        <w:rPr>
          <w:sz w:val="21"/>
        </w:rPr>
        <w:t>poderá,</w:t>
      </w:r>
      <w:proofErr w:type="gramEnd"/>
      <w:r>
        <w:rPr>
          <w:sz w:val="21"/>
        </w:rPr>
        <w:t xml:space="preserve"> respeitadas as limitações deste regulamento e da legislação, definir livremente o grau de concentração da carteira de aplicação da classe de cotas. Não</w:t>
      </w:r>
      <w:r>
        <w:rPr>
          <w:spacing w:val="-1"/>
          <w:sz w:val="21"/>
        </w:rPr>
        <w:t xml:space="preserve"> </w:t>
      </w:r>
      <w:r>
        <w:rPr>
          <w:sz w:val="21"/>
        </w:rPr>
        <w:t>obstante a</w:t>
      </w:r>
      <w:r>
        <w:rPr>
          <w:spacing w:val="-1"/>
          <w:sz w:val="21"/>
        </w:rPr>
        <w:t xml:space="preserve"> </w:t>
      </w:r>
      <w:r>
        <w:rPr>
          <w:sz w:val="21"/>
        </w:rPr>
        <w:t>diligência</w:t>
      </w:r>
      <w:r>
        <w:rPr>
          <w:spacing w:val="-1"/>
          <w:sz w:val="21"/>
        </w:rPr>
        <w:t xml:space="preserve"> </w:t>
      </w:r>
      <w:r>
        <w:rPr>
          <w:sz w:val="21"/>
        </w:rPr>
        <w:t>do GESTOR</w:t>
      </w:r>
      <w:r>
        <w:rPr>
          <w:spacing w:val="-6"/>
          <w:sz w:val="21"/>
        </w:rPr>
        <w:t xml:space="preserve"> </w:t>
      </w:r>
      <w:r>
        <w:rPr>
          <w:sz w:val="21"/>
        </w:rPr>
        <w:t>em selecionar as melhores opções de</w:t>
      </w:r>
      <w:r>
        <w:rPr>
          <w:spacing w:val="-15"/>
          <w:sz w:val="21"/>
        </w:rPr>
        <w:t xml:space="preserve"> </w:t>
      </w:r>
      <w:r>
        <w:rPr>
          <w:sz w:val="21"/>
        </w:rPr>
        <w:t>investimento,</w:t>
      </w:r>
      <w:r>
        <w:rPr>
          <w:spacing w:val="-15"/>
          <w:sz w:val="21"/>
        </w:rPr>
        <w:t xml:space="preserve"> </w:t>
      </w:r>
      <w:r>
        <w:rPr>
          <w:sz w:val="21"/>
        </w:rPr>
        <w:t>os</w:t>
      </w:r>
      <w:r>
        <w:rPr>
          <w:spacing w:val="-14"/>
          <w:sz w:val="21"/>
        </w:rPr>
        <w:t xml:space="preserve"> </w:t>
      </w:r>
      <w:r>
        <w:rPr>
          <w:sz w:val="21"/>
        </w:rPr>
        <w:t>investimentos</w:t>
      </w:r>
      <w:r>
        <w:rPr>
          <w:spacing w:val="-15"/>
          <w:sz w:val="21"/>
        </w:rPr>
        <w:t xml:space="preserve"> </w:t>
      </w:r>
      <w:r>
        <w:rPr>
          <w:sz w:val="21"/>
        </w:rPr>
        <w:t>da</w:t>
      </w:r>
      <w:r>
        <w:rPr>
          <w:spacing w:val="-14"/>
          <w:sz w:val="21"/>
        </w:rPr>
        <w:t xml:space="preserve"> </w:t>
      </w:r>
      <w:r>
        <w:rPr>
          <w:sz w:val="21"/>
        </w:rPr>
        <w:t>classe</w:t>
      </w:r>
      <w:r>
        <w:rPr>
          <w:spacing w:val="-15"/>
          <w:sz w:val="21"/>
        </w:rPr>
        <w:t xml:space="preserve"> </w:t>
      </w:r>
      <w:r>
        <w:rPr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z w:val="21"/>
        </w:rPr>
        <w:t>cotas</w:t>
      </w:r>
      <w:r>
        <w:rPr>
          <w:spacing w:val="-14"/>
          <w:sz w:val="21"/>
        </w:rPr>
        <w:t xml:space="preserve"> </w:t>
      </w:r>
      <w:r>
        <w:rPr>
          <w:sz w:val="21"/>
        </w:rPr>
        <w:t>estão,</w:t>
      </w:r>
      <w:r>
        <w:rPr>
          <w:spacing w:val="-15"/>
          <w:sz w:val="21"/>
        </w:rPr>
        <w:t xml:space="preserve"> </w:t>
      </w:r>
      <w:r>
        <w:rPr>
          <w:sz w:val="21"/>
        </w:rPr>
        <w:t>por</w:t>
      </w:r>
      <w:r>
        <w:rPr>
          <w:spacing w:val="-14"/>
          <w:sz w:val="21"/>
        </w:rPr>
        <w:t xml:space="preserve"> </w:t>
      </w:r>
      <w:r>
        <w:rPr>
          <w:sz w:val="21"/>
        </w:rPr>
        <w:t>sua</w:t>
      </w:r>
      <w:r>
        <w:rPr>
          <w:spacing w:val="-15"/>
          <w:sz w:val="21"/>
        </w:rPr>
        <w:t xml:space="preserve"> </w:t>
      </w:r>
      <w:r>
        <w:rPr>
          <w:sz w:val="21"/>
        </w:rPr>
        <w:t>própria</w:t>
      </w:r>
      <w:r>
        <w:rPr>
          <w:spacing w:val="-15"/>
          <w:sz w:val="21"/>
        </w:rPr>
        <w:t xml:space="preserve"> </w:t>
      </w:r>
      <w:r>
        <w:rPr>
          <w:sz w:val="21"/>
        </w:rPr>
        <w:t>natureza,</w:t>
      </w:r>
      <w:r>
        <w:rPr>
          <w:spacing w:val="-14"/>
          <w:sz w:val="21"/>
        </w:rPr>
        <w:t xml:space="preserve"> </w:t>
      </w:r>
      <w:r>
        <w:rPr>
          <w:sz w:val="21"/>
        </w:rPr>
        <w:t>sujeitos</w:t>
      </w:r>
      <w:r>
        <w:rPr>
          <w:spacing w:val="-15"/>
          <w:sz w:val="21"/>
        </w:rPr>
        <w:t xml:space="preserve"> </w:t>
      </w:r>
      <w:r>
        <w:rPr>
          <w:sz w:val="21"/>
        </w:rPr>
        <w:t>a</w:t>
      </w:r>
      <w:r>
        <w:rPr>
          <w:spacing w:val="-14"/>
          <w:sz w:val="21"/>
        </w:rPr>
        <w:t xml:space="preserve"> </w:t>
      </w:r>
      <w:r>
        <w:rPr>
          <w:sz w:val="21"/>
        </w:rPr>
        <w:t>flutuações típicas</w:t>
      </w:r>
      <w:r>
        <w:rPr>
          <w:spacing w:val="-1"/>
          <w:sz w:val="21"/>
        </w:rPr>
        <w:t xml:space="preserve"> </w:t>
      </w:r>
      <w:r>
        <w:rPr>
          <w:sz w:val="21"/>
        </w:rPr>
        <w:t>do</w:t>
      </w:r>
      <w:r>
        <w:rPr>
          <w:spacing w:val="-7"/>
          <w:sz w:val="21"/>
        </w:rPr>
        <w:t xml:space="preserve"> </w:t>
      </w:r>
      <w:r>
        <w:rPr>
          <w:sz w:val="21"/>
        </w:rPr>
        <w:t>mercado</w:t>
      </w:r>
      <w:r>
        <w:rPr>
          <w:spacing w:val="-3"/>
          <w:sz w:val="21"/>
        </w:rPr>
        <w:t xml:space="preserve"> </w:t>
      </w:r>
      <w:r>
        <w:rPr>
          <w:sz w:val="21"/>
        </w:rPr>
        <w:t>e</w:t>
      </w:r>
      <w:r>
        <w:rPr>
          <w:spacing w:val="-4"/>
          <w:sz w:val="21"/>
        </w:rPr>
        <w:t xml:space="preserve"> </w:t>
      </w:r>
      <w:r>
        <w:rPr>
          <w:sz w:val="21"/>
        </w:rPr>
        <w:t>a</w:t>
      </w:r>
      <w:r>
        <w:rPr>
          <w:spacing w:val="-6"/>
          <w:sz w:val="21"/>
        </w:rPr>
        <w:t xml:space="preserve"> </w:t>
      </w:r>
      <w:r>
        <w:rPr>
          <w:sz w:val="21"/>
        </w:rPr>
        <w:t>riscos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crédito,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podem gerar</w:t>
      </w:r>
      <w:r>
        <w:rPr>
          <w:spacing w:val="-3"/>
          <w:sz w:val="21"/>
        </w:rPr>
        <w:t xml:space="preserve"> </w:t>
      </w:r>
      <w:r>
        <w:rPr>
          <w:sz w:val="21"/>
        </w:rPr>
        <w:t>depreciação</w:t>
      </w:r>
      <w:r>
        <w:rPr>
          <w:spacing w:val="-3"/>
          <w:sz w:val="21"/>
        </w:rPr>
        <w:t xml:space="preserve"> </w:t>
      </w:r>
      <w:r>
        <w:rPr>
          <w:sz w:val="21"/>
        </w:rPr>
        <w:t>dos</w:t>
      </w:r>
      <w:r>
        <w:rPr>
          <w:spacing w:val="-1"/>
          <w:sz w:val="21"/>
        </w:rPr>
        <w:t xml:space="preserve"> </w:t>
      </w:r>
      <w:r>
        <w:rPr>
          <w:sz w:val="21"/>
        </w:rPr>
        <w:t>ativos</w:t>
      </w:r>
      <w:r>
        <w:rPr>
          <w:spacing w:val="-3"/>
          <w:sz w:val="21"/>
        </w:rPr>
        <w:t xml:space="preserve"> </w:t>
      </w:r>
      <w:r>
        <w:rPr>
          <w:sz w:val="21"/>
        </w:rPr>
        <w:t>financeiros</w:t>
      </w:r>
      <w:r>
        <w:rPr>
          <w:spacing w:val="-3"/>
          <w:sz w:val="21"/>
        </w:rPr>
        <w:t xml:space="preserve"> </w:t>
      </w:r>
      <w:r>
        <w:rPr>
          <w:sz w:val="21"/>
        </w:rPr>
        <w:t>da</w:t>
      </w:r>
      <w:r>
        <w:rPr>
          <w:spacing w:val="-3"/>
          <w:sz w:val="21"/>
        </w:rPr>
        <w:t xml:space="preserve"> </w:t>
      </w:r>
      <w:r>
        <w:rPr>
          <w:sz w:val="21"/>
        </w:rPr>
        <w:t xml:space="preserve">carteira </w:t>
      </w:r>
      <w:r>
        <w:rPr>
          <w:sz w:val="21"/>
        </w:rPr>
        <w:t>da classe de cotas, não atribuível a atuação do GESTOR.</w:t>
      </w:r>
    </w:p>
    <w:p w:rsidR="00263A97" w:rsidRDefault="00D73B6D">
      <w:pPr>
        <w:spacing w:before="125"/>
        <w:ind w:left="929" w:right="202"/>
        <w:jc w:val="center"/>
        <w:rPr>
          <w:sz w:val="21"/>
        </w:rPr>
      </w:pPr>
      <w:r>
        <w:rPr>
          <w:sz w:val="21"/>
        </w:rPr>
        <w:t>*</w:t>
      </w:r>
      <w:r>
        <w:rPr>
          <w:spacing w:val="-2"/>
          <w:sz w:val="21"/>
        </w:rPr>
        <w:t xml:space="preserve"> </w:t>
      </w:r>
      <w:r>
        <w:rPr>
          <w:sz w:val="21"/>
        </w:rPr>
        <w:t>*</w:t>
      </w:r>
      <w:r>
        <w:rPr>
          <w:spacing w:val="-6"/>
          <w:sz w:val="21"/>
        </w:rPr>
        <w:t xml:space="preserve"> </w:t>
      </w:r>
      <w:r>
        <w:rPr>
          <w:spacing w:val="-10"/>
          <w:sz w:val="21"/>
        </w:rPr>
        <w:t>*</w:t>
      </w:r>
    </w:p>
    <w:sectPr w:rsidR="00263A97">
      <w:pgSz w:w="11910" w:h="16840"/>
      <w:pgMar w:top="2220" w:right="992" w:bottom="380" w:left="283" w:header="1487" w:footer="18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B6D" w:rsidRDefault="00D73B6D">
      <w:r>
        <w:separator/>
      </w:r>
    </w:p>
  </w:endnote>
  <w:endnote w:type="continuationSeparator" w:id="0">
    <w:p w:rsidR="00D73B6D" w:rsidRDefault="00D7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1216" behindDoc="1" locked="0" layoutInCell="1" allowOverlap="1">
              <wp:simplePos x="0" y="0"/>
              <wp:positionH relativeFrom="page">
                <wp:posOffset>6504432</wp:posOffset>
              </wp:positionH>
              <wp:positionV relativeFrom="page">
                <wp:posOffset>10434475</wp:posOffset>
              </wp:positionV>
              <wp:extent cx="36703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703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CA66B1">
                            <w:rPr>
                              <w:noProof/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pacing w:val="-10"/>
                              <w:sz w:val="18"/>
                            </w:rPr>
                            <w:t>4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1" type="#_x0000_t202" style="position:absolute;margin-left:512.15pt;margin-top:821.6pt;width:28.9pt;height:12.1pt;z-index:-163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" filled="f" stroked="f">
              <v:path arrowok="t"/>
              <v:textbox inset="0,0,0,0">
                <w:txbxContent>
                  <w:p w:rsidR="00263A97" w:rsidRDefault="00D73B6D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 w:rsidR="00CA66B1">
                      <w:rPr>
                        <w:noProof/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proofErr w:type="gramStart"/>
                    <w:r>
                      <w:rPr>
                        <w:spacing w:val="-10"/>
                        <w:sz w:val="18"/>
                      </w:rPr>
                      <w:t>4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2240" behindDoc="1" locked="0" layoutInCell="1" allowOverlap="1">
              <wp:simplePos x="0" y="0"/>
              <wp:positionH relativeFrom="page">
                <wp:posOffset>6377939</wp:posOffset>
              </wp:positionH>
              <wp:positionV relativeFrom="page">
                <wp:posOffset>10434475</wp:posOffset>
              </wp:positionV>
              <wp:extent cx="428625" cy="1536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862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CA66B1">
                            <w:rPr>
                              <w:noProof/>
                              <w:sz w:val="18"/>
                            </w:rPr>
                            <w:t>9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3" type="#_x0000_t202" style="position:absolute;margin-left:502.2pt;margin-top:821.6pt;width:33.75pt;height:12.1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" filled="f" stroked="f">
              <v:path arrowok="t"/>
              <v:textbox inset="0,0,0,0">
                <w:txbxContent>
                  <w:p w:rsidR="00263A97" w:rsidRDefault="00D73B6D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 w:rsidR="00CA66B1">
                      <w:rPr>
                        <w:noProof/>
                        <w:sz w:val="18"/>
                      </w:rPr>
                      <w:t>9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3264" behindDoc="1" locked="0" layoutInCell="1" allowOverlap="1">
              <wp:simplePos x="0" y="0"/>
              <wp:positionH relativeFrom="page">
                <wp:posOffset>6403339</wp:posOffset>
              </wp:positionH>
              <wp:positionV relativeFrom="page">
                <wp:posOffset>10434475</wp:posOffset>
              </wp:positionV>
              <wp:extent cx="467359" cy="15367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7359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04.199982pt;margin-top:821.612244pt;width:36.8pt;height:12.1pt;mso-position-horizontal-relative:page;mso-position-vertical-relative:page;z-index:-16393216" type="#_x0000_t202" id="docshape1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4288" behindDoc="1" locked="0" layoutInCell="1" allowOverlap="1">
              <wp:simplePos x="0" y="0"/>
              <wp:positionH relativeFrom="page">
                <wp:posOffset>6403339</wp:posOffset>
              </wp:positionH>
              <wp:positionV relativeFrom="page">
                <wp:posOffset>10434475</wp:posOffset>
              </wp:positionV>
              <wp:extent cx="467359" cy="15367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7359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proofErr w:type="gramStart"/>
                          <w:r>
                            <w:rPr>
                              <w:sz w:val="18"/>
                            </w:rPr>
                            <w:t>1</w:t>
                          </w:r>
                          <w:proofErr w:type="gramEnd"/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CA66B1">
                            <w:rPr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7" type="#_x0000_t202" style="position:absolute;margin-left:504.2pt;margin-top:821.6pt;width:36.8pt;height:12.1pt;z-index:-163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" filled="f" stroked="f">
              <v:path arrowok="t"/>
              <v:textbox inset="0,0,0,0">
                <w:txbxContent>
                  <w:p w:rsidR="00263A97" w:rsidRDefault="00D73B6D">
                    <w:pPr>
                      <w:spacing w:before="14"/>
                      <w:ind w:left="20"/>
                      <w:rPr>
                        <w:sz w:val="18"/>
                      </w:rPr>
                    </w:pPr>
                    <w:proofErr w:type="gramStart"/>
                    <w:r>
                      <w:rPr>
                        <w:sz w:val="18"/>
                      </w:rPr>
                      <w:t>1</w:t>
                    </w:r>
                    <w:proofErr w:type="gramEnd"/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 w:rsidR="00CA66B1">
                      <w:rPr>
                        <w:noProof/>
                        <w:sz w:val="18"/>
                      </w:rPr>
                      <w:t>2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B6D" w:rsidRDefault="00D73B6D">
      <w:r>
        <w:separator/>
      </w:r>
    </w:p>
  </w:footnote>
  <w:footnote w:type="continuationSeparator" w:id="0">
    <w:p w:rsidR="00D73B6D" w:rsidRDefault="00D73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0704" behindDoc="1" locked="0" layoutInCell="1" allowOverlap="1">
              <wp:simplePos x="0" y="0"/>
              <wp:positionH relativeFrom="page">
                <wp:posOffset>675861</wp:posOffset>
              </wp:positionH>
              <wp:positionV relativeFrom="page">
                <wp:posOffset>922351</wp:posOffset>
              </wp:positionV>
              <wp:extent cx="6424654" cy="3467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24654" cy="346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Regulamento</w:t>
                          </w:r>
                        </w:p>
                        <w:p w:rsidR="00263A97" w:rsidRDefault="00D73B6D">
                          <w:pPr>
                            <w:spacing w:before="6"/>
                            <w:ind w:left="20"/>
                          </w:pPr>
                          <w:r w:rsidRPr="00CA66B1">
                            <w:rPr>
                              <w:sz w:val="20"/>
                              <w:szCs w:val="20"/>
                            </w:rPr>
                            <w:t>SUMMIT</w:t>
                          </w:r>
                          <w:r w:rsidRPr="00CA66B1">
                            <w:rPr>
                              <w:spacing w:val="-1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A66B1">
                            <w:rPr>
                              <w:sz w:val="20"/>
                              <w:szCs w:val="20"/>
                            </w:rPr>
                            <w:t>FUNDO</w:t>
                          </w:r>
                          <w:r w:rsidRPr="00CA66B1">
                            <w:rPr>
                              <w:spacing w:val="-1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A66B1">
                            <w:rPr>
                              <w:sz w:val="20"/>
                              <w:szCs w:val="20"/>
                            </w:rPr>
                            <w:t>DE</w:t>
                          </w:r>
                          <w:r w:rsidRPr="00CA66B1">
                            <w:rPr>
                              <w:spacing w:val="-1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A66B1">
                            <w:rPr>
                              <w:sz w:val="20"/>
                              <w:szCs w:val="20"/>
                            </w:rPr>
                            <w:t>INVESTIMENTO</w:t>
                          </w:r>
                          <w:r w:rsidRPr="00CA66B1">
                            <w:rPr>
                              <w:spacing w:val="-1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A66B1">
                            <w:rPr>
                              <w:sz w:val="20"/>
                              <w:szCs w:val="20"/>
                            </w:rPr>
                            <w:t>FINANCEIRO</w:t>
                          </w:r>
                          <w:r w:rsidRPr="00CA66B1">
                            <w:rPr>
                              <w:spacing w:val="-9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A66B1">
                            <w:rPr>
                              <w:spacing w:val="-2"/>
                              <w:sz w:val="20"/>
                              <w:szCs w:val="20"/>
                            </w:rPr>
                            <w:t>MULTIMERCADO</w:t>
                          </w:r>
                          <w:r w:rsidR="00CA66B1" w:rsidRPr="00CA66B1">
                            <w:rPr>
                              <w:spacing w:val="-2"/>
                              <w:sz w:val="20"/>
                              <w:szCs w:val="20"/>
                            </w:rPr>
                            <w:t xml:space="preserve"> RESPONSABILIDADE LIMITADA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53.2pt;margin-top:72.65pt;width:505.9pt;height:27.3pt;z-index:-163957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" filled="f" stroked="f">
              <v:path arrowok="t"/>
              <v:textbox inset="0,0,0,0">
                <w:txbxContent>
                  <w:p w:rsidR="00263A97" w:rsidRDefault="00D73B6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</w:rPr>
                      <w:t>Regulamento</w:t>
                    </w:r>
                  </w:p>
                  <w:p w:rsidR="00263A97" w:rsidRDefault="00D73B6D">
                    <w:pPr>
                      <w:spacing w:before="6"/>
                      <w:ind w:left="20"/>
                    </w:pPr>
                    <w:r w:rsidRPr="00CA66B1">
                      <w:rPr>
                        <w:sz w:val="20"/>
                        <w:szCs w:val="20"/>
                      </w:rPr>
                      <w:t>SUMMIT</w:t>
                    </w:r>
                    <w:r w:rsidRPr="00CA66B1">
                      <w:rPr>
                        <w:spacing w:val="-13"/>
                        <w:sz w:val="20"/>
                        <w:szCs w:val="20"/>
                      </w:rPr>
                      <w:t xml:space="preserve"> </w:t>
                    </w:r>
                    <w:r w:rsidRPr="00CA66B1">
                      <w:rPr>
                        <w:sz w:val="20"/>
                        <w:szCs w:val="20"/>
                      </w:rPr>
                      <w:t>FUNDO</w:t>
                    </w:r>
                    <w:r w:rsidRPr="00CA66B1">
                      <w:rPr>
                        <w:spacing w:val="-13"/>
                        <w:sz w:val="20"/>
                        <w:szCs w:val="20"/>
                      </w:rPr>
                      <w:t xml:space="preserve"> </w:t>
                    </w:r>
                    <w:r w:rsidRPr="00CA66B1">
                      <w:rPr>
                        <w:sz w:val="20"/>
                        <w:szCs w:val="20"/>
                      </w:rPr>
                      <w:t>DE</w:t>
                    </w:r>
                    <w:r w:rsidRPr="00CA66B1">
                      <w:rPr>
                        <w:spacing w:val="-16"/>
                        <w:sz w:val="20"/>
                        <w:szCs w:val="20"/>
                      </w:rPr>
                      <w:t xml:space="preserve"> </w:t>
                    </w:r>
                    <w:r w:rsidRPr="00CA66B1">
                      <w:rPr>
                        <w:sz w:val="20"/>
                        <w:szCs w:val="20"/>
                      </w:rPr>
                      <w:t>INVESTIMENTO</w:t>
                    </w:r>
                    <w:r w:rsidRPr="00CA66B1">
                      <w:rPr>
                        <w:spacing w:val="-10"/>
                        <w:sz w:val="20"/>
                        <w:szCs w:val="20"/>
                      </w:rPr>
                      <w:t xml:space="preserve"> </w:t>
                    </w:r>
                    <w:r w:rsidRPr="00CA66B1">
                      <w:rPr>
                        <w:sz w:val="20"/>
                        <w:szCs w:val="20"/>
                      </w:rPr>
                      <w:t>FINANCEIRO</w:t>
                    </w:r>
                    <w:r w:rsidRPr="00CA66B1">
                      <w:rPr>
                        <w:spacing w:val="-9"/>
                        <w:sz w:val="20"/>
                        <w:szCs w:val="20"/>
                      </w:rPr>
                      <w:t xml:space="preserve"> </w:t>
                    </w:r>
                    <w:r w:rsidRPr="00CA66B1">
                      <w:rPr>
                        <w:spacing w:val="-2"/>
                        <w:sz w:val="20"/>
                        <w:szCs w:val="20"/>
                      </w:rPr>
                      <w:t>MULTIMERCADO</w:t>
                    </w:r>
                    <w:r w:rsidR="00CA66B1" w:rsidRPr="00CA66B1">
                      <w:rPr>
                        <w:spacing w:val="-2"/>
                        <w:sz w:val="20"/>
                        <w:szCs w:val="20"/>
                      </w:rPr>
                      <w:t xml:space="preserve"> RESPONSABILIDADE LIMITADA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1728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931740</wp:posOffset>
              </wp:positionV>
              <wp:extent cx="5336540" cy="4965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6540" cy="4965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3" w:line="246" w:lineRule="exact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ao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 xml:space="preserve"> Regulamento</w:t>
                          </w:r>
                        </w:p>
                        <w:p w:rsidR="00263A97" w:rsidRDefault="00D73B6D">
                          <w:pPr>
                            <w:spacing w:line="242" w:lineRule="auto"/>
                            <w:ind w:left="20"/>
                          </w:pPr>
                          <w:r>
                            <w:t>CLASSE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ÚNICA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COTAS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SUMMIT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FUNDO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INVESTIMENTO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 xml:space="preserve">FINANCEIRO </w:t>
                          </w:r>
                          <w:r>
                            <w:rPr>
                              <w:spacing w:val="-2"/>
                            </w:rPr>
                            <w:t>MULTIMERCADO</w:t>
                          </w:r>
                          <w:r w:rsidR="00CA66B1">
                            <w:rPr>
                              <w:spacing w:val="-2"/>
                            </w:rPr>
                            <w:t xml:space="preserve"> RESPONSABILIDADE LIMITADA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2" type="#_x0000_t202" style="position:absolute;margin-left:53pt;margin-top:73.35pt;width:420.2pt;height:39.1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" filled="f" stroked="f">
              <v:path arrowok="t"/>
              <v:textbox inset="0,0,0,0">
                <w:txbxContent>
                  <w:p w:rsidR="00263A97" w:rsidRDefault="00D73B6D">
                    <w:pPr>
                      <w:spacing w:before="13" w:line="246" w:lineRule="exact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ao</w:t>
                    </w:r>
                    <w:r>
                      <w:rPr>
                        <w:rFonts w:ascii="Arial"/>
                        <w:b/>
                        <w:spacing w:val="-2"/>
                      </w:rPr>
                      <w:t xml:space="preserve"> Regulamento</w:t>
                    </w:r>
                  </w:p>
                  <w:p w:rsidR="00263A97" w:rsidRDefault="00D73B6D">
                    <w:pPr>
                      <w:spacing w:line="242" w:lineRule="auto"/>
                      <w:ind w:left="20"/>
                    </w:pPr>
                    <w:r>
                      <w:t>CLASSE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t>ÚNICA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COTAS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DO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SUMMIT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FUNDO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t>INVESTIMENTO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 xml:space="preserve">FINANCEIRO </w:t>
                    </w:r>
                    <w:r>
                      <w:rPr>
                        <w:spacing w:val="-2"/>
                      </w:rPr>
                      <w:t>MULTIMERCADO</w:t>
                    </w:r>
                    <w:r w:rsidR="00CA66B1">
                      <w:rPr>
                        <w:spacing w:val="-2"/>
                      </w:rPr>
                      <w:t xml:space="preserve"> RESPONSABILIDADE LIMITADA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2752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931740</wp:posOffset>
              </wp:positionV>
              <wp:extent cx="5336540" cy="49657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6540" cy="4965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3" w:line="246" w:lineRule="exact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ao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 xml:space="preserve"> Regulamento</w:t>
                          </w:r>
                        </w:p>
                        <w:p w:rsidR="00263A97" w:rsidRDefault="00D73B6D">
                          <w:pPr>
                            <w:spacing w:line="242" w:lineRule="auto"/>
                            <w:ind w:left="20"/>
                          </w:pPr>
                          <w:r>
                            <w:t>CLASSE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ÚNICA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COTAS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SUMMIT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FUNDO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INVESTIMENTO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 xml:space="preserve">FINANCEIRO </w:t>
                          </w:r>
                          <w:r>
                            <w:rPr>
                              <w:spacing w:val="-2"/>
                            </w:rPr>
                            <w:t>MULTIMERCADO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3pt;margin-top:73.365379pt;width:420.2pt;height:39.1pt;mso-position-horizontal-relative:page;mso-position-vertical-relative:page;z-index:-16393728" type="#_x0000_t202" id="docshape11" filled="false" stroked="false">
              <v:textbox inset="0,0,0,0">
                <w:txbxContent>
                  <w:p>
                    <w:pPr>
                      <w:spacing w:line="246" w:lineRule="exact"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z w:val="22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ao</w:t>
                    </w: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 Regulamento</w:t>
                    </w:r>
                  </w:p>
                  <w:p>
                    <w:pPr>
                      <w:spacing w:line="242" w:lineRule="auto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CLASSE</w:t>
                    </w:r>
                    <w:r>
                      <w:rPr>
                        <w:spacing w:val="-1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ÚNICA</w:t>
                    </w:r>
                    <w:r>
                      <w:rPr>
                        <w:spacing w:val="-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COTAS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SUMMIT</w:t>
                    </w:r>
                    <w:r>
                      <w:rPr>
                        <w:spacing w:val="-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FUNDO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</w:t>
                    </w:r>
                    <w:r>
                      <w:rPr>
                        <w:spacing w:val="-1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INVESTIMENTO</w:t>
                    </w:r>
                    <w:r>
                      <w:rPr>
                        <w:spacing w:val="-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FINANCEIRO </w:t>
                    </w:r>
                    <w:r>
                      <w:rPr>
                        <w:spacing w:val="-2"/>
                        <w:sz w:val="22"/>
                      </w:rPr>
                      <w:t>MULTIMERCADO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A97" w:rsidRDefault="00D73B6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923776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931740</wp:posOffset>
              </wp:positionV>
              <wp:extent cx="5336540" cy="49657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6540" cy="4965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3A97" w:rsidRDefault="00D73B6D">
                          <w:pPr>
                            <w:spacing w:before="13" w:line="246" w:lineRule="exact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ao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 xml:space="preserve"> Regulamento</w:t>
                          </w:r>
                        </w:p>
                        <w:p w:rsidR="00263A97" w:rsidRDefault="00D73B6D">
                          <w:pPr>
                            <w:spacing w:line="242" w:lineRule="auto"/>
                            <w:ind w:left="20"/>
                          </w:pPr>
                          <w:r>
                            <w:t>CLASSE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ÚNICA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COTAS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SUMMIT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FUNDO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INVESTIMENTO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 xml:space="preserve">FINANCEIRO </w:t>
                          </w:r>
                          <w:r>
                            <w:rPr>
                              <w:spacing w:val="-2"/>
                            </w:rPr>
                            <w:t>MULTIMERCADO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3pt;margin-top:73.365379pt;width:420.2pt;height:39.1pt;mso-position-horizontal-relative:page;mso-position-vertical-relative:page;z-index:-16392704" type="#_x0000_t202" id="docshape13" filled="false" stroked="false">
              <v:textbox inset="0,0,0,0">
                <w:txbxContent>
                  <w:p>
                    <w:pPr>
                      <w:spacing w:line="246" w:lineRule="exact"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z w:val="22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ao</w:t>
                    </w: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 Regulamento</w:t>
                    </w:r>
                  </w:p>
                  <w:p>
                    <w:pPr>
                      <w:spacing w:line="242" w:lineRule="auto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CLASSE</w:t>
                    </w:r>
                    <w:r>
                      <w:rPr>
                        <w:spacing w:val="-1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ÚNICA</w:t>
                    </w:r>
                    <w:r>
                      <w:rPr>
                        <w:spacing w:val="-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COTAS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SUMMIT</w:t>
                    </w:r>
                    <w:r>
                      <w:rPr>
                        <w:spacing w:val="-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FUNDO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</w:t>
                    </w:r>
                    <w:r>
                      <w:rPr>
                        <w:spacing w:val="-1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INVESTIMENTO</w:t>
                    </w:r>
                    <w:r>
                      <w:rPr>
                        <w:spacing w:val="-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FINANCEIRO </w:t>
                    </w:r>
                    <w:r>
                      <w:rPr>
                        <w:spacing w:val="-2"/>
                        <w:sz w:val="22"/>
                      </w:rPr>
                      <w:t>MULTIMERCADO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D51"/>
    <w:multiLevelType w:val="multilevel"/>
    <w:tmpl w:val="1DF4844E"/>
    <w:lvl w:ilvl="0">
      <w:start w:val="3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55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4042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83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5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6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7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680"/>
      </w:pPr>
      <w:rPr>
        <w:rFonts w:hint="default"/>
        <w:lang w:val="pt-PT" w:eastAsia="en-US" w:bidi="ar-SA"/>
      </w:rPr>
    </w:lvl>
  </w:abstractNum>
  <w:abstractNum w:abstractNumId="1">
    <w:nsid w:val="07947484"/>
    <w:multiLevelType w:val="multilevel"/>
    <w:tmpl w:val="35C6747A"/>
    <w:lvl w:ilvl="0">
      <w:start w:val="2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61" w:hanging="675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731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7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2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8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4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9" w:hanging="675"/>
      </w:pPr>
      <w:rPr>
        <w:rFonts w:hint="default"/>
        <w:lang w:val="pt-PT" w:eastAsia="en-US" w:bidi="ar-SA"/>
      </w:rPr>
    </w:lvl>
  </w:abstractNum>
  <w:abstractNum w:abstractNumId="2">
    <w:nsid w:val="0E49418C"/>
    <w:multiLevelType w:val="multilevel"/>
    <w:tmpl w:val="DF5C74E4"/>
    <w:lvl w:ilvl="0">
      <w:start w:val="5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66" w:hanging="6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9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2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5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8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680"/>
      </w:pPr>
      <w:rPr>
        <w:rFonts w:hint="default"/>
        <w:lang w:val="pt-PT" w:eastAsia="en-US" w:bidi="ar-SA"/>
      </w:rPr>
    </w:lvl>
  </w:abstractNum>
  <w:abstractNum w:abstractNumId="3">
    <w:nsid w:val="11830984"/>
    <w:multiLevelType w:val="multilevel"/>
    <w:tmpl w:val="B6EABCCE"/>
    <w:lvl w:ilvl="0">
      <w:start w:val="3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66" w:hanging="6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9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2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5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8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680"/>
      </w:pPr>
      <w:rPr>
        <w:rFonts w:hint="default"/>
        <w:lang w:val="pt-PT" w:eastAsia="en-US" w:bidi="ar-SA"/>
      </w:rPr>
    </w:lvl>
  </w:abstractNum>
  <w:abstractNum w:abstractNumId="4">
    <w:nsid w:val="11C84EC2"/>
    <w:multiLevelType w:val="multilevel"/>
    <w:tmpl w:val="E50A310C"/>
    <w:lvl w:ilvl="0">
      <w:start w:val="6"/>
      <w:numFmt w:val="decimal"/>
      <w:lvlText w:val="%1"/>
      <w:lvlJc w:val="left"/>
      <w:pPr>
        <w:ind w:left="1476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6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310" w:hanging="6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5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0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55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0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5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1" w:hanging="680"/>
      </w:pPr>
      <w:rPr>
        <w:rFonts w:hint="default"/>
        <w:lang w:val="pt-PT" w:eastAsia="en-US" w:bidi="ar-SA"/>
      </w:rPr>
    </w:lvl>
  </w:abstractNum>
  <w:abstractNum w:abstractNumId="5">
    <w:nsid w:val="1F3162AC"/>
    <w:multiLevelType w:val="multilevel"/>
    <w:tmpl w:val="0F9E99CA"/>
    <w:lvl w:ilvl="0">
      <w:start w:val="5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66" w:hanging="6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9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2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5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8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680"/>
      </w:pPr>
      <w:rPr>
        <w:rFonts w:hint="default"/>
        <w:lang w:val="pt-PT" w:eastAsia="en-US" w:bidi="ar-SA"/>
      </w:rPr>
    </w:lvl>
  </w:abstractNum>
  <w:abstractNum w:abstractNumId="6">
    <w:nsid w:val="34724988"/>
    <w:multiLevelType w:val="multilevel"/>
    <w:tmpl w:val="48263558"/>
    <w:lvl w:ilvl="0">
      <w:start w:val="7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55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218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7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6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5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4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3" w:hanging="680"/>
      </w:pPr>
      <w:rPr>
        <w:rFonts w:hint="default"/>
        <w:lang w:val="pt-PT" w:eastAsia="en-US" w:bidi="ar-SA"/>
      </w:rPr>
    </w:lvl>
  </w:abstractNum>
  <w:abstractNum w:abstractNumId="7">
    <w:nsid w:val="49DA6B88"/>
    <w:multiLevelType w:val="multilevel"/>
    <w:tmpl w:val="BE6484A8"/>
    <w:lvl w:ilvl="0">
      <w:start w:val="1"/>
      <w:numFmt w:val="decimal"/>
      <w:lvlText w:val="%1"/>
      <w:lvlJc w:val="left"/>
      <w:pPr>
        <w:ind w:left="1476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6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310" w:hanging="6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5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0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55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0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5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1" w:hanging="680"/>
      </w:pPr>
      <w:rPr>
        <w:rFonts w:hint="default"/>
        <w:lang w:val="pt-PT" w:eastAsia="en-US" w:bidi="ar-SA"/>
      </w:rPr>
    </w:lvl>
  </w:abstractNum>
  <w:abstractNum w:abstractNumId="8">
    <w:nsid w:val="57226F42"/>
    <w:multiLevelType w:val="multilevel"/>
    <w:tmpl w:val="94A88C34"/>
    <w:lvl w:ilvl="0">
      <w:start w:val="4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61" w:hanging="675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731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7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2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8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4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9" w:hanging="675"/>
      </w:pPr>
      <w:rPr>
        <w:rFonts w:hint="default"/>
        <w:lang w:val="pt-PT" w:eastAsia="en-US" w:bidi="ar-SA"/>
      </w:rPr>
    </w:lvl>
  </w:abstractNum>
  <w:abstractNum w:abstractNumId="9">
    <w:nsid w:val="5E3555A5"/>
    <w:multiLevelType w:val="multilevel"/>
    <w:tmpl w:val="2034B60C"/>
    <w:lvl w:ilvl="0">
      <w:start w:val="2"/>
      <w:numFmt w:val="decimal"/>
      <w:lvlText w:val="%1"/>
      <w:lvlJc w:val="left"/>
      <w:pPr>
        <w:ind w:left="1476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6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310" w:hanging="6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5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0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55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0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5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1" w:hanging="680"/>
      </w:pPr>
      <w:rPr>
        <w:rFonts w:hint="default"/>
        <w:lang w:val="pt-PT" w:eastAsia="en-US" w:bidi="ar-SA"/>
      </w:rPr>
    </w:lvl>
  </w:abstractNum>
  <w:abstractNum w:abstractNumId="10">
    <w:nsid w:val="60DC1D3F"/>
    <w:multiLevelType w:val="multilevel"/>
    <w:tmpl w:val="659EC46C"/>
    <w:lvl w:ilvl="0">
      <w:start w:val="8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righ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61" w:hanging="675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731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7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2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8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4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9" w:hanging="675"/>
      </w:pPr>
      <w:rPr>
        <w:rFonts w:hint="default"/>
        <w:lang w:val="pt-PT" w:eastAsia="en-US" w:bidi="ar-SA"/>
      </w:rPr>
    </w:lvl>
  </w:abstractNum>
  <w:abstractNum w:abstractNumId="11">
    <w:nsid w:val="653453B0"/>
    <w:multiLevelType w:val="multilevel"/>
    <w:tmpl w:val="FB160064"/>
    <w:lvl w:ilvl="0">
      <w:start w:val="1"/>
      <w:numFmt w:val="decimal"/>
      <w:lvlText w:val="%1"/>
      <w:lvlJc w:val="left"/>
      <w:pPr>
        <w:ind w:left="1477" w:hanging="6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7" w:hanging="681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310" w:hanging="6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5" w:hanging="6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0" w:hanging="6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55" w:hanging="6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0" w:hanging="6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5" w:hanging="6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1" w:hanging="681"/>
      </w:pPr>
      <w:rPr>
        <w:rFonts w:hint="default"/>
        <w:lang w:val="pt-PT" w:eastAsia="en-US" w:bidi="ar-SA"/>
      </w:rPr>
    </w:lvl>
  </w:abstractNum>
  <w:abstractNum w:abstractNumId="12">
    <w:nsid w:val="7FF819F0"/>
    <w:multiLevelType w:val="multilevel"/>
    <w:tmpl w:val="3FE6E3BA"/>
    <w:lvl w:ilvl="0">
      <w:start w:val="4"/>
      <w:numFmt w:val="decimal"/>
      <w:lvlText w:val="%1"/>
      <w:lvlJc w:val="left"/>
      <w:pPr>
        <w:ind w:left="797" w:hanging="6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7" w:hanging="680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61" w:hanging="677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731" w:hanging="6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7" w:hanging="6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2" w:hanging="6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8" w:hanging="6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4" w:hanging="6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9" w:hanging="677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2"/>
  </w:num>
  <w:num w:numId="5">
    <w:abstractNumId w:val="12"/>
  </w:num>
  <w:num w:numId="6">
    <w:abstractNumId w:val="0"/>
  </w:num>
  <w:num w:numId="7">
    <w:abstractNumId w:val="9"/>
  </w:num>
  <w:num w:numId="8">
    <w:abstractNumId w:val="7"/>
  </w:num>
  <w:num w:numId="9">
    <w:abstractNumId w:val="5"/>
  </w:num>
  <w:num w:numId="10">
    <w:abstractNumId w:val="8"/>
  </w:num>
  <w:num w:numId="11">
    <w:abstractNumId w:val="3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63A97"/>
    <w:rsid w:val="00263A97"/>
    <w:rsid w:val="00CA66B1"/>
    <w:rsid w:val="00D7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797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1"/>
      <w:ind w:left="727" w:right="40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9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A66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66B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A66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66B1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797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1"/>
      <w:ind w:left="727" w:right="40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9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A66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66B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A66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66B1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5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dillon.com.br/produtos/adm.html" TargetMode="Externa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://www.dillon.com.br/index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5797</Words>
  <Characters>31309</Characters>
  <Application>Microsoft Office Word</Application>
  <DocSecurity>0</DocSecurity>
  <Lines>260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Summit - Regulamento - 29.07.2025</vt:lpstr>
    </vt:vector>
  </TitlesOfParts>
  <Company/>
  <LinksUpToDate>false</LinksUpToDate>
  <CharactersWithSpaces>37032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Summit - Regulamento - 29.07.2025</dc:title>
  <dc:creator>Wins</dc:creator>
  <cp:lastModifiedBy>Wins</cp:lastModifiedBy>
  <cp:revision>2</cp:revision>
  <dcterms:created xsi:type="dcterms:W3CDTF">2026-01-18T23:09:00Z</dcterms:created>
  <dcterms:modified xsi:type="dcterms:W3CDTF">2026-01-18T23:09:00Z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2025-07-29T00:00:00Z</vt:filetime>
  </property>
  <property fmtid="{D5CDD505-2E9C-101B-9397-08002B2CF9AE}" pid="3" name="LastSaved">
    <vt:filetime>2026-01-18T00:00:00Z</vt:filetime>
  </property>
  <property fmtid="{D5CDD505-2E9C-101B-9397-08002B2CF9AE}" pid="4" name="Producer">
    <vt:lpwstr>Microsoft: Print To PDF</vt:lpwstr>
  </property>
</Properties>
</file>