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0A746" w14:textId="77777777" w:rsidR="00B81A56" w:rsidRPr="00B81A56" w:rsidRDefault="00B81A56" w:rsidP="00B81A56">
      <w:pPr>
        <w:spacing w:after="0"/>
        <w:jc w:val="center"/>
        <w:rPr>
          <w:rFonts w:ascii="Arial" w:hAnsi="Arial" w:cs="Arial"/>
          <w:b/>
          <w:bCs/>
          <w:sz w:val="20"/>
          <w:szCs w:val="20"/>
        </w:rPr>
      </w:pPr>
      <w:r w:rsidRPr="00B81A56">
        <w:rPr>
          <w:rFonts w:ascii="Arial" w:hAnsi="Arial" w:cs="Arial"/>
          <w:b/>
          <w:bCs/>
          <w:sz w:val="20"/>
          <w:szCs w:val="20"/>
        </w:rPr>
        <w:t>REGULAMENTO DO SANTANDER PB EVOLUTION 7851 INVESTIMENTO EM INFRAESTRUTURA RENDA FIXA - FUNDO DE INVESTIMENTO FINANCEIRO RESPONSABILIDADE LIMITADA</w:t>
      </w:r>
    </w:p>
    <w:p w14:paraId="2EC36C6E" w14:textId="13200B64" w:rsidR="0012126D" w:rsidRDefault="00B81A56" w:rsidP="00B81A56">
      <w:pPr>
        <w:spacing w:after="0"/>
        <w:jc w:val="center"/>
        <w:rPr>
          <w:rFonts w:ascii="Arial" w:hAnsi="Arial" w:cs="Arial"/>
          <w:b/>
          <w:bCs/>
          <w:sz w:val="20"/>
          <w:szCs w:val="20"/>
        </w:rPr>
      </w:pPr>
      <w:r w:rsidRPr="00B81A56">
        <w:rPr>
          <w:rFonts w:ascii="Arial" w:hAnsi="Arial" w:cs="Arial"/>
          <w:b/>
          <w:bCs/>
          <w:sz w:val="20"/>
          <w:szCs w:val="20"/>
        </w:rPr>
        <w:t>CNPJ: N/A – Classe Única / 53.775.856/0001-03</w:t>
      </w:r>
    </w:p>
    <w:p w14:paraId="5C581070" w14:textId="77777777" w:rsidR="00B81A56" w:rsidRPr="00B81A56" w:rsidRDefault="00B81A56" w:rsidP="00B81A56">
      <w:pPr>
        <w:spacing w:after="0"/>
        <w:jc w:val="center"/>
        <w:rPr>
          <w:rFonts w:ascii="Arial" w:hAnsi="Arial" w:cs="Arial"/>
          <w:b/>
          <w:bCs/>
          <w:sz w:val="20"/>
          <w:szCs w:val="20"/>
        </w:rPr>
      </w:pPr>
    </w:p>
    <w:p w14:paraId="1A2382D1" w14:textId="51F5E551" w:rsidR="0012126D" w:rsidRPr="00BE0B51" w:rsidRDefault="0012126D" w:rsidP="00B81A5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118D1" w:rsidRPr="006118D1">
        <w:rPr>
          <w:rFonts w:ascii="Arial" w:hAnsi="Arial" w:cs="Arial"/>
          <w:sz w:val="20"/>
          <w:szCs w:val="20"/>
        </w:rPr>
        <w:t>1</w:t>
      </w:r>
      <w:r w:rsidR="00B81A56">
        <w:rPr>
          <w:rFonts w:ascii="Arial" w:hAnsi="Arial" w:cs="Arial"/>
          <w:sz w:val="20"/>
          <w:szCs w:val="20"/>
        </w:rPr>
        <w:t>8</w:t>
      </w:r>
      <w:r w:rsidR="006118D1" w:rsidRPr="006118D1">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1"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333FEB9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6118D1">
              <w:rPr>
                <w:rFonts w:ascii="Arial" w:hAnsi="Arial" w:cs="Arial"/>
                <w:sz w:val="20"/>
                <w:szCs w:val="20"/>
              </w:rPr>
              <w:t>maio</w:t>
            </w:r>
            <w:r w:rsidRPr="00B96ECE">
              <w:rPr>
                <w:rFonts w:ascii="Arial" w:hAnsi="Arial" w:cs="Arial"/>
                <w:sz w:val="20"/>
                <w:szCs w:val="20"/>
              </w:rPr>
              <w:t xml:space="preserve"> 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B81A5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06F0486C" w14:textId="77777777" w:rsidR="00B81A56" w:rsidRPr="00B81A56" w:rsidRDefault="00B81A56" w:rsidP="00B81A56">
      <w:pPr>
        <w:pBdr>
          <w:bar w:val="single" w:sz="4" w:color="auto"/>
        </w:pBdr>
        <w:spacing w:after="0"/>
        <w:jc w:val="center"/>
        <w:rPr>
          <w:rFonts w:ascii="Arial" w:hAnsi="Arial" w:cs="Arial"/>
          <w:b/>
          <w:bCs/>
          <w:sz w:val="20"/>
          <w:szCs w:val="20"/>
        </w:rPr>
      </w:pPr>
      <w:r w:rsidRPr="00B81A56">
        <w:rPr>
          <w:rFonts w:ascii="Arial" w:hAnsi="Arial" w:cs="Arial"/>
          <w:b/>
          <w:bCs/>
          <w:sz w:val="20"/>
          <w:szCs w:val="20"/>
        </w:rPr>
        <w:lastRenderedPageBreak/>
        <w:t>ANEXO DA CLASSE ÚNICA DO SANTANDER PB EVOLUTION 7851 INVESTIMENTO EM INFRAESTRUTURA RENDA FIXA – FUNDO DE INVESTIMENTO FINANCEIRO RESPONSABILIDADE LIMITADA</w:t>
      </w:r>
    </w:p>
    <w:p w14:paraId="75B5341E" w14:textId="4B1719FF" w:rsidR="00C7611E" w:rsidRPr="00B81A56" w:rsidRDefault="00B81A56" w:rsidP="00B81A56">
      <w:pPr>
        <w:pBdr>
          <w:bar w:val="single" w:sz="4" w:color="auto"/>
        </w:pBdr>
        <w:spacing w:after="0"/>
        <w:jc w:val="center"/>
        <w:rPr>
          <w:rFonts w:ascii="Arial" w:hAnsi="Arial" w:cs="Arial"/>
          <w:b/>
          <w:bCs/>
          <w:sz w:val="20"/>
          <w:szCs w:val="20"/>
        </w:rPr>
      </w:pPr>
      <w:r w:rsidRPr="00B81A56">
        <w:rPr>
          <w:rFonts w:ascii="Arial" w:hAnsi="Arial" w:cs="Arial"/>
          <w:b/>
          <w:bCs/>
          <w:sz w:val="20"/>
          <w:szCs w:val="20"/>
        </w:rPr>
        <w:t>CNPJ: 53.775.856/0001-03</w:t>
      </w:r>
    </w:p>
    <w:p w14:paraId="5C2ABACF" w14:textId="4EC4B4FA" w:rsidR="00851153" w:rsidRPr="00BE0B51" w:rsidRDefault="00851153" w:rsidP="00B81A56">
      <w:pPr>
        <w:spacing w:after="0"/>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6118D1" w:rsidRPr="006118D1">
        <w:rPr>
          <w:rFonts w:ascii="Arial" w:hAnsi="Arial" w:cs="Arial"/>
          <w:sz w:val="20"/>
          <w:szCs w:val="20"/>
        </w:rPr>
        <w:t>1</w:t>
      </w:r>
      <w:r w:rsidR="00B81A56">
        <w:rPr>
          <w:rFonts w:ascii="Arial" w:hAnsi="Arial" w:cs="Arial"/>
          <w:sz w:val="20"/>
          <w:szCs w:val="20"/>
        </w:rPr>
        <w:t>8</w:t>
      </w:r>
      <w:r w:rsidR="006118D1" w:rsidRPr="006118D1">
        <w:rPr>
          <w:rFonts w:ascii="Arial" w:hAnsi="Arial" w:cs="Arial"/>
          <w:sz w:val="20"/>
          <w:szCs w:val="20"/>
        </w:rPr>
        <w:t>/06/2026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562"/>
        <w:gridCol w:w="530"/>
        <w:gridCol w:w="4147"/>
        <w:gridCol w:w="1046"/>
        <w:gridCol w:w="933"/>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lastRenderedPageBreak/>
              <w:t>Objetivo</w:t>
            </w:r>
          </w:p>
        </w:tc>
        <w:tc>
          <w:tcPr>
            <w:tcW w:w="3637" w:type="pct"/>
            <w:gridSpan w:val="5"/>
            <w:tcBorders>
              <w:top w:val="single" w:sz="4" w:space="0" w:color="auto"/>
              <w:left w:val="nil"/>
              <w:bottom w:val="single" w:sz="4" w:space="0" w:color="auto"/>
              <w:right w:val="nil"/>
            </w:tcBorders>
            <w:hideMark/>
          </w:tcPr>
          <w:p w14:paraId="3F1DC611" w14:textId="4A954EF8"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0A88C12A"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r w:rsidR="00B81A56">
              <w:rPr>
                <w:rFonts w:ascii="Arial" w:hAnsi="Arial" w:cs="Arial"/>
                <w:sz w:val="20"/>
                <w:szCs w:val="20"/>
              </w:rPr>
              <w:t>”) *</w:t>
            </w:r>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4"/>
        <w:gridCol w:w="544"/>
        <w:gridCol w:w="1691"/>
        <w:gridCol w:w="921"/>
        <w:gridCol w:w="252"/>
        <w:gridCol w:w="1484"/>
        <w:gridCol w:w="744"/>
        <w:gridCol w:w="1973"/>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5"/>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lastRenderedPageBreak/>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2161FA56"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r w:rsidR="00E730CF">
              <w:t>.</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 xml:space="preserve">Os limites previstos neste Capítulo 3º, inclusive nos quadros “Composição da Carteira da Classe”, “Limites de Concentração por Emissor”, “Limites de </w:t>
            </w:r>
            <w:r>
              <w:rPr>
                <w:rFonts w:ascii="Arial" w:hAnsi="Arial" w:cs="Arial"/>
                <w:sz w:val="20"/>
                <w:szCs w:val="20"/>
              </w:rPr>
              <w:lastRenderedPageBreak/>
              <w:t>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5"/>
        <w:gridCol w:w="6578"/>
        <w:gridCol w:w="38"/>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2FA5DAD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r w:rsidR="00B81A56" w:rsidRPr="00BE0B51">
              <w:rPr>
                <w:rFonts w:ascii="Arial" w:hAnsi="Arial" w:cs="Arial"/>
                <w:sz w:val="20"/>
                <w:szCs w:val="20"/>
              </w:rPr>
              <w:t>respectivos cotistas</w:t>
            </w:r>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w:t>
            </w:r>
            <w:r w:rsidRPr="00B96ECE">
              <w:rPr>
                <w:rFonts w:ascii="Arial" w:hAnsi="Arial" w:cs="Arial"/>
                <w:sz w:val="20"/>
                <w:szCs w:val="20"/>
              </w:rPr>
              <w:lastRenderedPageBreak/>
              <w:t>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xml:space="preserve">: Eventuais alterações na legislação tributária eliminando benefícios, elevando ou criando alíquotas ou novos tributos, ou, ainda, modificações na interpretação da legislação </w:t>
            </w:r>
            <w:r w:rsidRPr="00B96ECE">
              <w:rPr>
                <w:rFonts w:ascii="Arial" w:hAnsi="Arial" w:cs="Arial"/>
                <w:sz w:val="20"/>
                <w:szCs w:val="20"/>
              </w:rPr>
              <w:lastRenderedPageBreak/>
              <w:t>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4A413D" w:rsidRPr="00877FF6" w14:paraId="1F1F1EDD" w14:textId="77777777" w:rsidTr="00165BBB">
        <w:tc>
          <w:tcPr>
            <w:tcW w:w="5000" w:type="pct"/>
            <w:gridSpan w:val="4"/>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3"/>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3"/>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lastRenderedPageBreak/>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3"/>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3"/>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1E2C9EE5" w14:textId="1D7BCDEA" w:rsidR="006C4BBA" w:rsidRPr="00BE0B51" w:rsidRDefault="00253355" w:rsidP="006C4BBA">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E730CF">
              <w:rPr>
                <w:rFonts w:ascii="Arial" w:hAnsi="Arial" w:cs="Arial"/>
                <w:sz w:val="20"/>
                <w:szCs w:val="20"/>
              </w:rPr>
              <w:t>1,</w:t>
            </w:r>
            <w:r w:rsidR="00F96334">
              <w:rPr>
                <w:rFonts w:ascii="Arial" w:hAnsi="Arial" w:cs="Arial"/>
                <w:sz w:val="20"/>
                <w:szCs w:val="20"/>
              </w:rPr>
              <w:t>3</w:t>
            </w:r>
            <w:r w:rsidR="00E730CF">
              <w:rPr>
                <w:rFonts w:ascii="Arial" w:hAnsi="Arial" w:cs="Arial"/>
                <w:sz w:val="20"/>
                <w:szCs w:val="20"/>
              </w:rPr>
              <w:t>0</w:t>
            </w:r>
            <w:r w:rsidR="00E730CF" w:rsidRPr="00BE0B51">
              <w:rPr>
                <w:rFonts w:ascii="Arial" w:hAnsi="Arial" w:cs="Arial"/>
                <w:sz w:val="20"/>
                <w:szCs w:val="20"/>
              </w:rPr>
              <w:t xml:space="preserve">% </w:t>
            </w:r>
            <w:r w:rsidR="006C4BBA" w:rsidRPr="00BE0B51">
              <w:rPr>
                <w:rFonts w:ascii="Arial" w:hAnsi="Arial" w:cs="Arial"/>
                <w:sz w:val="20"/>
                <w:szCs w:val="20"/>
              </w:rPr>
              <w:t>ao ano sobre o valor do patrimônio líquido da Classe</w:t>
            </w:r>
            <w:r w:rsidR="006C4BBA" w:rsidRPr="00E730CF">
              <w:rPr>
                <w:rFonts w:ascii="Arial" w:hAnsi="Arial" w:cs="Arial"/>
                <w:sz w:val="20"/>
                <w:szCs w:val="20"/>
              </w:rPr>
              <w:t>.</w:t>
            </w:r>
          </w:p>
          <w:p w14:paraId="607D854E" w14:textId="2496E8E9" w:rsidR="00253355" w:rsidRDefault="00253355" w:rsidP="00E730CF">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7CEB54B3" w14:textId="77777777" w:rsidR="00A37AC9" w:rsidRPr="00BE0B51" w:rsidRDefault="00A37AC9"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4"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4B3DCA" w:rsidRDefault="00967B25" w:rsidP="00D029D3">
            <w:pPr>
              <w:pStyle w:val="PargrafodaLista"/>
              <w:numPr>
                <w:ilvl w:val="1"/>
                <w:numId w:val="3"/>
              </w:numPr>
              <w:ind w:left="0" w:firstLine="0"/>
              <w:jc w:val="center"/>
              <w:rPr>
                <w:rFonts w:ascii="Arial" w:hAnsi="Arial" w:cs="Arial"/>
                <w:b/>
                <w:bCs/>
                <w:smallCaps/>
                <w:color w:val="000000"/>
                <w:sz w:val="20"/>
                <w:szCs w:val="20"/>
              </w:rPr>
            </w:pPr>
            <w:r w:rsidRPr="004B3DCA">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6415554" w14:textId="77777777" w:rsidR="00725342" w:rsidRPr="00B81A56" w:rsidRDefault="00725342" w:rsidP="00725342">
            <w:pPr>
              <w:jc w:val="both"/>
              <w:rPr>
                <w:rFonts w:ascii="Arial" w:eastAsia="Tahoma" w:hAnsi="Arial" w:cs="Arial"/>
                <w:sz w:val="20"/>
                <w:szCs w:val="20"/>
              </w:rPr>
            </w:pPr>
            <w:r w:rsidRPr="00B81A56">
              <w:rPr>
                <w:rFonts w:ascii="Arial" w:eastAsia="Tahoma" w:hAnsi="Arial" w:cs="Arial"/>
                <w:sz w:val="20"/>
                <w:szCs w:val="20"/>
              </w:rPr>
              <w:t>Será cobrada pela Classe uma Taxa de Performance correspondente a 15% aplicável sobre a valorização da Cota da Classe, que exceder 110% da variação diária do CDI (“Índice de Referência”), deduzidos todos os demais custos e despesas do Fundo e da Classe, inclusive a Taxa Global.</w:t>
            </w:r>
          </w:p>
          <w:p w14:paraId="43735D58" w14:textId="77777777" w:rsidR="00725342" w:rsidRPr="00B81A56" w:rsidRDefault="00725342" w:rsidP="00725342">
            <w:pPr>
              <w:jc w:val="both"/>
              <w:rPr>
                <w:rFonts w:ascii="Arial" w:eastAsia="Tahoma" w:hAnsi="Arial" w:cs="Arial"/>
                <w:sz w:val="20"/>
                <w:szCs w:val="20"/>
              </w:rPr>
            </w:pPr>
          </w:p>
          <w:p w14:paraId="3BD0CD1D" w14:textId="77777777" w:rsidR="00725342" w:rsidRPr="00B81A56" w:rsidRDefault="00725342" w:rsidP="00725342">
            <w:pPr>
              <w:jc w:val="both"/>
              <w:rPr>
                <w:rFonts w:ascii="Arial" w:eastAsia="Tahoma" w:hAnsi="Arial" w:cs="Arial"/>
                <w:sz w:val="20"/>
                <w:szCs w:val="20"/>
              </w:rPr>
            </w:pPr>
            <w:r w:rsidRPr="00B81A56">
              <w:rPr>
                <w:rFonts w:ascii="Arial" w:eastAsia="Tahoma" w:hAnsi="Arial" w:cs="Arial"/>
                <w:sz w:val="20"/>
                <w:szCs w:val="20"/>
              </w:rPr>
              <w:t>A Taxa de Performance será calculada individualmente sobre o resultado de cada aplicação realizada pelo Cotista (</w:t>
            </w:r>
            <w:r w:rsidRPr="00B81A56">
              <w:rPr>
                <w:rFonts w:ascii="Arial" w:eastAsia="Tahoma" w:hAnsi="Arial" w:cs="Arial"/>
                <w:b/>
                <w:sz w:val="20"/>
                <w:szCs w:val="20"/>
              </w:rPr>
              <w:t>método do passivo</w:t>
            </w:r>
            <w:r w:rsidRPr="00B81A56">
              <w:rPr>
                <w:rFonts w:ascii="Arial" w:eastAsia="Tahoma" w:hAnsi="Arial" w:cs="Arial"/>
                <w:sz w:val="20"/>
                <w:szCs w:val="20"/>
              </w:rPr>
              <w:t xml:space="preserve">), </w:t>
            </w:r>
            <w:r w:rsidRPr="00B81A56">
              <w:rPr>
                <w:rFonts w:ascii="Arial" w:hAnsi="Arial" w:cs="Arial"/>
                <w:sz w:val="20"/>
                <w:szCs w:val="20"/>
              </w:rPr>
              <w:t xml:space="preserve">acumulado na forma de capitalização composta em cada período de avaliação, </w:t>
            </w:r>
            <w:r w:rsidRPr="00B81A56">
              <w:rPr>
                <w:rFonts w:ascii="Arial" w:eastAsia="Tahoma" w:hAnsi="Arial" w:cs="Arial"/>
                <w:sz w:val="20"/>
                <w:szCs w:val="20"/>
              </w:rPr>
              <w:t xml:space="preserve">conforme segue: </w:t>
            </w:r>
          </w:p>
          <w:p w14:paraId="5459AAB3" w14:textId="77777777" w:rsidR="00725342" w:rsidRPr="00B81A56" w:rsidRDefault="00725342" w:rsidP="00725342">
            <w:pPr>
              <w:jc w:val="both"/>
              <w:rPr>
                <w:rFonts w:ascii="Arial" w:eastAsia="Tahoma" w:hAnsi="Arial" w:cs="Arial"/>
                <w:sz w:val="20"/>
                <w:szCs w:val="20"/>
              </w:rPr>
            </w:pPr>
          </w:p>
          <w:tbl>
            <w:tblPr>
              <w:tblW w:w="6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9"/>
            </w:tblGrid>
            <w:tr w:rsidR="00725342" w:rsidRPr="00A37AC9" w14:paraId="1FE8423C" w14:textId="77777777" w:rsidTr="007C0210">
              <w:trPr>
                <w:trHeight w:val="333"/>
              </w:trPr>
              <w:tc>
                <w:tcPr>
                  <w:tcW w:w="6689" w:type="dxa"/>
                  <w:tcBorders>
                    <w:top w:val="single" w:sz="4" w:space="0" w:color="auto"/>
                    <w:left w:val="single" w:sz="8" w:space="0" w:color="auto"/>
                    <w:bottom w:val="single" w:sz="12" w:space="0" w:color="auto"/>
                    <w:right w:val="single" w:sz="8" w:space="0" w:color="auto"/>
                  </w:tcBorders>
                </w:tcPr>
                <w:p w14:paraId="0EF674B7" w14:textId="77777777" w:rsidR="00725342" w:rsidRPr="00B81A56" w:rsidRDefault="00725342" w:rsidP="00B81A56">
                  <w:pPr>
                    <w:keepNext/>
                    <w:spacing w:after="0" w:line="240" w:lineRule="auto"/>
                    <w:jc w:val="center"/>
                    <w:rPr>
                      <w:rFonts w:ascii="Arial" w:eastAsia="Tahoma" w:hAnsi="Arial" w:cs="Arial"/>
                      <w:sz w:val="20"/>
                      <w:szCs w:val="20"/>
                    </w:rPr>
                  </w:pPr>
                  <w:r w:rsidRPr="00B81A56">
                    <w:rPr>
                      <w:rFonts w:ascii="Arial" w:eastAsia="Tahoma" w:hAnsi="Arial" w:cs="Arial"/>
                      <w:color w:val="000000"/>
                      <w:sz w:val="20"/>
                      <w:szCs w:val="20"/>
                    </w:rPr>
                    <w:t>Taxa de Performance = 15% * (Valor da Cota de Apuração – Cota Índice)</w:t>
                  </w:r>
                </w:p>
              </w:tc>
            </w:tr>
            <w:tr w:rsidR="00725342" w:rsidRPr="00A37AC9" w14:paraId="5D587A56" w14:textId="77777777" w:rsidTr="007C0210">
              <w:tc>
                <w:tcPr>
                  <w:tcW w:w="6689" w:type="dxa"/>
                  <w:tcBorders>
                    <w:top w:val="single" w:sz="12" w:space="0" w:color="auto"/>
                  </w:tcBorders>
                </w:tcPr>
                <w:p w14:paraId="2C41C2A7" w14:textId="77777777" w:rsidR="00725342" w:rsidRPr="00B81A56" w:rsidRDefault="00725342" w:rsidP="00B81A56">
                  <w:pPr>
                    <w:keepNext/>
                    <w:spacing w:after="0" w:line="240" w:lineRule="auto"/>
                    <w:jc w:val="both"/>
                    <w:rPr>
                      <w:rFonts w:ascii="Arial" w:eastAsia="Tahoma" w:hAnsi="Arial" w:cs="Arial"/>
                      <w:color w:val="000000"/>
                      <w:sz w:val="20"/>
                      <w:szCs w:val="20"/>
                    </w:rPr>
                  </w:pPr>
                  <w:r w:rsidRPr="00B81A56">
                    <w:rPr>
                      <w:rFonts w:ascii="Arial" w:eastAsia="Tahoma" w:hAnsi="Arial" w:cs="Arial"/>
                      <w:color w:val="000000"/>
                      <w:sz w:val="20"/>
                      <w:szCs w:val="20"/>
                    </w:rPr>
                    <w:lastRenderedPageBreak/>
                    <w:t>Onde:</w:t>
                  </w:r>
                </w:p>
                <w:p w14:paraId="71D545C0" w14:textId="77777777" w:rsidR="00725342" w:rsidRPr="00B81A56" w:rsidRDefault="00725342" w:rsidP="00B81A56">
                  <w:pPr>
                    <w:keepNext/>
                    <w:spacing w:after="0" w:line="240" w:lineRule="auto"/>
                    <w:jc w:val="both"/>
                    <w:rPr>
                      <w:rFonts w:ascii="Arial" w:eastAsia="Tahoma" w:hAnsi="Arial" w:cs="Arial"/>
                      <w:sz w:val="20"/>
                      <w:szCs w:val="20"/>
                    </w:rPr>
                  </w:pPr>
                </w:p>
                <w:p w14:paraId="1DE1C2B9" w14:textId="77777777" w:rsidR="00725342" w:rsidRPr="00B81A56" w:rsidRDefault="00725342" w:rsidP="00B81A56">
                  <w:pPr>
                    <w:keepNext/>
                    <w:spacing w:after="0" w:line="240" w:lineRule="auto"/>
                    <w:jc w:val="both"/>
                    <w:rPr>
                      <w:rFonts w:ascii="Arial" w:eastAsia="Tahoma" w:hAnsi="Arial" w:cs="Arial"/>
                      <w:sz w:val="20"/>
                      <w:szCs w:val="20"/>
                    </w:rPr>
                  </w:pPr>
                  <w:r w:rsidRPr="00B81A56">
                    <w:rPr>
                      <w:rFonts w:ascii="Arial" w:eastAsia="Tahoma" w:hAnsi="Arial" w:cs="Arial"/>
                      <w:sz w:val="20"/>
                      <w:szCs w:val="20"/>
                    </w:rPr>
                    <w:t>“Valor da Cota de Apuração” = Valor da Cota da Classe antes de descontada a provisão para o pagamento da Taxa de Performance</w:t>
                  </w:r>
                  <w:r w:rsidRPr="00B81A56" w:rsidDel="003B60F1">
                    <w:rPr>
                      <w:rFonts w:ascii="Arial" w:eastAsia="Tahoma" w:hAnsi="Arial" w:cs="Arial"/>
                      <w:sz w:val="20"/>
                      <w:szCs w:val="20"/>
                    </w:rPr>
                    <w:t xml:space="preserve"> </w:t>
                  </w:r>
                  <w:r w:rsidRPr="00B81A56">
                    <w:rPr>
                      <w:rFonts w:ascii="Arial" w:eastAsia="Tahoma" w:hAnsi="Arial" w:cs="Arial"/>
                      <w:sz w:val="20"/>
                      <w:szCs w:val="20"/>
                    </w:rPr>
                    <w:t>na Data de Apuração (conforme abaixo definido)</w:t>
                  </w:r>
                </w:p>
                <w:p w14:paraId="78F8034D" w14:textId="77777777" w:rsidR="00725342" w:rsidRPr="00B81A56" w:rsidRDefault="00725342" w:rsidP="00B81A56">
                  <w:pPr>
                    <w:keepNext/>
                    <w:spacing w:after="0" w:line="240" w:lineRule="auto"/>
                    <w:jc w:val="both"/>
                    <w:rPr>
                      <w:rFonts w:ascii="Arial" w:eastAsia="Tahoma" w:hAnsi="Arial" w:cs="Arial"/>
                      <w:sz w:val="20"/>
                      <w:szCs w:val="20"/>
                    </w:rPr>
                  </w:pPr>
                </w:p>
                <w:p w14:paraId="5DA3A7D8" w14:textId="77777777" w:rsidR="00725342" w:rsidRPr="00B81A56" w:rsidRDefault="00725342" w:rsidP="00B81A56">
                  <w:pPr>
                    <w:keepNext/>
                    <w:spacing w:after="0" w:line="240" w:lineRule="auto"/>
                    <w:jc w:val="both"/>
                    <w:rPr>
                      <w:rFonts w:ascii="Arial" w:eastAsia="Tahoma" w:hAnsi="Arial" w:cs="Arial"/>
                      <w:sz w:val="20"/>
                      <w:szCs w:val="20"/>
                    </w:rPr>
                  </w:pPr>
                  <w:r w:rsidRPr="00B81A56">
                    <w:rPr>
                      <w:rFonts w:ascii="Arial" w:eastAsia="Tahoma" w:hAnsi="Arial" w:cs="Arial"/>
                      <w:sz w:val="20"/>
                      <w:szCs w:val="20"/>
                    </w:rPr>
                    <w:t>“Cota Índice” = a Cota Base (conforme abaixo definido) atualizada pelo Índice de Referência desde a Data-Base (conforme abaixo definido) até a Data de Apuração (conforme abaixo definido).</w:t>
                  </w:r>
                </w:p>
                <w:p w14:paraId="6A6AE182" w14:textId="77777777" w:rsidR="00725342" w:rsidRPr="00B81A56" w:rsidRDefault="00725342" w:rsidP="00B81A56">
                  <w:pPr>
                    <w:keepNext/>
                    <w:spacing w:after="0" w:line="240" w:lineRule="auto"/>
                    <w:jc w:val="both"/>
                    <w:rPr>
                      <w:rFonts w:ascii="Arial" w:eastAsia="Tahoma" w:hAnsi="Arial" w:cs="Arial"/>
                      <w:sz w:val="20"/>
                      <w:szCs w:val="20"/>
                    </w:rPr>
                  </w:pPr>
                </w:p>
                <w:p w14:paraId="215A227A" w14:textId="77777777" w:rsidR="00725342" w:rsidRPr="00B81A56" w:rsidRDefault="00725342" w:rsidP="00B81A56">
                  <w:pPr>
                    <w:keepNext/>
                    <w:spacing w:after="0" w:line="240" w:lineRule="auto"/>
                    <w:jc w:val="both"/>
                    <w:rPr>
                      <w:rFonts w:ascii="Arial" w:eastAsia="Tahoma" w:hAnsi="Arial" w:cs="Arial"/>
                      <w:sz w:val="20"/>
                      <w:szCs w:val="20"/>
                    </w:rPr>
                  </w:pPr>
                  <w:r w:rsidRPr="00B81A56">
                    <w:rPr>
                      <w:rFonts w:ascii="Arial" w:eastAsia="Tahoma" w:hAnsi="Arial" w:cs="Arial"/>
                      <w:sz w:val="20"/>
                      <w:szCs w:val="20"/>
                    </w:rPr>
                    <w:t>“Cota Base” = o mais recente entre (i) o valor da Cota logo após a última cobrança de Taxa de Performance efetuada, ou (</w:t>
                  </w:r>
                  <w:proofErr w:type="spellStart"/>
                  <w:r w:rsidRPr="00B81A56">
                    <w:rPr>
                      <w:rFonts w:ascii="Arial" w:eastAsia="Tahoma" w:hAnsi="Arial" w:cs="Arial"/>
                      <w:sz w:val="20"/>
                      <w:szCs w:val="20"/>
                    </w:rPr>
                    <w:t>ii</w:t>
                  </w:r>
                  <w:proofErr w:type="spellEnd"/>
                  <w:r w:rsidRPr="00B81A56">
                    <w:rPr>
                      <w:rFonts w:ascii="Arial" w:eastAsia="Tahoma" w:hAnsi="Arial" w:cs="Arial"/>
                      <w:sz w:val="20"/>
                      <w:szCs w:val="20"/>
                    </w:rPr>
                    <w:t>) o valor da Cota na data de conversão da aplicação pelo respectivo Cotista.</w:t>
                  </w:r>
                </w:p>
                <w:p w14:paraId="19E96B87" w14:textId="77777777" w:rsidR="00725342" w:rsidRPr="00B81A56" w:rsidRDefault="00725342" w:rsidP="00B81A56">
                  <w:pPr>
                    <w:keepNext/>
                    <w:spacing w:after="0" w:line="240" w:lineRule="auto"/>
                    <w:jc w:val="both"/>
                    <w:rPr>
                      <w:rFonts w:ascii="Arial" w:eastAsia="Tahoma" w:hAnsi="Arial" w:cs="Arial"/>
                      <w:sz w:val="20"/>
                      <w:szCs w:val="20"/>
                    </w:rPr>
                  </w:pPr>
                </w:p>
                <w:p w14:paraId="2ACEDF47" w14:textId="77777777" w:rsidR="00725342" w:rsidRPr="00B81A56" w:rsidRDefault="00725342" w:rsidP="00B81A56">
                  <w:pPr>
                    <w:keepNext/>
                    <w:spacing w:after="0" w:line="240" w:lineRule="auto"/>
                    <w:jc w:val="both"/>
                    <w:rPr>
                      <w:rFonts w:ascii="Arial" w:eastAsia="Tahoma" w:hAnsi="Arial" w:cs="Arial"/>
                      <w:sz w:val="20"/>
                      <w:szCs w:val="20"/>
                    </w:rPr>
                  </w:pPr>
                  <w:r w:rsidRPr="00B81A56">
                    <w:rPr>
                      <w:rFonts w:ascii="Arial" w:eastAsia="Tahoma" w:hAnsi="Arial" w:cs="Arial"/>
                      <w:sz w:val="20"/>
                      <w:szCs w:val="20"/>
                    </w:rPr>
                    <w:t>“Data-Base” = Data para início do período de apuração da Taxa de Performance, sendo que tal dia será o de apuração da Cota Base.</w:t>
                  </w:r>
                </w:p>
              </w:tc>
            </w:tr>
          </w:tbl>
          <w:p w14:paraId="265A2363" w14:textId="77777777" w:rsidR="00725342" w:rsidRPr="00B81A56" w:rsidRDefault="00725342" w:rsidP="00725342">
            <w:pPr>
              <w:jc w:val="both"/>
              <w:rPr>
                <w:rFonts w:ascii="Arial" w:eastAsia="Tahoma" w:hAnsi="Arial" w:cs="Arial"/>
                <w:sz w:val="20"/>
                <w:szCs w:val="20"/>
              </w:rPr>
            </w:pPr>
          </w:p>
          <w:p w14:paraId="6B0C6740" w14:textId="77777777" w:rsidR="00725342" w:rsidRPr="00B81A56" w:rsidRDefault="00725342" w:rsidP="00725342">
            <w:pPr>
              <w:jc w:val="both"/>
              <w:rPr>
                <w:rFonts w:ascii="Arial" w:eastAsia="Tahoma" w:hAnsi="Arial" w:cs="Arial"/>
                <w:sz w:val="20"/>
                <w:szCs w:val="20"/>
              </w:rPr>
            </w:pPr>
            <w:r w:rsidRPr="00B81A56">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B81A56">
              <w:rPr>
                <w:rFonts w:ascii="Arial" w:eastAsia="Tahoma" w:hAnsi="Arial" w:cs="Arial"/>
                <w:sz w:val="20"/>
                <w:szCs w:val="20"/>
              </w:rPr>
              <w:t>o número de Cotas de cada Cotista não será alterado.</w:t>
            </w:r>
          </w:p>
          <w:p w14:paraId="55E1FDBB" w14:textId="77777777" w:rsidR="00725342" w:rsidRPr="00B81A56" w:rsidRDefault="00725342" w:rsidP="00725342">
            <w:pPr>
              <w:jc w:val="both"/>
              <w:rPr>
                <w:rFonts w:ascii="Arial" w:eastAsia="Tahoma" w:hAnsi="Arial" w:cs="Arial"/>
                <w:sz w:val="20"/>
                <w:szCs w:val="20"/>
              </w:rPr>
            </w:pPr>
          </w:p>
          <w:p w14:paraId="59CFD5F5" w14:textId="77777777" w:rsidR="00725342" w:rsidRPr="00B81A56" w:rsidRDefault="00725342" w:rsidP="00725342">
            <w:pPr>
              <w:jc w:val="both"/>
              <w:rPr>
                <w:rFonts w:ascii="Arial" w:eastAsia="Tahoma" w:hAnsi="Arial" w:cs="Arial"/>
                <w:sz w:val="20"/>
                <w:szCs w:val="20"/>
              </w:rPr>
            </w:pPr>
            <w:r w:rsidRPr="00B81A56">
              <w:rPr>
                <w:rFonts w:ascii="Arial" w:eastAsia="Tahoma" w:hAnsi="Arial" w:cs="Arial"/>
                <w:sz w:val="20"/>
                <w:szCs w:val="20"/>
              </w:rPr>
              <w:t>A Taxa de Performance será paga pela Classe observados os seguintes procedimentos:</w:t>
            </w:r>
          </w:p>
          <w:p w14:paraId="15500ED8" w14:textId="77777777" w:rsidR="00725342" w:rsidRPr="00B81A56" w:rsidRDefault="00725342" w:rsidP="00725342">
            <w:pPr>
              <w:jc w:val="both"/>
              <w:rPr>
                <w:rFonts w:ascii="Arial" w:eastAsia="Tahoma" w:hAnsi="Arial" w:cs="Arial"/>
                <w:sz w:val="20"/>
                <w:szCs w:val="20"/>
              </w:rPr>
            </w:pPr>
          </w:p>
          <w:p w14:paraId="3B562B18" w14:textId="77777777" w:rsidR="00725342" w:rsidRPr="00B81A56" w:rsidRDefault="00725342" w:rsidP="00725342">
            <w:pPr>
              <w:numPr>
                <w:ilvl w:val="0"/>
                <w:numId w:val="18"/>
              </w:numPr>
              <w:jc w:val="both"/>
              <w:rPr>
                <w:rFonts w:ascii="Arial" w:eastAsia="Tahoma" w:hAnsi="Arial" w:cs="Arial"/>
                <w:sz w:val="20"/>
                <w:szCs w:val="20"/>
              </w:rPr>
            </w:pPr>
            <w:r w:rsidRPr="00B81A56">
              <w:rPr>
                <w:rFonts w:ascii="Arial" w:eastAsia="Tahoma" w:hAnsi="Arial" w:cs="Arial"/>
                <w:sz w:val="20"/>
                <w:szCs w:val="20"/>
              </w:rPr>
              <w:t xml:space="preserve">o período de apuração da Taxa de Performance será semestral, e ocorrerá ao final do semestre civil de cada ano </w:t>
            </w:r>
            <w:r w:rsidRPr="00B81A56">
              <w:rPr>
                <w:rFonts w:ascii="Arial" w:eastAsia="Calibri" w:hAnsi="Arial" w:cs="Arial"/>
                <w:sz w:val="20"/>
                <w:szCs w:val="20"/>
              </w:rPr>
              <w:t xml:space="preserve">(“Data de Apuração”); </w:t>
            </w:r>
            <w:r w:rsidRPr="00B81A56">
              <w:rPr>
                <w:rFonts w:ascii="Arial" w:eastAsia="Tahoma" w:hAnsi="Arial" w:cs="Arial"/>
                <w:sz w:val="20"/>
                <w:szCs w:val="20"/>
              </w:rPr>
              <w:t>e</w:t>
            </w:r>
          </w:p>
          <w:p w14:paraId="73BFFB27" w14:textId="77777777" w:rsidR="00725342" w:rsidRPr="00B81A56" w:rsidRDefault="00725342" w:rsidP="00725342">
            <w:pPr>
              <w:ind w:left="1440"/>
              <w:jc w:val="both"/>
              <w:rPr>
                <w:rFonts w:ascii="Arial" w:eastAsia="Tahoma" w:hAnsi="Arial" w:cs="Arial"/>
                <w:sz w:val="20"/>
                <w:szCs w:val="20"/>
              </w:rPr>
            </w:pPr>
          </w:p>
          <w:p w14:paraId="2712F34B" w14:textId="77777777" w:rsidR="00725342" w:rsidRPr="00B81A56" w:rsidRDefault="00725342" w:rsidP="00725342">
            <w:pPr>
              <w:numPr>
                <w:ilvl w:val="0"/>
                <w:numId w:val="18"/>
              </w:numPr>
              <w:jc w:val="both"/>
              <w:rPr>
                <w:rFonts w:ascii="Arial" w:eastAsia="Tahoma" w:hAnsi="Arial" w:cs="Arial"/>
                <w:sz w:val="20"/>
                <w:szCs w:val="20"/>
              </w:rPr>
            </w:pPr>
            <w:r w:rsidRPr="00B81A56">
              <w:rPr>
                <w:rFonts w:ascii="Arial" w:eastAsia="Tahoma" w:hAnsi="Arial" w:cs="Arial"/>
                <w:sz w:val="20"/>
                <w:szCs w:val="20"/>
              </w:rPr>
              <w:t>o pagamento da Taxa de Performance será efetuado até o 5º dia útil do mês subsequente ao período de apuração respectivo.</w:t>
            </w:r>
          </w:p>
          <w:p w14:paraId="1D0C3BEC" w14:textId="77777777" w:rsidR="00725342" w:rsidRPr="00B81A56" w:rsidRDefault="00725342" w:rsidP="00725342">
            <w:pPr>
              <w:jc w:val="both"/>
              <w:rPr>
                <w:rFonts w:ascii="Arial" w:eastAsia="Tahoma" w:hAnsi="Arial" w:cs="Arial"/>
                <w:sz w:val="20"/>
                <w:szCs w:val="20"/>
                <w:highlight w:val="yellow"/>
              </w:rPr>
            </w:pPr>
          </w:p>
          <w:p w14:paraId="79637EA2" w14:textId="77777777" w:rsidR="00725342" w:rsidRPr="00B81A56" w:rsidRDefault="00725342" w:rsidP="00725342">
            <w:pPr>
              <w:jc w:val="both"/>
              <w:rPr>
                <w:rFonts w:ascii="Arial" w:eastAsia="Tahoma" w:hAnsi="Arial" w:cs="Arial"/>
                <w:sz w:val="20"/>
                <w:szCs w:val="20"/>
              </w:rPr>
            </w:pPr>
            <w:r w:rsidRPr="00B81A56">
              <w:rPr>
                <w:rFonts w:ascii="Arial" w:eastAsia="Tahoma" w:hAnsi="Arial" w:cs="Arial"/>
                <w:sz w:val="20"/>
                <w:szCs w:val="20"/>
              </w:rPr>
              <w:t>Em caso de extinção do Índice de Referência será adotado, para fins de cálculo da Taxa de Performance, o índice ou taxa que vier a substituí-lo.</w:t>
            </w:r>
          </w:p>
          <w:p w14:paraId="78FE0C00" w14:textId="77777777" w:rsidR="00725342" w:rsidRPr="00B81A56" w:rsidRDefault="00725342" w:rsidP="00725342">
            <w:pPr>
              <w:spacing w:line="280" w:lineRule="atLeast"/>
              <w:jc w:val="both"/>
              <w:rPr>
                <w:rFonts w:ascii="Arial" w:hAnsi="Arial" w:cs="Arial"/>
                <w:sz w:val="20"/>
                <w:szCs w:val="20"/>
              </w:rPr>
            </w:pPr>
          </w:p>
          <w:p w14:paraId="6F188ED4" w14:textId="6BF5FC44" w:rsidR="00967B25" w:rsidRPr="00BE0B51" w:rsidRDefault="00725342" w:rsidP="00962CD6">
            <w:pPr>
              <w:jc w:val="both"/>
              <w:rPr>
                <w:rFonts w:ascii="Arial" w:hAnsi="Arial" w:cs="Arial"/>
                <w:sz w:val="20"/>
                <w:szCs w:val="20"/>
              </w:rPr>
            </w:pPr>
            <w:r w:rsidRPr="00B81A56">
              <w:rPr>
                <w:rFonts w:ascii="Arial" w:eastAsia="Tahoma" w:hAnsi="Arial" w:cs="Arial"/>
                <w:sz w:val="20"/>
                <w:szCs w:val="20"/>
              </w:rPr>
              <w:t>Como a Classe é destinada exclusivamente a Investidores Profissionais, é permitida a cobrança da Taxa de Performance quando o valor da cota da Classe for inferior ao seu valor da Cota Base.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9132EC" w:rsidRPr="00BE0B51" w14:paraId="323C8382" w14:textId="6F6AC135"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DD38042"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13D8636B"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94D9CC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544D9899"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2CBE7663"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21E027B" w:rsidR="00B53FED" w:rsidRPr="007C0210" w:rsidRDefault="00B53FED" w:rsidP="00B53FED">
            <w:pPr>
              <w:jc w:val="center"/>
              <w:rPr>
                <w:rFonts w:ascii="Arial" w:hAnsi="Arial" w:cs="Arial"/>
                <w:sz w:val="20"/>
                <w:szCs w:val="20"/>
              </w:rPr>
            </w:pPr>
            <w:r w:rsidRPr="007C0210">
              <w:rPr>
                <w:rFonts w:ascii="Arial" w:hAnsi="Arial" w:cs="Arial"/>
                <w:sz w:val="20"/>
                <w:szCs w:val="20"/>
              </w:rPr>
              <w:t>D+</w:t>
            </w:r>
            <w:r w:rsidR="00E730CF" w:rsidRPr="007C0210">
              <w:rPr>
                <w:rFonts w:ascii="Arial" w:hAnsi="Arial" w:cs="Arial"/>
                <w:sz w:val="20"/>
                <w:szCs w:val="20"/>
              </w:rPr>
              <w:t>0</w:t>
            </w:r>
          </w:p>
          <w:p w14:paraId="768DC130" w14:textId="2230A6F0" w:rsidR="00B53FED" w:rsidRPr="00BE0B51" w:rsidRDefault="00B53FED" w:rsidP="007C0210">
            <w:pPr>
              <w:jc w:val="center"/>
              <w:rPr>
                <w:rFonts w:ascii="Arial" w:hAnsi="Arial" w:cs="Arial"/>
                <w:b/>
                <w:bCs/>
                <w:smallCaps/>
                <w:color w:val="000000"/>
                <w:sz w:val="20"/>
                <w:szCs w:val="20"/>
              </w:rPr>
            </w:pPr>
            <w:r w:rsidRPr="007C0210">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A9B13D1" w14:textId="7E373566" w:rsidR="00B53FED" w:rsidRPr="007C0210" w:rsidRDefault="00B53FED" w:rsidP="00E730CF">
            <w:pPr>
              <w:jc w:val="center"/>
              <w:rPr>
                <w:rFonts w:ascii="Arial" w:hAnsi="Arial" w:cs="Arial"/>
                <w:sz w:val="20"/>
                <w:szCs w:val="20"/>
              </w:rPr>
            </w:pPr>
            <w:r w:rsidRPr="007C0210">
              <w:rPr>
                <w:rFonts w:ascii="Arial" w:hAnsi="Arial" w:cs="Arial"/>
                <w:sz w:val="20"/>
                <w:szCs w:val="20"/>
              </w:rPr>
              <w:t>D+</w:t>
            </w:r>
            <w:r w:rsidR="00E730CF" w:rsidRPr="007C0210">
              <w:rPr>
                <w:rFonts w:ascii="Arial" w:hAnsi="Arial" w:cs="Arial"/>
                <w:sz w:val="20"/>
                <w:szCs w:val="20"/>
              </w:rPr>
              <w:t>10</w:t>
            </w:r>
          </w:p>
          <w:p w14:paraId="7BA9CA23" w14:textId="28266C84" w:rsidR="00B53FED" w:rsidRPr="00E730CF" w:rsidRDefault="00B53FED" w:rsidP="00B53FED">
            <w:pPr>
              <w:jc w:val="center"/>
              <w:rPr>
                <w:rFonts w:ascii="Arial" w:hAnsi="Arial" w:cs="Arial"/>
                <w:b/>
                <w:bCs/>
                <w:smallCaps/>
                <w:color w:val="000000"/>
                <w:sz w:val="20"/>
                <w:szCs w:val="20"/>
              </w:rPr>
            </w:pPr>
            <w:r w:rsidRPr="007C0210">
              <w:rPr>
                <w:rFonts w:ascii="Arial" w:hAnsi="Arial" w:cs="Arial"/>
                <w:sz w:val="20"/>
                <w:szCs w:val="20"/>
              </w:rPr>
              <w:t xml:space="preserve">No </w:t>
            </w:r>
            <w:r w:rsidR="00E730CF" w:rsidRPr="007C0210">
              <w:rPr>
                <w:rFonts w:ascii="Arial" w:hAnsi="Arial" w:cs="Arial"/>
                <w:sz w:val="20"/>
                <w:szCs w:val="20"/>
              </w:rPr>
              <w:t>10</w:t>
            </w:r>
            <w:r w:rsidRPr="007C0210">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43C7D685" w:rsidR="00B53FED" w:rsidRPr="007C0210" w:rsidRDefault="00B53FED" w:rsidP="004D136C">
            <w:pPr>
              <w:jc w:val="center"/>
              <w:rPr>
                <w:rFonts w:ascii="Arial" w:hAnsi="Arial" w:cs="Arial"/>
                <w:sz w:val="20"/>
                <w:szCs w:val="20"/>
              </w:rPr>
            </w:pPr>
            <w:r w:rsidRPr="007C0210">
              <w:rPr>
                <w:rFonts w:ascii="Arial" w:hAnsi="Arial" w:cs="Arial"/>
                <w:sz w:val="20"/>
                <w:szCs w:val="20"/>
              </w:rPr>
              <w:t>D+</w:t>
            </w:r>
            <w:r w:rsidR="00E730CF" w:rsidRPr="007C0210">
              <w:rPr>
                <w:rFonts w:ascii="Arial" w:hAnsi="Arial" w:cs="Arial"/>
                <w:sz w:val="20"/>
                <w:szCs w:val="20"/>
              </w:rPr>
              <w:t>11</w:t>
            </w:r>
          </w:p>
          <w:p w14:paraId="3BBC978D" w14:textId="6D9986F7" w:rsidR="00B53FED" w:rsidRPr="00E730CF" w:rsidRDefault="00B53FED" w:rsidP="004D136C">
            <w:pPr>
              <w:jc w:val="center"/>
              <w:rPr>
                <w:rFonts w:ascii="Arial" w:hAnsi="Arial" w:cs="Arial"/>
                <w:sz w:val="20"/>
                <w:szCs w:val="20"/>
              </w:rPr>
            </w:pPr>
            <w:r w:rsidRPr="007C0210">
              <w:rPr>
                <w:rFonts w:ascii="Arial" w:hAnsi="Arial" w:cs="Arial"/>
                <w:sz w:val="20"/>
                <w:szCs w:val="20"/>
              </w:rPr>
              <w:t xml:space="preserve">No </w:t>
            </w:r>
            <w:r w:rsidR="00E730CF" w:rsidRPr="007C0210">
              <w:rPr>
                <w:rFonts w:ascii="Arial" w:hAnsi="Arial" w:cs="Arial"/>
                <w:sz w:val="20"/>
                <w:szCs w:val="20"/>
              </w:rPr>
              <w:t>1</w:t>
            </w:r>
            <w:r w:rsidRPr="007C0210">
              <w:rPr>
                <w:rFonts w:ascii="Arial" w:hAnsi="Arial" w:cs="Arial"/>
                <w:sz w:val="20"/>
                <w:szCs w:val="20"/>
              </w:rPr>
              <w:t>º dia útil</w:t>
            </w:r>
            <w:r w:rsidR="00E730CF" w:rsidRPr="007C0210">
              <w:rPr>
                <w:rFonts w:ascii="Arial" w:hAnsi="Arial" w:cs="Arial"/>
                <w:sz w:val="20"/>
                <w:szCs w:val="20"/>
              </w:rPr>
              <w:t xml:space="preserve"> </w:t>
            </w:r>
            <w:r w:rsidRPr="007C0210">
              <w:rPr>
                <w:rFonts w:ascii="Arial" w:hAnsi="Arial" w:cs="Arial"/>
                <w:sz w:val="20"/>
                <w:szCs w:val="20"/>
              </w:rPr>
              <w:t>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8"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xml:space="preserve">, circunstância em que as </w:t>
            </w:r>
            <w:r w:rsidR="00AE1D36" w:rsidRPr="00BE0B51">
              <w:rPr>
                <w:rFonts w:ascii="Arial" w:hAnsi="Arial" w:cs="Arial"/>
                <w:sz w:val="20"/>
                <w:szCs w:val="20"/>
              </w:rPr>
              <w:lastRenderedPageBreak/>
              <w:t>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BE0B51" w14:paraId="68459693" w14:textId="77777777" w:rsidTr="00270A73">
        <w:trPr>
          <w:jc w:val="center"/>
        </w:trPr>
        <w:tc>
          <w:tcPr>
            <w:tcW w:w="5000" w:type="pct"/>
            <w:gridSpan w:val="3"/>
            <w:shd w:val="clear" w:color="auto" w:fill="C00000"/>
          </w:tcPr>
          <w:bookmarkEnd w:id="8"/>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23680492"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r w:rsidR="00B81A56" w:rsidRPr="00C60F16">
              <w:rPr>
                <w:rFonts w:ascii="Arial" w:hAnsi="Arial" w:cs="Arial"/>
                <w:sz w:val="20"/>
                <w:szCs w:val="20"/>
              </w:rPr>
              <w:t>respectivos cotistas</w:t>
            </w:r>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B81A56">
      <w:headerReference w:type="default" r:id="rId15"/>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0A719" w14:textId="77777777" w:rsidR="00E2103E" w:rsidRDefault="00E2103E" w:rsidP="00A8768D">
      <w:pPr>
        <w:spacing w:after="0" w:line="240" w:lineRule="auto"/>
      </w:pPr>
      <w:r>
        <w:separator/>
      </w:r>
    </w:p>
  </w:endnote>
  <w:endnote w:type="continuationSeparator" w:id="0">
    <w:p w14:paraId="570AF547" w14:textId="77777777" w:rsidR="00E2103E" w:rsidRDefault="00E2103E"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AA59F" w14:textId="77777777" w:rsidR="00E2103E" w:rsidRDefault="00E2103E" w:rsidP="00A8768D">
      <w:pPr>
        <w:spacing w:after="0" w:line="240" w:lineRule="auto"/>
      </w:pPr>
      <w:r>
        <w:separator/>
      </w:r>
    </w:p>
  </w:footnote>
  <w:footnote w:type="continuationSeparator" w:id="0">
    <w:p w14:paraId="601D0B6A" w14:textId="77777777" w:rsidR="00E2103E" w:rsidRDefault="00E2103E"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B625241" w:rsidR="000D7F18" w:rsidRDefault="00576E01">
    <w:pPr>
      <w:pStyle w:val="Cabealho"/>
    </w:pPr>
    <w:r>
      <w:rPr>
        <w:noProof/>
      </w:rPr>
      <w:drawing>
        <wp:anchor distT="0" distB="0" distL="114300" distR="114300" simplePos="0" relativeHeight="251659264" behindDoc="0" locked="0" layoutInCell="1" allowOverlap="1" wp14:anchorId="6E58654C" wp14:editId="34F52BCF">
          <wp:simplePos x="0" y="0"/>
          <wp:positionH relativeFrom="margin">
            <wp:posOffset>3830320</wp:posOffset>
          </wp:positionH>
          <wp:positionV relativeFrom="paragraph">
            <wp:posOffset>-325755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F9B22CE"/>
    <w:multiLevelType w:val="hybridMultilevel"/>
    <w:tmpl w:val="9EF480F2"/>
    <w:lvl w:ilvl="0" w:tplc="92568FD0">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0"/>
  </w:num>
  <w:num w:numId="6" w16cid:durableId="56754572">
    <w:abstractNumId w:val="1"/>
  </w:num>
  <w:num w:numId="7" w16cid:durableId="412435335">
    <w:abstractNumId w:val="11"/>
  </w:num>
  <w:num w:numId="8" w16cid:durableId="1296908857">
    <w:abstractNumId w:val="7"/>
  </w:num>
  <w:num w:numId="9" w16cid:durableId="690834723">
    <w:abstractNumId w:val="12"/>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3"/>
  </w:num>
  <w:num w:numId="17" w16cid:durableId="233901191">
    <w:abstractNumId w:val="17"/>
  </w:num>
  <w:num w:numId="18" w16cid:durableId="207462357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A82"/>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4F00"/>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0F44C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0A8C"/>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11C"/>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176D"/>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3DCA"/>
    <w:rsid w:val="004B4DA0"/>
    <w:rsid w:val="004B6AEA"/>
    <w:rsid w:val="004C1896"/>
    <w:rsid w:val="004C21FF"/>
    <w:rsid w:val="004C2A0B"/>
    <w:rsid w:val="004C4069"/>
    <w:rsid w:val="004C50DD"/>
    <w:rsid w:val="004C6CB0"/>
    <w:rsid w:val="004C7141"/>
    <w:rsid w:val="004D0743"/>
    <w:rsid w:val="004D136C"/>
    <w:rsid w:val="004D1509"/>
    <w:rsid w:val="004D23AB"/>
    <w:rsid w:val="004D2C03"/>
    <w:rsid w:val="004D325D"/>
    <w:rsid w:val="004D3610"/>
    <w:rsid w:val="004D3727"/>
    <w:rsid w:val="004D5C79"/>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430"/>
    <w:rsid w:val="005A799E"/>
    <w:rsid w:val="005A7B8F"/>
    <w:rsid w:val="005B1667"/>
    <w:rsid w:val="005B2BF8"/>
    <w:rsid w:val="005B3053"/>
    <w:rsid w:val="005B30DC"/>
    <w:rsid w:val="005B5103"/>
    <w:rsid w:val="005B6414"/>
    <w:rsid w:val="005B6979"/>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18D1"/>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1AE"/>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720"/>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5342"/>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210"/>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8FD"/>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137"/>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1E3A"/>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076"/>
    <w:rsid w:val="00996EF9"/>
    <w:rsid w:val="009978C2"/>
    <w:rsid w:val="009A192B"/>
    <w:rsid w:val="009A1942"/>
    <w:rsid w:val="009A2C69"/>
    <w:rsid w:val="009A41C2"/>
    <w:rsid w:val="009A51E7"/>
    <w:rsid w:val="009A5B53"/>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351"/>
    <w:rsid w:val="00A34017"/>
    <w:rsid w:val="00A34143"/>
    <w:rsid w:val="00A34219"/>
    <w:rsid w:val="00A34FCD"/>
    <w:rsid w:val="00A356D6"/>
    <w:rsid w:val="00A35D54"/>
    <w:rsid w:val="00A35EE0"/>
    <w:rsid w:val="00A366CC"/>
    <w:rsid w:val="00A36823"/>
    <w:rsid w:val="00A37AC9"/>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ED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1A56"/>
    <w:rsid w:val="00B823F9"/>
    <w:rsid w:val="00B852D9"/>
    <w:rsid w:val="00B859E4"/>
    <w:rsid w:val="00B85A1A"/>
    <w:rsid w:val="00B8623F"/>
    <w:rsid w:val="00B86C3A"/>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96B"/>
    <w:rsid w:val="00C40D09"/>
    <w:rsid w:val="00C4258F"/>
    <w:rsid w:val="00C43752"/>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2788F"/>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5B6"/>
    <w:rsid w:val="00D75B71"/>
    <w:rsid w:val="00D77708"/>
    <w:rsid w:val="00D77952"/>
    <w:rsid w:val="00D81397"/>
    <w:rsid w:val="00D83AAB"/>
    <w:rsid w:val="00D84F67"/>
    <w:rsid w:val="00D872D9"/>
    <w:rsid w:val="00D87A54"/>
    <w:rsid w:val="00D90583"/>
    <w:rsid w:val="00D91FFA"/>
    <w:rsid w:val="00D95CF8"/>
    <w:rsid w:val="00D96376"/>
    <w:rsid w:val="00D969C6"/>
    <w:rsid w:val="00D97542"/>
    <w:rsid w:val="00D97C42"/>
    <w:rsid w:val="00DA04E7"/>
    <w:rsid w:val="00DA06AA"/>
    <w:rsid w:val="00DA1B31"/>
    <w:rsid w:val="00DA22BA"/>
    <w:rsid w:val="00DA5B1E"/>
    <w:rsid w:val="00DA5FD1"/>
    <w:rsid w:val="00DA5FE4"/>
    <w:rsid w:val="00DA7555"/>
    <w:rsid w:val="00DB0A6E"/>
    <w:rsid w:val="00DB19E5"/>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03E"/>
    <w:rsid w:val="00E21EEF"/>
    <w:rsid w:val="00E22223"/>
    <w:rsid w:val="00E22489"/>
    <w:rsid w:val="00E2249E"/>
    <w:rsid w:val="00E22836"/>
    <w:rsid w:val="00E22A55"/>
    <w:rsid w:val="00E24140"/>
    <w:rsid w:val="00E263D1"/>
    <w:rsid w:val="00E265DC"/>
    <w:rsid w:val="00E27301"/>
    <w:rsid w:val="00E27FAC"/>
    <w:rsid w:val="00E30688"/>
    <w:rsid w:val="00E30869"/>
    <w:rsid w:val="00E308CE"/>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30CF"/>
    <w:rsid w:val="00E74384"/>
    <w:rsid w:val="00E74FD2"/>
    <w:rsid w:val="00E752B5"/>
    <w:rsid w:val="00E75C64"/>
    <w:rsid w:val="00E75C6F"/>
    <w:rsid w:val="00E760B3"/>
    <w:rsid w:val="00E764E5"/>
    <w:rsid w:val="00E7685D"/>
    <w:rsid w:val="00E76BD0"/>
    <w:rsid w:val="00E76F0B"/>
    <w:rsid w:val="00E778B2"/>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5464"/>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96334"/>
    <w:rsid w:val="00FA1E6B"/>
    <w:rsid w:val="00FA4764"/>
    <w:rsid w:val="00FA4E24"/>
    <w:rsid w:val="00FA5084"/>
    <w:rsid w:val="00FA5EFF"/>
    <w:rsid w:val="00FA6B16"/>
    <w:rsid w:val="00FA74D9"/>
    <w:rsid w:val="00FB1975"/>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5.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8874</Words>
  <Characters>47925</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Welton de oliveira Mello</cp:lastModifiedBy>
  <cp:revision>2</cp:revision>
  <dcterms:created xsi:type="dcterms:W3CDTF">2026-06-15T17:23:00Z</dcterms:created>
  <dcterms:modified xsi:type="dcterms:W3CDTF">2026-06-15T17:23:00Z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