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VINCI CLIMATE CHANGE ESTRUTURADO MULTIMERCADO - FUNDO DE INVESTIMENTO FINANCEIRO RESPONSABILIDADE LIMITADA IS</w:t>
      </w:r>
      <w:r w:rsidRPr="00995F1A">
        <w:rPr>
          <w:rFonts w:ascii="Arial" w:hAnsi="Arial" w:cs="Arial"/>
        </w:rPr>
        <w:t xml:space="preserve">, datado de </w:t>
      </w:r>
      <w:r>
        <w:rPr>
          <w:rFonts w:ascii="Arial" w:hAnsi="Arial" w:cs="Arial"/>
        </w:rPr>
        <w:t>04/02/2026</w:t>
      </w:r>
    </w:p>
    <w:p w14:paraId="5DBE9534" w14:textId="77777777" w:rsidR="00A97AF1" w:rsidRDefault="00A97AF1" w:rsidP="008572F5">
      <w:pPr>
        <w:jc w:val="both"/>
        <w:rPr>
          <w:rFonts w:ascii="Arial" w:hAnsi="Arial" w:cs="Arial"/>
        </w:rPr>
      </w:pPr>
    </w:p>
    <w:p w14:paraId="3BCE270C" w14:textId="77777777" w:rsidR="00A97AF1" w:rsidRPr="00F621C0" w:rsidRDefault="00A97AF1" w:rsidP="00F621C0">
      <w:pPr>
        <w:jc w:val="center"/>
        <w:rPr>
          <w:rFonts w:ascii="Arial" w:hAnsi="Arial" w:cs="Arial"/>
          <w:b/>
          <w:bCs/>
        </w:rPr>
      </w:pPr>
      <w:r w:rsidRPr="00F621C0">
        <w:rPr>
          <w:rFonts w:ascii="Arial" w:hAnsi="Arial" w:cs="Arial"/>
          <w:b/>
          <w:bCs/>
        </w:rPr>
        <w:t xml:space="preserve">REGULAMENTO DO </w:t>
      </w:r>
      <w:bookmarkStart w:id="0" w:name="_Hlk208217975"/>
      <w:r w:rsidRPr="00F621C0">
        <w:rPr>
          <w:rFonts w:ascii="Arial" w:hAnsi="Arial" w:cs="Arial"/>
          <w:b/>
          <w:bCs/>
        </w:rPr>
        <w:t>ACESSO VINCI CLIMATE CHANGE ESTRUTURADO MULTIMERCADO -</w:t>
      </w:r>
    </w:p>
    <w:p w14:paraId="6EBCBE50" w14:textId="77777777" w:rsidR="00A97AF1" w:rsidRPr="00F621C0" w:rsidRDefault="00A97AF1" w:rsidP="00F621C0">
      <w:pPr>
        <w:jc w:val="center"/>
        <w:rPr>
          <w:rFonts w:ascii="Arial" w:hAnsi="Arial" w:cs="Arial"/>
          <w:b/>
          <w:bCs/>
        </w:rPr>
      </w:pPr>
      <w:r w:rsidRPr="00F621C0">
        <w:rPr>
          <w:rFonts w:ascii="Arial" w:hAnsi="Arial" w:cs="Arial"/>
          <w:b/>
          <w:bCs/>
        </w:rPr>
        <w:t>FUNDO DE INVESTIMENTO FINANCEIRO RESPONSABILIDADE LIMITADA IS</w:t>
      </w:r>
      <w:bookmarkEnd w:id="0"/>
    </w:p>
    <w:p w14:paraId="59DE03CA" w14:textId="77777777" w:rsidR="00A97AF1" w:rsidRPr="00F621C0" w:rsidRDefault="00A97AF1" w:rsidP="00F621C0">
      <w:pPr>
        <w:jc w:val="center"/>
        <w:rPr>
          <w:rFonts w:ascii="Arial" w:hAnsi="Arial" w:cs="Arial"/>
          <w:b/>
          <w:bCs/>
        </w:rPr>
      </w:pPr>
      <w:r w:rsidRPr="00F621C0">
        <w:rPr>
          <w:rFonts w:ascii="Arial" w:hAnsi="Arial" w:cs="Arial"/>
          <w:b/>
          <w:bCs/>
        </w:rPr>
        <w:t>CNPJ: N/A – Classe Única / 56.237.501/0001-40</w:t>
      </w:r>
    </w:p>
    <w:p w14:paraId="3544389F" w14:textId="77777777" w:rsidR="00A97AF1" w:rsidRPr="00F621C0" w:rsidRDefault="00A97AF1" w:rsidP="00F621C0">
      <w:pPr>
        <w:jc w:val="center"/>
        <w:rPr>
          <w:rFonts w:ascii="Arial" w:hAnsi="Arial" w:cs="Arial"/>
          <w:b/>
          <w:bCs/>
        </w:rPr>
      </w:pPr>
    </w:p>
    <w:p w14:paraId="153CF63E" w14:textId="01449C95" w:rsidR="00A97AF1" w:rsidRPr="00F621C0" w:rsidRDefault="00A97AF1" w:rsidP="00F621C0">
      <w:pPr>
        <w:jc w:val="right"/>
        <w:rPr>
          <w:rFonts w:ascii="Arial" w:hAnsi="Arial" w:cs="Arial"/>
        </w:rPr>
      </w:pPr>
      <w:r w:rsidRPr="00F621C0">
        <w:rPr>
          <w:rFonts w:ascii="Arial" w:hAnsi="Arial" w:cs="Arial"/>
          <w:b/>
          <w:bCs/>
          <w:smallCaps/>
        </w:rPr>
        <w:t>Vigência</w:t>
      </w:r>
      <w:r w:rsidRPr="00F621C0">
        <w:rPr>
          <w:rFonts w:ascii="Arial" w:hAnsi="Arial" w:cs="Arial"/>
        </w:rPr>
        <w:t xml:space="preserve">: </w:t>
      </w:r>
      <w:r w:rsidR="00B22CF6">
        <w:rPr>
          <w:rFonts w:ascii="Arial" w:hAnsi="Arial" w:cs="Arial"/>
          <w:b/>
          <w:bCs/>
        </w:rPr>
        <w:t>11/02/2026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82"/>
      </w:tblGrid>
      <w:tr w:rsidR="00A97AF1" w:rsidRPr="00F621C0" w14:paraId="7163D933" w14:textId="77777777" w:rsidTr="0075351C">
        <w:tc>
          <w:tcPr>
            <w:tcW w:w="5000" w:type="pct"/>
            <w:tcBorders>
              <w:top w:val="single" w:sz="4" w:space="0" w:color="auto"/>
              <w:left w:val="single" w:sz="4" w:space="0" w:color="auto"/>
              <w:bottom w:val="single" w:sz="4" w:space="0" w:color="auto"/>
              <w:right w:val="single" w:sz="4" w:space="0" w:color="auto"/>
            </w:tcBorders>
            <w:shd w:val="clear" w:color="auto" w:fill="FF0000"/>
          </w:tcPr>
          <w:p w14:paraId="5EBF7121" w14:textId="77777777" w:rsidR="00A97AF1" w:rsidRPr="00F621C0" w:rsidRDefault="00A97AF1" w:rsidP="0075351C">
            <w:pPr>
              <w:ind w:left="360"/>
              <w:jc w:val="center"/>
              <w:rPr>
                <w:rFonts w:ascii="Arial" w:hAnsi="Arial" w:cs="Arial"/>
                <w:b/>
                <w:bCs/>
                <w:color w:val="FFFFFF" w:themeColor="background1"/>
              </w:rPr>
            </w:pPr>
            <w:r w:rsidRPr="00F621C0">
              <w:rPr>
                <w:rFonts w:ascii="Arial" w:hAnsi="Arial" w:cs="Arial"/>
                <w:b/>
                <w:bCs/>
                <w:color w:val="FFFFFF" w:themeColor="background1"/>
              </w:rPr>
              <w:t>0.SUMÁRIO EXECUTIVO</w:t>
            </w:r>
          </w:p>
        </w:tc>
      </w:tr>
      <w:tr w:rsidR="00A97AF1" w:rsidRPr="00F621C0" w14:paraId="7D9F9712" w14:textId="77777777" w:rsidTr="0075351C">
        <w:tc>
          <w:tcPr>
            <w:tcW w:w="5000" w:type="pct"/>
          </w:tcPr>
          <w:p w14:paraId="1E906E0B" w14:textId="77777777" w:rsidR="00A97AF1" w:rsidRPr="00F621C0" w:rsidRDefault="00A97AF1" w:rsidP="0075351C">
            <w:pPr>
              <w:jc w:val="center"/>
              <w:rPr>
                <w:rFonts w:ascii="Arial" w:hAnsi="Arial" w:cs="Arial"/>
                <w:b/>
                <w:bCs/>
              </w:rPr>
            </w:pPr>
          </w:p>
          <w:p w14:paraId="25DA60DB" w14:textId="77777777" w:rsidR="00A97AF1" w:rsidRPr="00F621C0" w:rsidRDefault="00A97AF1" w:rsidP="0075351C">
            <w:pPr>
              <w:jc w:val="center"/>
              <w:rPr>
                <w:rFonts w:ascii="Arial" w:hAnsi="Arial" w:cs="Arial"/>
                <w:b/>
                <w:bCs/>
              </w:rPr>
            </w:pPr>
            <w:r w:rsidRPr="00F621C0">
              <w:rPr>
                <w:rFonts w:ascii="Arial" w:hAnsi="Arial" w:cs="Arial"/>
                <w:b/>
                <w:bCs/>
              </w:rPr>
              <w:t>I. Principais características do Fundo, sua Classe Única e a estrutura à qual o fundo pertence</w:t>
            </w:r>
          </w:p>
          <w:p w14:paraId="45C288A0" w14:textId="77777777" w:rsidR="00A97AF1" w:rsidRPr="00F621C0" w:rsidRDefault="00A97AF1" w:rsidP="0075351C">
            <w:pPr>
              <w:jc w:val="center"/>
              <w:rPr>
                <w:rFonts w:ascii="Arial" w:hAnsi="Arial" w:cs="Arial"/>
                <w:i/>
                <w:iCs/>
              </w:rPr>
            </w:pPr>
            <w:r w:rsidRPr="00F621C0">
              <w:rPr>
                <w:rFonts w:ascii="Arial" w:hAnsi="Arial" w:cs="Arial"/>
                <w:i/>
                <w:iCs/>
              </w:rPr>
              <w:t>(Termos definidos tem sua descrição no item 1.2 do Regulamento.)</w:t>
            </w:r>
          </w:p>
          <w:p w14:paraId="53003E83" w14:textId="77777777" w:rsidR="00A97AF1" w:rsidRPr="00F621C0" w:rsidRDefault="00A97AF1" w:rsidP="0075351C">
            <w:pPr>
              <w:jc w:val="center"/>
              <w:rPr>
                <w:rFonts w:ascii="Arial" w:hAnsi="Arial" w:cs="Arial"/>
                <w:i/>
                <w:iCs/>
              </w:rPr>
            </w:pPr>
            <w:r w:rsidRPr="00F621C0">
              <w:rPr>
                <w:rFonts w:ascii="Arial" w:hAnsi="Arial" w:cs="Arial"/>
                <w:b/>
                <w:bCs/>
                <w:i/>
                <w:iCs/>
              </w:rPr>
              <w:t>ESTE SUMÁRIO TRAZ UM RESUMO DAS PRINCIPAIS INFORMAÇÕES DA ESTRUTURA DO FUNDO, MAS NÃO PRETENDE ESGOTÁ-LAS. A LEITURA DESTE SUMÁRIO EXECUTIVO É AUXILIAR E NÃO DISPENSA A LEITURA DO INTEIRO TEOR DESTE REGULAMENTO, TAMPOUCO DOS OUTROS INSTRUMENTOS CUJA LEITURA É REQUERIDA DO COTISTA NOS TERMOS ABAIXO, NOTADAMENTE, MAS NÃO APENAS, O COMPROMISSO DE INVESTIMENTO DO FUNDO E OS REGULAMENTOS DO ACESSO FIRF E DO FIP VINCI (CONFORME ABAIXO DEFINIDOS)</w:t>
            </w:r>
            <w:r w:rsidRPr="00F621C0">
              <w:rPr>
                <w:rFonts w:ascii="Arial" w:hAnsi="Arial" w:cs="Arial"/>
                <w:i/>
                <w:iCs/>
              </w:rPr>
              <w:t>.</w:t>
            </w:r>
          </w:p>
          <w:p w14:paraId="4B6B0001" w14:textId="77777777" w:rsidR="00A97AF1" w:rsidRPr="00F621C0" w:rsidRDefault="00A97AF1" w:rsidP="00A97AF1">
            <w:pPr>
              <w:pStyle w:val="PargrafodaLista"/>
              <w:numPr>
                <w:ilvl w:val="0"/>
                <w:numId w:val="30"/>
              </w:numPr>
              <w:spacing w:after="160" w:line="259" w:lineRule="auto"/>
              <w:jc w:val="both"/>
              <w:rPr>
                <w:rFonts w:ascii="Arial" w:hAnsi="Arial" w:cs="Arial"/>
                <w:bCs/>
              </w:rPr>
            </w:pPr>
            <w:r w:rsidRPr="00F621C0">
              <w:rPr>
                <w:rFonts w:ascii="Arial" w:hAnsi="Arial" w:cs="Arial"/>
                <w:b/>
                <w:u w:val="single"/>
              </w:rPr>
              <w:t>Fundo de Classe Única</w:t>
            </w:r>
            <w:r w:rsidRPr="00F621C0">
              <w:rPr>
                <w:rFonts w:ascii="Arial" w:hAnsi="Arial" w:cs="Arial"/>
                <w:bCs/>
              </w:rPr>
              <w:t>: qualquer referência ao “Fundo” neste documento inclui sua classe única (a “</w:t>
            </w:r>
            <w:r w:rsidRPr="00F621C0">
              <w:rPr>
                <w:rFonts w:ascii="Arial" w:hAnsi="Arial" w:cs="Arial"/>
                <w:b/>
              </w:rPr>
              <w:t>Classe Única</w:t>
            </w:r>
            <w:r w:rsidRPr="00F621C0">
              <w:rPr>
                <w:rFonts w:ascii="Arial" w:hAnsi="Arial" w:cs="Arial"/>
                <w:bCs/>
              </w:rPr>
              <w:t>”). Toda a referência a este Regulamento abrange também o Anexo relativo à sua Classe Única (“</w:t>
            </w:r>
            <w:r w:rsidRPr="00F621C0">
              <w:rPr>
                <w:rFonts w:ascii="Arial" w:hAnsi="Arial" w:cs="Arial"/>
                <w:b/>
              </w:rPr>
              <w:t>Anexo</w:t>
            </w:r>
            <w:r w:rsidRPr="00F621C0">
              <w:rPr>
                <w:rFonts w:ascii="Arial" w:hAnsi="Arial" w:cs="Arial"/>
                <w:bCs/>
              </w:rPr>
              <w:t>”). A Classe Única não conta com diferentes subclasses.</w:t>
            </w:r>
          </w:p>
          <w:p w14:paraId="62EC0D17" w14:textId="77777777" w:rsidR="00A97AF1" w:rsidRPr="00F621C0" w:rsidRDefault="00A97AF1" w:rsidP="0075351C">
            <w:pPr>
              <w:pStyle w:val="PargrafodaLista"/>
              <w:spacing w:line="320" w:lineRule="exact"/>
              <w:ind w:left="360"/>
              <w:jc w:val="both"/>
              <w:rPr>
                <w:rFonts w:ascii="Arial" w:hAnsi="Arial" w:cs="Arial"/>
                <w:bCs/>
              </w:rPr>
            </w:pPr>
          </w:p>
          <w:p w14:paraId="14BF0652" w14:textId="77777777" w:rsidR="00A97AF1" w:rsidRPr="00F621C0" w:rsidRDefault="00A97AF1" w:rsidP="00A97AF1">
            <w:pPr>
              <w:pStyle w:val="PargrafodaLista"/>
              <w:numPr>
                <w:ilvl w:val="0"/>
                <w:numId w:val="30"/>
              </w:numPr>
              <w:spacing w:after="160" w:line="259" w:lineRule="auto"/>
              <w:jc w:val="both"/>
              <w:rPr>
                <w:rFonts w:ascii="Arial" w:hAnsi="Arial" w:cs="Arial"/>
                <w:b/>
              </w:rPr>
            </w:pPr>
            <w:r w:rsidRPr="00F621C0">
              <w:rPr>
                <w:rFonts w:ascii="Arial" w:hAnsi="Arial" w:cs="Arial"/>
                <w:b/>
                <w:u w:val="single"/>
              </w:rPr>
              <w:t>Condomínio</w:t>
            </w:r>
            <w:r w:rsidRPr="00F621C0">
              <w:rPr>
                <w:rFonts w:ascii="Arial" w:hAnsi="Arial" w:cs="Arial"/>
                <w:bCs/>
                <w:u w:val="single"/>
              </w:rPr>
              <w:t xml:space="preserve"> </w:t>
            </w:r>
            <w:r w:rsidRPr="00F621C0">
              <w:rPr>
                <w:rFonts w:ascii="Arial" w:hAnsi="Arial" w:cs="Arial"/>
                <w:b/>
                <w:u w:val="single"/>
              </w:rPr>
              <w:t>Fechado</w:t>
            </w:r>
            <w:r w:rsidRPr="00F621C0">
              <w:rPr>
                <w:rFonts w:ascii="Arial" w:hAnsi="Arial" w:cs="Arial"/>
                <w:bCs/>
              </w:rPr>
              <w:t>, com prazo de duração determinado, conforme descrito no item 3.1 da Parte Geral deste Regulamento.</w:t>
            </w:r>
          </w:p>
          <w:p w14:paraId="7F623EE4" w14:textId="77777777" w:rsidR="00A97AF1" w:rsidRPr="00F621C0" w:rsidRDefault="00A97AF1" w:rsidP="0075351C">
            <w:pPr>
              <w:pStyle w:val="PargrafodaLista"/>
              <w:ind w:left="360"/>
              <w:rPr>
                <w:rFonts w:ascii="Arial" w:hAnsi="Arial" w:cs="Arial"/>
                <w:b/>
              </w:rPr>
            </w:pPr>
          </w:p>
          <w:p w14:paraId="7713BF7D" w14:textId="77777777" w:rsidR="00A97AF1" w:rsidRPr="00F621C0" w:rsidRDefault="00A97AF1" w:rsidP="00A97AF1">
            <w:pPr>
              <w:pStyle w:val="PargrafodaLista"/>
              <w:numPr>
                <w:ilvl w:val="0"/>
                <w:numId w:val="30"/>
              </w:numPr>
              <w:spacing w:after="160" w:line="259" w:lineRule="auto"/>
              <w:jc w:val="both"/>
              <w:rPr>
                <w:rFonts w:ascii="Arial" w:hAnsi="Arial" w:cs="Arial"/>
                <w:b/>
              </w:rPr>
            </w:pPr>
            <w:r w:rsidRPr="00F621C0">
              <w:rPr>
                <w:rFonts w:ascii="Arial" w:hAnsi="Arial" w:cs="Arial"/>
                <w:b/>
                <w:u w:val="single"/>
              </w:rPr>
              <w:t>Objetivo do Fundo</w:t>
            </w:r>
            <w:r w:rsidRPr="00F621C0">
              <w:rPr>
                <w:rFonts w:ascii="Arial" w:hAnsi="Arial" w:cs="Arial"/>
                <w:bCs/>
              </w:rPr>
              <w:t xml:space="preserve">: Investir no mínimo 95% do seu patrimônio líquido no </w:t>
            </w:r>
            <w:r w:rsidRPr="00F621C0">
              <w:rPr>
                <w:rFonts w:ascii="Arial" w:hAnsi="Arial" w:cs="Arial"/>
                <w:bCs/>
                <w:u w:val="single"/>
              </w:rPr>
              <w:t>Vinci Climate Change Feeder C Fundo de Investimento em Participações com Responsabilidade Limitada – IS</w:t>
            </w:r>
            <w:r w:rsidRPr="00F621C0">
              <w:rPr>
                <w:rFonts w:ascii="Arial" w:hAnsi="Arial" w:cs="Arial"/>
                <w:bCs/>
              </w:rPr>
              <w:t xml:space="preserve"> (“</w:t>
            </w:r>
            <w:r w:rsidRPr="00F621C0">
              <w:rPr>
                <w:rFonts w:ascii="Arial" w:hAnsi="Arial" w:cs="Arial"/>
                <w:b/>
              </w:rPr>
              <w:t>FIP Vinci</w:t>
            </w:r>
            <w:r w:rsidRPr="00F621C0">
              <w:rPr>
                <w:rFonts w:ascii="Arial" w:hAnsi="Arial" w:cs="Arial"/>
                <w:bCs/>
              </w:rPr>
              <w:t xml:space="preserve">”), que por sua vez investe seus recursos na classe (futura subclasse) C do </w:t>
            </w:r>
            <w:r w:rsidRPr="00F621C0">
              <w:rPr>
                <w:rFonts w:ascii="Arial" w:hAnsi="Arial" w:cs="Arial"/>
                <w:bCs/>
                <w:u w:val="single"/>
              </w:rPr>
              <w:t>Vinci Climate Change Master Fundo de Investimento em Participações com Responsabilidade Limitada – IS</w:t>
            </w:r>
            <w:r w:rsidRPr="00F621C0">
              <w:rPr>
                <w:rFonts w:ascii="Arial" w:hAnsi="Arial" w:cs="Arial"/>
                <w:bCs/>
              </w:rPr>
              <w:t>, inscrito no CNPJ/MF sob o nº 45.146.956/0001-34 (“</w:t>
            </w:r>
            <w:r w:rsidRPr="00F621C0">
              <w:rPr>
                <w:rFonts w:ascii="Arial" w:hAnsi="Arial" w:cs="Arial"/>
                <w:b/>
              </w:rPr>
              <w:t>FIP Vinci Master</w:t>
            </w:r>
            <w:r w:rsidRPr="00F621C0">
              <w:rPr>
                <w:rFonts w:ascii="Arial" w:hAnsi="Arial" w:cs="Arial"/>
                <w:bCs/>
              </w:rPr>
              <w:t xml:space="preserve">”) nos termos do item 3 do Anexo. </w:t>
            </w:r>
          </w:p>
          <w:p w14:paraId="4BA6189E" w14:textId="77777777" w:rsidR="00A97AF1" w:rsidRPr="00F621C0" w:rsidRDefault="00A97AF1" w:rsidP="0075351C">
            <w:pPr>
              <w:pStyle w:val="PargrafodaLista"/>
              <w:rPr>
                <w:rFonts w:ascii="Arial" w:hAnsi="Arial" w:cs="Arial"/>
                <w:bCs/>
              </w:rPr>
            </w:pPr>
          </w:p>
          <w:p w14:paraId="3E0B4921" w14:textId="77777777" w:rsidR="00A97AF1" w:rsidRPr="00F621C0" w:rsidRDefault="00A97AF1" w:rsidP="0075351C">
            <w:pPr>
              <w:pStyle w:val="PargrafodaLista"/>
              <w:ind w:left="360"/>
              <w:jc w:val="both"/>
              <w:rPr>
                <w:rFonts w:ascii="Arial" w:hAnsi="Arial" w:cs="Arial"/>
                <w:bCs/>
              </w:rPr>
            </w:pPr>
            <w:r w:rsidRPr="00F621C0">
              <w:rPr>
                <w:rFonts w:ascii="Arial" w:hAnsi="Arial" w:cs="Arial"/>
                <w:bCs/>
              </w:rPr>
              <w:t xml:space="preserve">O FIP Vinci é exclusivamente destinado ao Fundo e a outros fundos de investimento geridos pelo Gestor ou por empresas que pertençam ao seu grupo econômico. O FIP Vinci Master é destinado a diversos tipos de investidores, além do FIP Vinci, conforme seus respectivos públicos-alvo. Considerando a relevância do FIP Vinci para a estratégia do Fundo, o Cotista também deve ler atentamente o regulamento e os materiais de oferta do FIP Vinci, disponíveis nos sites da CVM, do administrador e do intermediário líder da oferta pública de cotas do FIP Vinci. </w:t>
            </w:r>
          </w:p>
          <w:p w14:paraId="520147C3" w14:textId="77777777" w:rsidR="00A97AF1" w:rsidRPr="00F621C0" w:rsidRDefault="00A97AF1" w:rsidP="0075351C">
            <w:pPr>
              <w:pStyle w:val="PargrafodaLista"/>
              <w:ind w:left="360"/>
              <w:jc w:val="both"/>
              <w:rPr>
                <w:rFonts w:ascii="Arial" w:hAnsi="Arial" w:cs="Arial"/>
                <w:bCs/>
              </w:rPr>
            </w:pPr>
          </w:p>
          <w:p w14:paraId="162AD657" w14:textId="77777777" w:rsidR="00A97AF1" w:rsidRPr="00F621C0" w:rsidRDefault="00A97AF1" w:rsidP="00A97AF1">
            <w:pPr>
              <w:pStyle w:val="PargrafodaLista"/>
              <w:numPr>
                <w:ilvl w:val="0"/>
                <w:numId w:val="30"/>
              </w:numPr>
              <w:spacing w:after="160" w:line="259" w:lineRule="auto"/>
              <w:jc w:val="both"/>
              <w:rPr>
                <w:rFonts w:ascii="Arial" w:hAnsi="Arial" w:cs="Arial"/>
                <w:bCs/>
              </w:rPr>
            </w:pPr>
            <w:r w:rsidRPr="00F621C0">
              <w:rPr>
                <w:rFonts w:ascii="Arial" w:hAnsi="Arial" w:cs="Arial"/>
                <w:b/>
                <w:u w:val="single"/>
              </w:rPr>
              <w:t xml:space="preserve">Prazo de Duração do Fundo: </w:t>
            </w:r>
            <w:r w:rsidRPr="00F621C0">
              <w:rPr>
                <w:rFonts w:ascii="Arial" w:hAnsi="Arial" w:cs="Arial"/>
                <w:bCs/>
              </w:rPr>
              <w:t>O prazo de duração do Fundo</w:t>
            </w:r>
            <w:r w:rsidRPr="00F621C0">
              <w:rPr>
                <w:rFonts w:ascii="Arial" w:hAnsi="Arial" w:cs="Arial"/>
                <w:b/>
              </w:rPr>
              <w:t xml:space="preserve"> </w:t>
            </w:r>
            <w:r w:rsidRPr="00F621C0">
              <w:rPr>
                <w:rFonts w:ascii="Arial" w:hAnsi="Arial" w:cs="Arial"/>
                <w:bCs/>
              </w:rPr>
              <w:t>é de até 12 anos (o “</w:t>
            </w:r>
            <w:r w:rsidRPr="00F621C0">
              <w:rPr>
                <w:rFonts w:ascii="Arial" w:hAnsi="Arial" w:cs="Arial"/>
                <w:b/>
              </w:rPr>
              <w:t>Prazo de Duração</w:t>
            </w:r>
            <w:r w:rsidRPr="00F621C0">
              <w:rPr>
                <w:rFonts w:ascii="Arial" w:hAnsi="Arial" w:cs="Arial"/>
                <w:bCs/>
              </w:rPr>
              <w:t>”), contados de 30 de setembro de 2024 (a “</w:t>
            </w:r>
            <w:r w:rsidRPr="00F621C0">
              <w:rPr>
                <w:rFonts w:ascii="Arial" w:hAnsi="Arial" w:cs="Arial"/>
                <w:b/>
              </w:rPr>
              <w:t>Data de Início do Prazo</w:t>
            </w:r>
            <w:r w:rsidRPr="00F621C0">
              <w:rPr>
                <w:rFonts w:ascii="Arial" w:hAnsi="Arial" w:cs="Arial"/>
                <w:bCs/>
              </w:rPr>
              <w:t>”), sendo admitida a sua liquidação a partir do 10º ano do seu Prazo de Duração em caso de liquidação do FIP Vinci e do FIP Vinci Master, nos termos dos itens 2.4 e 6.4 do Anexo. O Prazo de Duração do Fundo poderá ser alterado mediante decisão da Assembleia Geral de Cotistas do Fundo, bem como afetado pelas regras descritas no item 2.4 do Anexo.</w:t>
            </w:r>
          </w:p>
          <w:p w14:paraId="046D7A90" w14:textId="77777777" w:rsidR="00A97AF1" w:rsidRPr="00F621C0" w:rsidRDefault="00A97AF1" w:rsidP="0075351C">
            <w:pPr>
              <w:pStyle w:val="PargrafodaLista"/>
              <w:ind w:left="360"/>
              <w:jc w:val="both"/>
              <w:rPr>
                <w:rFonts w:ascii="Arial" w:hAnsi="Arial" w:cs="Arial"/>
                <w:bCs/>
              </w:rPr>
            </w:pPr>
          </w:p>
          <w:p w14:paraId="77038734" w14:textId="77777777" w:rsidR="00A97AF1" w:rsidRPr="00F621C0" w:rsidRDefault="00A97AF1" w:rsidP="0075351C">
            <w:pPr>
              <w:pStyle w:val="PargrafodaLista"/>
              <w:ind w:left="360"/>
              <w:jc w:val="both"/>
              <w:rPr>
                <w:rFonts w:ascii="Arial" w:hAnsi="Arial" w:cs="Arial"/>
                <w:bCs/>
              </w:rPr>
            </w:pPr>
            <w:r w:rsidRPr="00F621C0">
              <w:rPr>
                <w:rFonts w:ascii="Arial" w:hAnsi="Arial" w:cs="Arial"/>
                <w:bCs/>
              </w:rPr>
              <w:t xml:space="preserve">O Prazo de Duração do Fundo é integralmente dependente dos prazos de duração do FIP Vinci e do FIP Vinci Master, de modo que o Prazo de Duração do Fundo poderá ser reduzido ou estendido em razão de alterações e/ou eventos relacionados ao FIP Vinci e ao FIP Vinci Master e seus respectivos prazos. </w:t>
            </w:r>
          </w:p>
          <w:p w14:paraId="5D66CC20" w14:textId="77777777" w:rsidR="00A97AF1" w:rsidRPr="00F621C0" w:rsidRDefault="00A97AF1" w:rsidP="0075351C">
            <w:pPr>
              <w:pStyle w:val="PargrafodaLista"/>
              <w:ind w:left="360"/>
              <w:jc w:val="both"/>
              <w:rPr>
                <w:rFonts w:ascii="Arial" w:hAnsi="Arial" w:cs="Arial"/>
                <w:bCs/>
              </w:rPr>
            </w:pPr>
          </w:p>
          <w:p w14:paraId="4BB1D9BE" w14:textId="77777777" w:rsidR="00A97AF1" w:rsidRPr="00F621C0" w:rsidRDefault="00A97AF1" w:rsidP="00A97AF1">
            <w:pPr>
              <w:pStyle w:val="PargrafodaLista"/>
              <w:numPr>
                <w:ilvl w:val="0"/>
                <w:numId w:val="30"/>
              </w:numPr>
              <w:spacing w:after="160" w:line="259" w:lineRule="auto"/>
              <w:jc w:val="both"/>
              <w:rPr>
                <w:rFonts w:ascii="Arial" w:hAnsi="Arial" w:cs="Arial"/>
                <w:bCs/>
              </w:rPr>
            </w:pPr>
            <w:r w:rsidRPr="00F621C0">
              <w:rPr>
                <w:rFonts w:ascii="Arial" w:hAnsi="Arial" w:cs="Arial"/>
                <w:b/>
                <w:u w:val="single"/>
              </w:rPr>
              <w:t>Chamadas de Capital</w:t>
            </w:r>
            <w:r w:rsidRPr="00F621C0">
              <w:rPr>
                <w:rFonts w:ascii="Arial" w:hAnsi="Arial" w:cs="Arial"/>
                <w:bCs/>
              </w:rPr>
              <w:t>: O investimento no Fundo é realizado através de comprometimento de capital, no qual os Cotistas se obrigam a investir um determinado montante de recursos (“</w:t>
            </w:r>
            <w:r w:rsidRPr="00F621C0">
              <w:rPr>
                <w:rFonts w:ascii="Arial" w:hAnsi="Arial" w:cs="Arial"/>
                <w:b/>
              </w:rPr>
              <w:t>Capital Comprometido</w:t>
            </w:r>
            <w:r w:rsidRPr="00F621C0">
              <w:rPr>
                <w:rFonts w:ascii="Arial" w:hAnsi="Arial" w:cs="Arial"/>
                <w:bCs/>
              </w:rPr>
              <w:t>”) no Fundo, que usará tais recursos para fazer seus investimentos no FIP Vinci. A formalização do Capital Comprometido é feita através da assinatura de Compromisso de Investimento e da subscrição de cotas do Fundo.</w:t>
            </w:r>
          </w:p>
          <w:p w14:paraId="00FB1A01" w14:textId="77777777" w:rsidR="00A97AF1" w:rsidRPr="00F621C0" w:rsidRDefault="00A97AF1" w:rsidP="0075351C">
            <w:pPr>
              <w:pStyle w:val="PargrafodaLista"/>
              <w:ind w:left="360"/>
              <w:jc w:val="both"/>
              <w:rPr>
                <w:rFonts w:ascii="Arial" w:hAnsi="Arial" w:cs="Arial"/>
                <w:bCs/>
              </w:rPr>
            </w:pPr>
          </w:p>
          <w:p w14:paraId="3C2152E2" w14:textId="77777777" w:rsidR="00A97AF1" w:rsidRPr="00F621C0" w:rsidRDefault="00A97AF1" w:rsidP="0075351C">
            <w:pPr>
              <w:pStyle w:val="PargrafodaLista"/>
              <w:ind w:left="360"/>
              <w:jc w:val="both"/>
              <w:rPr>
                <w:rFonts w:ascii="Arial" w:hAnsi="Arial" w:cs="Arial"/>
                <w:bCs/>
              </w:rPr>
            </w:pPr>
            <w:r w:rsidRPr="00F621C0">
              <w:rPr>
                <w:rFonts w:ascii="Arial" w:hAnsi="Arial" w:cs="Arial"/>
                <w:bCs/>
              </w:rPr>
              <w:t>A integralização (pagamento) do Capital Comprometido pelos Cotistas no Fundo deve ocorrer de forma gradual durante o Prazo de Duração do Fundo, conforme previsto no Compromisso de Investimento. Este processo se dá através do mecanismo de Chamada de Capital, em que o Fundo, por intermédio de comunicação feita pelo Administrador, solicita o pagamento de parcelas do Capital Comprometido dos Cotistas, conforme os detalhes específicos de cada Chamada de Capital e nos termos do item 10.2. O FIP Vinci funciona da mesma maneira, realizando suas chamadas de capital para o Fundo à medida em que encontra oportunidades de investimento e/ou pagamento de suas despesas, obrigando o Fundo a realizar integralizações mediante as chamadas de capital realizadas pelo FIP Vinci. O funcionamento das Chamadas de Capital está detalhado no item 6.1 do Anexo a este Regulamento e no Compromisso de Investimento.</w:t>
            </w:r>
          </w:p>
          <w:p w14:paraId="65757C9F" w14:textId="77777777" w:rsidR="00A97AF1" w:rsidRPr="00F621C0" w:rsidRDefault="00A97AF1" w:rsidP="0075351C">
            <w:pPr>
              <w:pStyle w:val="PargrafodaLista"/>
              <w:ind w:left="360"/>
              <w:jc w:val="both"/>
              <w:rPr>
                <w:rFonts w:ascii="Arial" w:hAnsi="Arial" w:cs="Arial"/>
              </w:rPr>
            </w:pPr>
          </w:p>
          <w:p w14:paraId="673AC0DE" w14:textId="77777777" w:rsidR="00A97AF1" w:rsidRPr="00F621C0" w:rsidRDefault="00A97AF1" w:rsidP="00A97AF1">
            <w:pPr>
              <w:pStyle w:val="PargrafodaLista"/>
              <w:numPr>
                <w:ilvl w:val="0"/>
                <w:numId w:val="30"/>
              </w:numPr>
              <w:spacing w:after="160" w:line="259" w:lineRule="auto"/>
              <w:jc w:val="both"/>
              <w:rPr>
                <w:rFonts w:ascii="Arial" w:hAnsi="Arial" w:cs="Arial"/>
                <w:bCs/>
              </w:rPr>
            </w:pPr>
            <w:r w:rsidRPr="00F621C0">
              <w:rPr>
                <w:rFonts w:ascii="Arial" w:hAnsi="Arial" w:cs="Arial"/>
                <w:b/>
                <w:u w:val="single"/>
              </w:rPr>
              <w:t xml:space="preserve">Estrutura </w:t>
            </w:r>
            <w:r w:rsidRPr="00F621C0">
              <w:rPr>
                <w:rFonts w:ascii="Arial" w:hAnsi="Arial" w:cs="Arial"/>
                <w:b/>
                <w:i/>
                <w:iCs/>
                <w:u w:val="single"/>
              </w:rPr>
              <w:t>Side by Side</w:t>
            </w:r>
            <w:r w:rsidRPr="00F621C0">
              <w:rPr>
                <w:rFonts w:ascii="Arial" w:hAnsi="Arial" w:cs="Arial"/>
                <w:bCs/>
              </w:rPr>
              <w:t xml:space="preserve">: A eventual inadimplência de um investidor de sua obrigação de pagar uma determinada Chamada de Capital traz riscos relevantes para o Fundo, pois incapacita o Fundo de cumprir com suas obrigações perante o FIP Vinci. Para a mitigação substancial deste risco, e como </w:t>
            </w:r>
            <w:r w:rsidRPr="00F621C0">
              <w:rPr>
                <w:rFonts w:ascii="Arial" w:hAnsi="Arial" w:cs="Arial"/>
                <w:b/>
              </w:rPr>
              <w:t>condição essencial para a realização do investimento no Fundo</w:t>
            </w:r>
            <w:r w:rsidRPr="00F621C0">
              <w:rPr>
                <w:rFonts w:ascii="Arial" w:hAnsi="Arial" w:cs="Arial"/>
                <w:bCs/>
              </w:rPr>
              <w:t xml:space="preserve">, a estrutura necessária para o investimento no Fundo é composta por </w:t>
            </w:r>
            <w:r w:rsidRPr="00F621C0">
              <w:rPr>
                <w:rFonts w:ascii="Arial" w:hAnsi="Arial" w:cs="Arial"/>
                <w:b/>
                <w:u w:val="single"/>
              </w:rPr>
              <w:t>dois fundos de investimento financeiros conexos e paralelos</w:t>
            </w:r>
            <w:r w:rsidRPr="00F621C0">
              <w:rPr>
                <w:rFonts w:ascii="Arial" w:hAnsi="Arial" w:cs="Arial"/>
                <w:bCs/>
              </w:rPr>
              <w:t xml:space="preserve">: </w:t>
            </w:r>
            <w:r w:rsidRPr="00F621C0">
              <w:rPr>
                <w:rFonts w:ascii="Arial" w:hAnsi="Arial" w:cs="Arial"/>
                <w:b/>
              </w:rPr>
              <w:t>o próprio Fundo</w:t>
            </w:r>
            <w:r w:rsidRPr="00F621C0">
              <w:rPr>
                <w:rFonts w:ascii="Arial" w:hAnsi="Arial" w:cs="Arial"/>
                <w:bCs/>
              </w:rPr>
              <w:t xml:space="preserve"> e o </w:t>
            </w:r>
            <w:bookmarkStart w:id="1" w:name="_Hlk170426685"/>
            <w:r w:rsidRPr="00F621C0">
              <w:rPr>
                <w:rFonts w:ascii="Arial" w:hAnsi="Arial" w:cs="Arial"/>
                <w:b/>
              </w:rPr>
              <w:t xml:space="preserve">Acesso Vinci Climate Change Compromisso Renda Fixa Referenciado DI - Fundo de Investimento Financeiro Responsabilidade </w:t>
            </w:r>
            <w:bookmarkEnd w:id="1"/>
            <w:r w:rsidRPr="00F621C0">
              <w:rPr>
                <w:rFonts w:ascii="Arial" w:hAnsi="Arial" w:cs="Arial"/>
                <w:b/>
              </w:rPr>
              <w:t>Limitada</w:t>
            </w:r>
            <w:r w:rsidRPr="00F621C0">
              <w:rPr>
                <w:rFonts w:ascii="Arial" w:hAnsi="Arial" w:cs="Arial"/>
                <w:bCs/>
              </w:rPr>
              <w:t>, inscrito no CNPJ sob o nº 56.237.434/0001-64 (“</w:t>
            </w:r>
            <w:r w:rsidRPr="00F621C0">
              <w:rPr>
                <w:rFonts w:ascii="Arial" w:hAnsi="Arial" w:cs="Arial"/>
                <w:b/>
              </w:rPr>
              <w:t>Acesso FIRF</w:t>
            </w:r>
            <w:r w:rsidRPr="00F621C0">
              <w:rPr>
                <w:rFonts w:ascii="Arial" w:hAnsi="Arial" w:cs="Arial"/>
                <w:bCs/>
              </w:rPr>
              <w:t xml:space="preserve">”). </w:t>
            </w:r>
          </w:p>
          <w:p w14:paraId="5405EE12" w14:textId="77777777" w:rsidR="00A97AF1" w:rsidRPr="00F621C0" w:rsidRDefault="00A97AF1" w:rsidP="0075351C">
            <w:pPr>
              <w:pStyle w:val="PargrafodaLista"/>
              <w:ind w:left="360"/>
              <w:jc w:val="both"/>
              <w:rPr>
                <w:rFonts w:ascii="Arial" w:hAnsi="Arial" w:cs="Arial"/>
              </w:rPr>
            </w:pPr>
          </w:p>
          <w:p w14:paraId="028B1830" w14:textId="77777777" w:rsidR="00A97AF1" w:rsidRPr="00F621C0" w:rsidRDefault="00A97AF1" w:rsidP="0075351C">
            <w:pPr>
              <w:pStyle w:val="PargrafodaLista"/>
              <w:ind w:left="360"/>
              <w:jc w:val="both"/>
              <w:rPr>
                <w:rFonts w:ascii="Arial" w:hAnsi="Arial" w:cs="Arial"/>
              </w:rPr>
            </w:pPr>
            <w:r w:rsidRPr="00F621C0">
              <w:rPr>
                <w:rFonts w:ascii="Arial" w:hAnsi="Arial" w:cs="Arial"/>
              </w:rPr>
              <w:t xml:space="preserve">Para viabilizar seu investimento no Fundo, </w:t>
            </w:r>
            <w:r w:rsidRPr="00F621C0">
              <w:rPr>
                <w:rFonts w:ascii="Arial" w:hAnsi="Arial" w:cs="Arial"/>
                <w:b/>
                <w:bCs/>
              </w:rPr>
              <w:t>e como condição essencial para a consumação do negócio</w:t>
            </w:r>
            <w:r w:rsidRPr="00F621C0">
              <w:rPr>
                <w:rFonts w:ascii="Arial" w:hAnsi="Arial" w:cs="Arial"/>
              </w:rPr>
              <w:t>, o Cotista deverá aportar a integralidade dos valores de seu Capital Comprometido no Acesso FIRF em 20 de setembro de 2024 (“</w:t>
            </w:r>
            <w:r w:rsidRPr="00F621C0">
              <w:rPr>
                <w:rFonts w:ascii="Arial" w:hAnsi="Arial" w:cs="Arial"/>
                <w:b/>
                <w:bCs/>
              </w:rPr>
              <w:t>Data de Liquidação da Oferta</w:t>
            </w:r>
            <w:r w:rsidRPr="00F621C0">
              <w:rPr>
                <w:rFonts w:ascii="Arial" w:hAnsi="Arial" w:cs="Arial"/>
              </w:rPr>
              <w:t>”), conforme previsto no Compromisso de Investimento e no boletim de subscrição (“</w:t>
            </w:r>
            <w:r w:rsidRPr="00F621C0">
              <w:rPr>
                <w:rFonts w:ascii="Arial" w:hAnsi="Arial" w:cs="Arial"/>
                <w:b/>
                <w:bCs/>
              </w:rPr>
              <w:t>Aporte de Liquidez</w:t>
            </w:r>
            <w:r w:rsidRPr="00F621C0">
              <w:rPr>
                <w:rFonts w:ascii="Arial" w:hAnsi="Arial" w:cs="Arial"/>
              </w:rPr>
              <w:t>”). Os recursos integralizados no Acesso FIRF através do Aporte de Liquidez serão utilizados para fornecer a liquidez necessária para que todos os Cotistas possam arcar com o pagamento das Chamadas de Capital realizadas durante o Prazo de Duração do Fundo (“</w:t>
            </w:r>
            <w:r w:rsidRPr="00F621C0">
              <w:rPr>
                <w:rFonts w:ascii="Arial" w:hAnsi="Arial" w:cs="Arial"/>
                <w:b/>
                <w:bCs/>
                <w:u w:val="single"/>
              </w:rPr>
              <w:t xml:space="preserve">Estrutura </w:t>
            </w:r>
            <w:r w:rsidRPr="00F621C0">
              <w:rPr>
                <w:rFonts w:ascii="Arial" w:hAnsi="Arial" w:cs="Arial"/>
                <w:b/>
                <w:bCs/>
                <w:i/>
                <w:iCs/>
                <w:u w:val="single"/>
              </w:rPr>
              <w:t>Side by Side</w:t>
            </w:r>
            <w:r w:rsidRPr="00F621C0">
              <w:rPr>
                <w:rFonts w:ascii="Arial" w:hAnsi="Arial" w:cs="Arial"/>
              </w:rPr>
              <w:t>”). Este objetivo será atingido através do Mecanismo de Aporte Automático, descrito no item 6.1 (c). do Anexo, através do qual as movimentações financeiras de resgate de cotas do Acesso FIRF e a subsequente integralização de Cotas do Fundo são realizadas automaticamente pelo Administrador e/ou pelo Distribuidor em nome dos Cotistas. Desta forma, o Fundo poderá assumir seu compromisso de investimento com o FIP Vinci sem o risco de inadimplência de algum de seus Cotistas que, se materializado, prejudicaria todos os Cotistas do Fundo.</w:t>
            </w:r>
          </w:p>
          <w:p w14:paraId="2D2B8F47" w14:textId="77777777" w:rsidR="00A97AF1" w:rsidRPr="00F621C0" w:rsidRDefault="00A97AF1" w:rsidP="0075351C">
            <w:pPr>
              <w:pStyle w:val="PargrafodaLista"/>
              <w:ind w:left="360"/>
              <w:jc w:val="both"/>
              <w:rPr>
                <w:rFonts w:ascii="Arial" w:hAnsi="Arial" w:cs="Arial"/>
              </w:rPr>
            </w:pPr>
          </w:p>
          <w:p w14:paraId="7B246637" w14:textId="77777777" w:rsidR="00A97AF1" w:rsidRPr="00F621C0" w:rsidRDefault="00A97AF1" w:rsidP="0075351C">
            <w:pPr>
              <w:pStyle w:val="PargrafodaLista"/>
              <w:ind w:left="360"/>
              <w:jc w:val="both"/>
              <w:rPr>
                <w:rFonts w:ascii="Arial" w:hAnsi="Arial" w:cs="Arial"/>
              </w:rPr>
            </w:pPr>
            <w:r w:rsidRPr="00F621C0">
              <w:rPr>
                <w:rFonts w:ascii="Arial" w:hAnsi="Arial" w:cs="Arial"/>
              </w:rPr>
              <w:t xml:space="preserve">O item II deste Sumário Executivo traz uma ilustração do funcionamento da Estrutura </w:t>
            </w:r>
            <w:r w:rsidRPr="00F621C0">
              <w:rPr>
                <w:rFonts w:ascii="Arial" w:hAnsi="Arial" w:cs="Arial"/>
                <w:i/>
                <w:iCs/>
              </w:rPr>
              <w:t>Side by Side</w:t>
            </w:r>
            <w:r w:rsidRPr="00F621C0">
              <w:rPr>
                <w:rFonts w:ascii="Arial" w:hAnsi="Arial" w:cs="Arial"/>
              </w:rPr>
              <w:t xml:space="preserve">, composta pelo Fundo e pelo Acesso FIRF, que devem ser entendidos como conexos entre si do ponto de vista legal. A ilustração, assim como este Sumário Executivo, não substitui a leitura integral e cuidadosa deste Regulamento e do Compromisso de Investimento, além do Regulamento do Acesso FIRF e do Regulamento do FIP Vinci. </w:t>
            </w:r>
          </w:p>
          <w:p w14:paraId="3E725181" w14:textId="77777777" w:rsidR="00A97AF1" w:rsidRPr="00F621C0" w:rsidRDefault="00A97AF1" w:rsidP="0075351C">
            <w:pPr>
              <w:pStyle w:val="PargrafodaLista"/>
              <w:ind w:left="360"/>
              <w:jc w:val="both"/>
              <w:rPr>
                <w:rFonts w:ascii="Arial" w:hAnsi="Arial" w:cs="Arial"/>
                <w:b/>
                <w:bCs/>
              </w:rPr>
            </w:pPr>
          </w:p>
          <w:p w14:paraId="42AD8FB7" w14:textId="77777777" w:rsidR="00A97AF1" w:rsidRPr="00F621C0" w:rsidRDefault="00A97AF1" w:rsidP="00A97AF1">
            <w:pPr>
              <w:pStyle w:val="PargrafodaLista"/>
              <w:numPr>
                <w:ilvl w:val="0"/>
                <w:numId w:val="30"/>
              </w:numPr>
              <w:spacing w:after="160" w:line="259" w:lineRule="auto"/>
              <w:jc w:val="both"/>
              <w:rPr>
                <w:rFonts w:ascii="Arial" w:hAnsi="Arial" w:cs="Arial"/>
                <w:b/>
                <w:bCs/>
              </w:rPr>
            </w:pPr>
            <w:r w:rsidRPr="00F621C0">
              <w:rPr>
                <w:rFonts w:ascii="Arial" w:hAnsi="Arial" w:cs="Arial"/>
                <w:b/>
                <w:bCs/>
                <w:u w:val="single"/>
              </w:rPr>
              <w:t>Acesso FIRF</w:t>
            </w:r>
            <w:r w:rsidRPr="00F621C0">
              <w:rPr>
                <w:rFonts w:ascii="Arial" w:hAnsi="Arial" w:cs="Arial"/>
                <w:b/>
                <w:bCs/>
              </w:rPr>
              <w:t xml:space="preserve">: </w:t>
            </w:r>
            <w:r w:rsidRPr="00F621C0">
              <w:rPr>
                <w:rFonts w:ascii="Arial" w:hAnsi="Arial" w:cs="Arial"/>
              </w:rPr>
              <w:t xml:space="preserve">O </w:t>
            </w:r>
            <w:r w:rsidRPr="00F621C0">
              <w:rPr>
                <w:rFonts w:ascii="Arial" w:hAnsi="Arial" w:cs="Arial"/>
                <w:b/>
                <w:u w:val="single"/>
              </w:rPr>
              <w:t>Acesso FIRF</w:t>
            </w:r>
            <w:r w:rsidRPr="00F621C0">
              <w:rPr>
                <w:rFonts w:ascii="Arial" w:hAnsi="Arial" w:cs="Arial"/>
              </w:rPr>
              <w:t xml:space="preserve"> é um fundo de investimento financeiro renda fixa referenciado DI de condomínio aberto, </w:t>
            </w:r>
            <w:r w:rsidRPr="00F621C0">
              <w:rPr>
                <w:rFonts w:ascii="Arial" w:hAnsi="Arial" w:cs="Arial"/>
                <w:b/>
                <w:bCs/>
              </w:rPr>
              <w:t>mas sua movimentação é restrita</w:t>
            </w:r>
            <w:r w:rsidRPr="00F621C0">
              <w:rPr>
                <w:rFonts w:ascii="Arial" w:hAnsi="Arial" w:cs="Arial"/>
              </w:rPr>
              <w:t xml:space="preserve">. Os recursos do Aporte de Liquidez realizado pelos Cotistas no Acesso FIRF deverão ser mantidos no Acesso FIRF e somente poderão ser resgatados pelo Administrador ou pelo Distribuidor do Fundo, em nome dos Cotistas, exclusivamente para o pagamento das Chamadas de Capital do Fundo. Portanto, não poderão ser resgatados diretamente pelos Cotistas em nenhuma hipótese. Em situações excepcionais descritas no item 6.3(a) do Anexo, o Administrador e o Distribuidor poderão direcionar recursos do Fundo para a reaplicação no Acesso FIRF em nome dos Cotistas. </w:t>
            </w:r>
          </w:p>
          <w:p w14:paraId="176F2EC2" w14:textId="77777777" w:rsidR="00A97AF1" w:rsidRPr="00F621C0" w:rsidRDefault="00A97AF1" w:rsidP="0075351C">
            <w:pPr>
              <w:pStyle w:val="PargrafodaLista"/>
              <w:ind w:left="360"/>
              <w:jc w:val="both"/>
              <w:rPr>
                <w:rFonts w:ascii="Arial" w:hAnsi="Arial" w:cs="Arial"/>
                <w:b/>
                <w:bCs/>
              </w:rPr>
            </w:pPr>
          </w:p>
          <w:p w14:paraId="1F6182B3" w14:textId="77777777" w:rsidR="00A97AF1" w:rsidRPr="00F621C0" w:rsidRDefault="00A97AF1" w:rsidP="00A97AF1">
            <w:pPr>
              <w:pStyle w:val="PargrafodaLista"/>
              <w:numPr>
                <w:ilvl w:val="0"/>
                <w:numId w:val="30"/>
              </w:numPr>
              <w:spacing w:after="160" w:line="259" w:lineRule="auto"/>
              <w:jc w:val="both"/>
              <w:rPr>
                <w:rFonts w:ascii="Arial" w:hAnsi="Arial" w:cs="Arial"/>
                <w:b/>
                <w:bCs/>
              </w:rPr>
            </w:pPr>
            <w:r w:rsidRPr="00F621C0">
              <w:rPr>
                <w:rFonts w:ascii="Arial" w:hAnsi="Arial" w:cs="Arial"/>
                <w:b/>
                <w:bCs/>
                <w:u w:val="single"/>
              </w:rPr>
              <w:t>Outorga de Mandato Irrevogável e Movimentação Exclusiva pelo Administrador ou Distribuidor</w:t>
            </w:r>
            <w:r w:rsidRPr="00F621C0">
              <w:rPr>
                <w:rFonts w:ascii="Arial" w:hAnsi="Arial" w:cs="Arial"/>
              </w:rPr>
              <w:t>: Conforme descrito nos itens 6.1 (b) e (c) do Anexo, todos os Cotistas, por meio da assinatura do Compromisso de Investimento e subscrição de cotas do Fundo, outorgam mandato irrevogável para o Administrador e para o Distribuidor do Fundo, para que estes sejam os únicos responsáveis pelas movimentações financeiras de aplicações e resgates no Acesso FIRF em nome dos Cotistas após o Aporte de Liquidez. Tal mandato é parte integrante do Compromisso de Investimento, é irrevogável e obriga os Cotistas e seus sucessores, tendo duração até o fim do Prazo de Duração do Fundo (“</w:t>
            </w:r>
            <w:r w:rsidRPr="00F621C0">
              <w:rPr>
                <w:rFonts w:ascii="Arial" w:hAnsi="Arial" w:cs="Arial"/>
                <w:b/>
                <w:bCs/>
              </w:rPr>
              <w:t>Prazo do Mandato</w:t>
            </w:r>
            <w:r w:rsidRPr="00F621C0">
              <w:rPr>
                <w:rFonts w:ascii="Arial" w:hAnsi="Arial" w:cs="Arial"/>
              </w:rPr>
              <w:t xml:space="preserve">”). </w:t>
            </w:r>
          </w:p>
          <w:p w14:paraId="7ADFC5AB" w14:textId="77777777" w:rsidR="00A97AF1" w:rsidRPr="00F621C0" w:rsidRDefault="00A97AF1" w:rsidP="0075351C">
            <w:pPr>
              <w:pStyle w:val="PargrafodaLista"/>
              <w:ind w:left="360"/>
              <w:rPr>
                <w:rFonts w:ascii="Arial" w:hAnsi="Arial" w:cs="Arial"/>
                <w:b/>
                <w:bCs/>
              </w:rPr>
            </w:pPr>
          </w:p>
          <w:p w14:paraId="75AF3D9C" w14:textId="77777777" w:rsidR="00A97AF1" w:rsidRPr="00F621C0" w:rsidRDefault="00A97AF1" w:rsidP="0075351C">
            <w:pPr>
              <w:pStyle w:val="PargrafodaLista"/>
              <w:ind w:left="360"/>
              <w:jc w:val="both"/>
              <w:rPr>
                <w:rFonts w:ascii="Arial" w:hAnsi="Arial" w:cs="Arial"/>
              </w:rPr>
            </w:pPr>
            <w:r w:rsidRPr="00F621C0">
              <w:rPr>
                <w:rFonts w:ascii="Arial" w:hAnsi="Arial" w:cs="Arial"/>
              </w:rPr>
              <w:t>Durante todo o Prazo do Mandato, os Cotistas abdicarão de seus poderes para pedir resgates do Acesso FIRF, os quais serão detidos exclusivamente pelo Administrador e pelo Distribuidor em nome dos Cotistas nos termos do respectivo mandato. O mandato permanecerá válido mesmo em caso de sucessão, e não poderá ser revogado em nenhuma hipótese antes do fim do Prazo do Mandato.</w:t>
            </w:r>
          </w:p>
          <w:p w14:paraId="5EDB79B0" w14:textId="77777777" w:rsidR="00A97AF1" w:rsidRPr="00F621C0" w:rsidRDefault="00A97AF1" w:rsidP="0075351C">
            <w:pPr>
              <w:pStyle w:val="PargrafodaLista"/>
              <w:ind w:left="360"/>
              <w:jc w:val="both"/>
              <w:rPr>
                <w:rFonts w:ascii="Arial" w:hAnsi="Arial" w:cs="Arial"/>
              </w:rPr>
            </w:pPr>
          </w:p>
          <w:p w14:paraId="24D8440F" w14:textId="77777777" w:rsidR="00A97AF1" w:rsidRPr="00F621C0" w:rsidRDefault="00A97AF1" w:rsidP="0075351C">
            <w:pPr>
              <w:pStyle w:val="PargrafodaLista"/>
              <w:ind w:left="360"/>
              <w:jc w:val="both"/>
              <w:rPr>
                <w:rFonts w:ascii="Arial" w:hAnsi="Arial" w:cs="Arial"/>
                <w:b/>
                <w:bCs/>
              </w:rPr>
            </w:pPr>
            <w:r w:rsidRPr="00F621C0">
              <w:rPr>
                <w:rFonts w:ascii="Arial" w:hAnsi="Arial" w:cs="Arial"/>
                <w:b/>
                <w:bCs/>
              </w:rPr>
              <w:t>Ao assinar o Compromisso de Investimento e o Termo de Adesão do Fundo, os Cotistas reconhecem que as informações descritas nos itens 6, 7 e 8 deste Sumário Executivo e seus respectivos detalhamentos descritos no Regulamento, no Anexo e no Compromisso de Investimento são condições essenciais para a realização do seu investimento no Fundo, as quais não poderão ser revogadas ou alteradas unilateralmente, mesmo em caso fortuito ou de força maior, sem o prévio e expresso consentimento do Administrador e do Gestor.</w:t>
            </w:r>
          </w:p>
          <w:p w14:paraId="17B7B53D" w14:textId="77777777" w:rsidR="00A97AF1" w:rsidRPr="00F621C0" w:rsidRDefault="00A97AF1" w:rsidP="0075351C">
            <w:pPr>
              <w:pStyle w:val="PargrafodaLista"/>
              <w:ind w:left="360"/>
              <w:rPr>
                <w:rFonts w:ascii="Arial" w:hAnsi="Arial" w:cs="Arial"/>
                <w:b/>
                <w:bCs/>
              </w:rPr>
            </w:pPr>
          </w:p>
          <w:p w14:paraId="7DB0AB11" w14:textId="77777777" w:rsidR="00A97AF1" w:rsidRPr="00F621C0" w:rsidRDefault="00A97AF1" w:rsidP="00A97AF1">
            <w:pPr>
              <w:pStyle w:val="PargrafodaLista"/>
              <w:numPr>
                <w:ilvl w:val="0"/>
                <w:numId w:val="30"/>
              </w:numPr>
              <w:spacing w:after="160" w:line="259" w:lineRule="auto"/>
              <w:jc w:val="both"/>
              <w:rPr>
                <w:rFonts w:ascii="Arial" w:hAnsi="Arial" w:cs="Arial"/>
                <w:b/>
                <w:bCs/>
              </w:rPr>
            </w:pPr>
            <w:r w:rsidRPr="00F621C0">
              <w:rPr>
                <w:rFonts w:ascii="Arial" w:hAnsi="Arial" w:cs="Arial"/>
                <w:b/>
                <w:bCs/>
                <w:u w:val="single"/>
              </w:rPr>
              <w:t>Taxas Global e Performance, Custos da Estrutura</w:t>
            </w:r>
            <w:r w:rsidRPr="00F621C0">
              <w:rPr>
                <w:rFonts w:ascii="Arial" w:hAnsi="Arial" w:cs="Arial"/>
              </w:rPr>
              <w:t>: O Fundo e o Acesso FIRF contam com suas própria taxa global, e não cobram taxa de performance. O FIP Vinci e o FIP Vinci Master cobram suas respectivas taxas de administração, gestão e performance, e o investidor deve estar ciente dos regulamentos e dos custos totais da estrutura, incluindo o Fundo, o Acesso FIRF, o FIP Vinci, o FIP Vinci Master e de seus investimentos. Desta forma, os Cotistas devem ter ciência que, do volume total do seu Capital Comprometido, parte relevante será efetivamente investida no FIP Vinci e nas empresas nas quais ele investe, direta ou indiretamente. No entanto, uma parte não desprezível do Capital Comprometido será utilizada para arcar com os custos da estrutura, o que inclui, também o pagamento, pelo Fundo, de um valor de equalização, previsto no regulamento do FIP Vinci, necessário para que o Fundo, bem como quaisquer outros investidores, possa se tornar cotista do FIP Vinci e do FIP Vinci Master após seu início.</w:t>
            </w:r>
          </w:p>
        </w:tc>
      </w:tr>
      <w:tr w:rsidR="00A97AF1" w:rsidRPr="00F621C0" w14:paraId="5F8DA0BD" w14:textId="77777777" w:rsidTr="0075351C">
        <w:tc>
          <w:tcPr>
            <w:tcW w:w="5000" w:type="pct"/>
          </w:tcPr>
          <w:p w14:paraId="6E737CF4" w14:textId="77777777" w:rsidR="00A97AF1" w:rsidRPr="00F621C0" w:rsidRDefault="00A97AF1" w:rsidP="0075351C">
            <w:pPr>
              <w:jc w:val="center"/>
              <w:rPr>
                <w:rStyle w:val="Refdecomentrio"/>
                <w:rFonts w:ascii="Arial" w:hAnsi="Arial" w:cs="Arial"/>
              </w:rPr>
            </w:pPr>
          </w:p>
        </w:tc>
      </w:tr>
    </w:tbl>
    <w:p w14:paraId="575C557D" w14:textId="77777777" w:rsidR="00A97AF1" w:rsidRPr="00F621C0" w:rsidRDefault="00A97AF1" w:rsidP="00F621C0">
      <w:pPr>
        <w:rPr>
          <w:rFonts w:ascii="Arial" w:hAnsi="Arial" w:cs="Arial"/>
        </w:rPr>
      </w:pPr>
    </w:p>
    <w:p w14:paraId="0C488CA8" w14:textId="77777777" w:rsidR="00A97AF1" w:rsidRPr="00F621C0" w:rsidRDefault="00A97AF1" w:rsidP="00F621C0">
      <w:pPr>
        <w:jc w:val="center"/>
        <w:rPr>
          <w:rFonts w:ascii="Arial" w:hAnsi="Arial" w:cs="Arial"/>
          <w:i/>
          <w:iCs/>
        </w:rPr>
      </w:pPr>
    </w:p>
    <w:p w14:paraId="5648C041" w14:textId="77777777" w:rsidR="00A97AF1" w:rsidRPr="00F621C0" w:rsidRDefault="00A97AF1" w:rsidP="00F621C0">
      <w:pPr>
        <w:jc w:val="center"/>
        <w:rPr>
          <w:rFonts w:ascii="Arial" w:hAnsi="Arial" w:cs="Arial"/>
          <w:i/>
          <w:iCs/>
        </w:rPr>
      </w:pPr>
      <w:r w:rsidRPr="00F621C0">
        <w:rPr>
          <w:rFonts w:ascii="Arial" w:hAnsi="Arial" w:cs="Arial"/>
          <w:i/>
          <w:iCs/>
        </w:rPr>
        <w:t>(restante da página intencionalmente deixado em branco)</w:t>
      </w:r>
    </w:p>
    <w:p w14:paraId="4004526F" w14:textId="77777777" w:rsidR="00A97AF1" w:rsidRPr="00F621C0" w:rsidRDefault="00A97AF1" w:rsidP="00F621C0">
      <w:pPr>
        <w:rPr>
          <w:rFonts w:ascii="Arial" w:hAnsi="Arial" w:cs="Arial"/>
        </w:rPr>
      </w:pPr>
    </w:p>
    <w:p w14:paraId="00DB377B" w14:textId="77777777" w:rsidR="00A97AF1" w:rsidRPr="00F621C0" w:rsidRDefault="00A97AF1" w:rsidP="00F621C0">
      <w:pPr>
        <w:rPr>
          <w:rFonts w:ascii="Arial" w:hAnsi="Arial" w:cs="Arial"/>
        </w:rPr>
      </w:pPr>
      <w:r w:rsidRPr="00F621C0">
        <w:rPr>
          <w:rFonts w:ascii="Arial" w:hAnsi="Arial" w:cs="Arial"/>
        </w:rPr>
        <w:br w:type="page"/>
      </w:r>
    </w:p>
    <w:p w14:paraId="74EC2446" w14:textId="77777777" w:rsidR="00A97AF1" w:rsidRPr="00F621C0" w:rsidRDefault="00A97AF1" w:rsidP="00F621C0">
      <w:pPr>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746"/>
      </w:tblGrid>
      <w:tr w:rsidR="00A97AF1" w:rsidRPr="00F621C0" w14:paraId="60C5A56D" w14:textId="77777777" w:rsidTr="0075351C">
        <w:tc>
          <w:tcPr>
            <w:tcW w:w="9746" w:type="dxa"/>
          </w:tcPr>
          <w:p w14:paraId="22389349" w14:textId="77777777" w:rsidR="00A97AF1" w:rsidRPr="00F621C0" w:rsidRDefault="00A97AF1" w:rsidP="0075351C">
            <w:pPr>
              <w:jc w:val="center"/>
              <w:rPr>
                <w:rFonts w:ascii="Arial" w:hAnsi="Arial" w:cs="Arial"/>
                <w:b/>
                <w:bCs/>
              </w:rPr>
            </w:pPr>
          </w:p>
          <w:p w14:paraId="6F770E4A" w14:textId="77777777" w:rsidR="00A97AF1" w:rsidRPr="00F621C0" w:rsidRDefault="00A97AF1" w:rsidP="0075351C">
            <w:pPr>
              <w:jc w:val="center"/>
              <w:rPr>
                <w:rFonts w:ascii="Arial" w:hAnsi="Arial" w:cs="Arial"/>
                <w:b/>
                <w:bCs/>
              </w:rPr>
            </w:pPr>
            <w:r w:rsidRPr="00F621C0">
              <w:rPr>
                <w:rFonts w:ascii="Arial" w:hAnsi="Arial" w:cs="Arial"/>
                <w:b/>
                <w:bCs/>
              </w:rPr>
              <w:t xml:space="preserve">II. Ilustração de Funcionamento do Fundo e da Estrutura </w:t>
            </w:r>
            <w:r w:rsidRPr="00F621C0">
              <w:rPr>
                <w:rFonts w:ascii="Arial" w:hAnsi="Arial" w:cs="Arial"/>
                <w:b/>
                <w:bCs/>
                <w:i/>
                <w:iCs/>
              </w:rPr>
              <w:t>Side by Side</w:t>
            </w:r>
            <w:r w:rsidRPr="00F621C0">
              <w:rPr>
                <w:rFonts w:ascii="Arial" w:hAnsi="Arial" w:cs="Arial"/>
                <w:b/>
                <w:bCs/>
              </w:rPr>
              <w:t>:</w:t>
            </w:r>
          </w:p>
          <w:p w14:paraId="456C249E" w14:textId="77777777" w:rsidR="00A97AF1" w:rsidRPr="00F621C0" w:rsidRDefault="00A97AF1" w:rsidP="0075351C">
            <w:pPr>
              <w:rPr>
                <w:rFonts w:ascii="Arial" w:hAnsi="Arial" w:cs="Arial"/>
              </w:rPr>
            </w:pPr>
            <w:r w:rsidRPr="00F621C0">
              <w:rPr>
                <w:rFonts w:ascii="Arial" w:hAnsi="Arial" w:cs="Arial"/>
                <w:noProof/>
              </w:rPr>
              <w:drawing>
                <wp:inline distT="0" distB="0" distL="0" distR="0" wp14:anchorId="7B34524E" wp14:editId="21467359">
                  <wp:extent cx="6072142" cy="4690925"/>
                  <wp:effectExtent l="0" t="0" r="5080" b="0"/>
                  <wp:docPr id="428251688"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51688" name="Imagem 1" descr="Texto&#10;&#10;O conteúdo gerado por IA pode estar incorreto."/>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135195" cy="4739635"/>
                          </a:xfrm>
                          <a:prstGeom prst="rect">
                            <a:avLst/>
                          </a:prstGeom>
                          <a:noFill/>
                        </pic:spPr>
                      </pic:pic>
                    </a:graphicData>
                  </a:graphic>
                </wp:inline>
              </w:drawing>
            </w:r>
          </w:p>
        </w:tc>
      </w:tr>
    </w:tbl>
    <w:p w14:paraId="1968333F" w14:textId="77777777" w:rsidR="00A97AF1" w:rsidRPr="00F621C0" w:rsidRDefault="00A97AF1" w:rsidP="00F621C0">
      <w:pPr>
        <w:rPr>
          <w:rFonts w:ascii="Arial" w:hAnsi="Arial" w:cs="Arial"/>
        </w:rPr>
      </w:pPr>
    </w:p>
    <w:p w14:paraId="4D82B9E6" w14:textId="77777777" w:rsidR="00A97AF1" w:rsidRPr="00F621C0" w:rsidRDefault="00A97AF1" w:rsidP="00F621C0">
      <w:pPr>
        <w:jc w:val="both"/>
        <w:rPr>
          <w:rFonts w:ascii="Arial" w:hAnsi="Arial" w:cs="Arial"/>
          <w:b/>
          <w:bCs/>
        </w:rPr>
      </w:pPr>
      <w:r w:rsidRPr="00F621C0">
        <w:rPr>
          <w:rFonts w:ascii="Arial" w:hAnsi="Arial" w:cs="Arial"/>
          <w:b/>
          <w:bCs/>
        </w:rPr>
        <w:t xml:space="preserve">A ILUSTRAÇÃO DE FUNCIONAMENTO DO FUNDO E DA ESTRUTURA </w:t>
      </w:r>
      <w:r w:rsidRPr="00F621C0">
        <w:rPr>
          <w:rFonts w:ascii="Arial" w:hAnsi="Arial" w:cs="Arial"/>
          <w:b/>
          <w:bCs/>
          <w:i/>
          <w:iCs/>
        </w:rPr>
        <w:t>SIDE BY SIDE</w:t>
      </w:r>
      <w:r w:rsidRPr="00F621C0">
        <w:rPr>
          <w:rFonts w:ascii="Arial" w:hAnsi="Arial" w:cs="Arial"/>
          <w:b/>
          <w:bCs/>
        </w:rPr>
        <w:t xml:space="preserve"> NÃO SUBSTITUI A LEITURA INTEGRAL E CUIDADOSA DO REGULAMENTO E DO COMPROMISSO DE INVESTIMENTO DO FUNDO, BEM COMO OS REGULAMENTOS E ANEXOS DO ACESSO FIRF E DO FIP VINCI. LEIA ATENTAMENTE O INTEIRO TEOR DO REGULAMENTO ANTES DE ASSINAR O COMPROMISSO DE INVESTIMENTO E O BOLETIM DE SUBSCRIÇÃO. ESTA ILUSTRAÇÃO TEM CARÁTER MERAMENTE INFORMATIVO. PARA UMA DESCRIÇÃO MAIS DETALHADA DO FUNDO LEIA O REGULAMENTO.</w:t>
      </w:r>
    </w:p>
    <w:p w14:paraId="2B22875F" w14:textId="77777777" w:rsidR="00A97AF1" w:rsidRPr="00F621C0" w:rsidRDefault="00A97AF1" w:rsidP="00F621C0">
      <w:pPr>
        <w:jc w:val="center"/>
        <w:rPr>
          <w:rFonts w:ascii="Arial" w:hAnsi="Arial" w:cs="Arial"/>
        </w:rPr>
      </w:pPr>
      <w:r w:rsidRPr="00F621C0">
        <w:rPr>
          <w:rFonts w:ascii="Arial" w:hAnsi="Arial" w:cs="Arial"/>
          <w:i/>
          <w:iCs/>
        </w:rPr>
        <w:t>(restante da página intencionalmente deixado em branco)</w:t>
      </w:r>
    </w:p>
    <w:p w14:paraId="66B000AE" w14:textId="77777777" w:rsidR="00A97AF1" w:rsidRPr="00F621C0" w:rsidRDefault="00A97AF1" w:rsidP="00F621C0">
      <w:pPr>
        <w:rPr>
          <w:rFonts w:ascii="Arial" w:hAnsi="Arial" w:cs="Arial"/>
        </w:rPr>
      </w:pPr>
      <w:r w:rsidRPr="00F621C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97AF1" w:rsidRPr="00F621C0" w14:paraId="52F7D635" w14:textId="77777777" w:rsidTr="0075351C">
        <w:tc>
          <w:tcPr>
            <w:tcW w:w="5000" w:type="pct"/>
            <w:gridSpan w:val="3"/>
            <w:shd w:val="clear" w:color="auto" w:fill="C00000"/>
          </w:tcPr>
          <w:p w14:paraId="091703C2" w14:textId="77777777" w:rsidR="00A97AF1" w:rsidRPr="00F621C0" w:rsidRDefault="00A97AF1" w:rsidP="00A97AF1">
            <w:pPr>
              <w:pStyle w:val="PargrafodaLista"/>
              <w:numPr>
                <w:ilvl w:val="0"/>
                <w:numId w:val="4"/>
              </w:numPr>
              <w:ind w:left="0" w:firstLine="0"/>
              <w:jc w:val="center"/>
              <w:rPr>
                <w:rFonts w:ascii="Arial" w:hAnsi="Arial" w:cs="Arial"/>
                <w:b/>
                <w:bCs/>
                <w:color w:val="FFFFFF" w:themeColor="background1"/>
              </w:rPr>
            </w:pPr>
            <w:r w:rsidRPr="00F621C0">
              <w:rPr>
                <w:rFonts w:ascii="Arial" w:hAnsi="Arial" w:cs="Arial"/>
                <w:b/>
                <w:bCs/>
                <w:color w:val="FFFFFF" w:themeColor="background1"/>
              </w:rPr>
              <w:t>INTERPRETAÇÃO</w:t>
            </w:r>
          </w:p>
        </w:tc>
      </w:tr>
      <w:tr w:rsidR="00A97AF1" w:rsidRPr="00F621C0" w14:paraId="7DEAFA1D" w14:textId="77777777" w:rsidTr="0075351C">
        <w:tc>
          <w:tcPr>
            <w:tcW w:w="1381" w:type="pct"/>
            <w:tcBorders>
              <w:bottom w:val="single" w:sz="4" w:space="0" w:color="auto"/>
            </w:tcBorders>
            <w:vAlign w:val="center"/>
          </w:tcPr>
          <w:p w14:paraId="08E199F5" w14:textId="77777777" w:rsidR="00A97AF1" w:rsidRPr="00F621C0" w:rsidRDefault="00A97AF1" w:rsidP="0075351C">
            <w:pPr>
              <w:jc w:val="center"/>
              <w:rPr>
                <w:rFonts w:ascii="Arial" w:hAnsi="Arial" w:cs="Arial"/>
                <w:b/>
                <w:bCs/>
                <w:sz w:val="20"/>
                <w:szCs w:val="20"/>
              </w:rPr>
            </w:pPr>
          </w:p>
        </w:tc>
        <w:tc>
          <w:tcPr>
            <w:tcW w:w="3619" w:type="pct"/>
            <w:gridSpan w:val="2"/>
            <w:tcBorders>
              <w:bottom w:val="single" w:sz="4" w:space="0" w:color="auto"/>
            </w:tcBorders>
          </w:tcPr>
          <w:p w14:paraId="51DBF24B" w14:textId="77777777" w:rsidR="00A97AF1" w:rsidRPr="00F621C0" w:rsidRDefault="00A97AF1" w:rsidP="0075351C">
            <w:pPr>
              <w:rPr>
                <w:rFonts w:ascii="Arial" w:hAnsi="Arial" w:cs="Arial"/>
                <w:sz w:val="20"/>
                <w:szCs w:val="20"/>
              </w:rPr>
            </w:pPr>
          </w:p>
        </w:tc>
      </w:tr>
      <w:tr w:rsidR="00A97AF1" w:rsidRPr="00F621C0" w14:paraId="0DD22047" w14:textId="77777777" w:rsidTr="0075351C">
        <w:tc>
          <w:tcPr>
            <w:tcW w:w="1454" w:type="pct"/>
            <w:gridSpan w:val="2"/>
            <w:tcBorders>
              <w:top w:val="single" w:sz="4" w:space="0" w:color="auto"/>
              <w:bottom w:val="single" w:sz="4" w:space="0" w:color="auto"/>
            </w:tcBorders>
            <w:vAlign w:val="center"/>
          </w:tcPr>
          <w:p w14:paraId="3A8A26B1"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rPr>
              <w:t>Interpretação Conjunta</w:t>
            </w:r>
          </w:p>
        </w:tc>
        <w:tc>
          <w:tcPr>
            <w:tcW w:w="3546" w:type="pct"/>
            <w:tcBorders>
              <w:top w:val="single" w:sz="4" w:space="0" w:color="auto"/>
              <w:bottom w:val="single" w:sz="4" w:space="0" w:color="auto"/>
            </w:tcBorders>
          </w:tcPr>
          <w:p w14:paraId="60FB2D64" w14:textId="77777777" w:rsidR="00A97AF1" w:rsidRPr="00F621C0" w:rsidRDefault="00A97AF1" w:rsidP="0075351C">
            <w:pPr>
              <w:spacing w:before="60" w:after="60"/>
              <w:ind w:left="-110" w:right="-110"/>
              <w:jc w:val="both"/>
              <w:rPr>
                <w:rFonts w:ascii="Arial" w:hAnsi="Arial" w:cs="Arial"/>
                <w:b/>
                <w:sz w:val="20"/>
                <w:szCs w:val="20"/>
                <w:u w:val="single"/>
              </w:rPr>
            </w:pPr>
            <w:r w:rsidRPr="00F621C0">
              <w:rPr>
                <w:rFonts w:ascii="Arial" w:hAnsi="Arial" w:cs="Arial"/>
                <w:b/>
                <w:sz w:val="20"/>
                <w:szCs w:val="20"/>
              </w:rPr>
              <w:t xml:space="preserve">ESTE REGULAMENTO DEVE SER LIDO E INTERPRETADO EM CONJUNTO COM SEU ANEXO, COM O SEU RESPECTIVO COMPROMISSO DE INVESTIMENTO </w:t>
            </w:r>
            <w:r w:rsidRPr="00F621C0">
              <w:rPr>
                <w:rFonts w:ascii="Arial" w:hAnsi="Arial" w:cs="Arial"/>
                <w:b/>
                <w:sz w:val="20"/>
                <w:szCs w:val="20"/>
                <w:u w:val="single"/>
              </w:rPr>
              <w:t>E COM O REGULAMENTO E ANEXO DO ACESSO FIRF.</w:t>
            </w:r>
          </w:p>
          <w:p w14:paraId="1F092E0C" w14:textId="77777777" w:rsidR="00A97AF1" w:rsidRPr="00F621C0" w:rsidRDefault="00A97AF1" w:rsidP="0075351C">
            <w:pPr>
              <w:spacing w:before="60" w:after="60"/>
              <w:ind w:left="-110" w:right="-110"/>
              <w:jc w:val="both"/>
              <w:rPr>
                <w:rFonts w:ascii="Arial" w:hAnsi="Arial" w:cs="Arial"/>
                <w:b/>
                <w:sz w:val="20"/>
                <w:szCs w:val="20"/>
              </w:rPr>
            </w:pPr>
          </w:p>
          <w:p w14:paraId="3E38383C" w14:textId="77777777" w:rsidR="00A97AF1" w:rsidRPr="00F621C0" w:rsidRDefault="00A97AF1" w:rsidP="0075351C">
            <w:pPr>
              <w:spacing w:before="60" w:after="60"/>
              <w:ind w:left="-110" w:right="-110"/>
              <w:jc w:val="both"/>
              <w:rPr>
                <w:rFonts w:ascii="Arial" w:hAnsi="Arial" w:cs="Arial"/>
                <w:b/>
                <w:sz w:val="20"/>
                <w:szCs w:val="20"/>
              </w:rPr>
            </w:pPr>
            <w:r w:rsidRPr="00F621C0">
              <w:rPr>
                <w:rFonts w:ascii="Arial" w:hAnsi="Arial" w:cs="Arial"/>
                <w:b/>
                <w:sz w:val="20"/>
                <w:szCs w:val="20"/>
              </w:rPr>
              <w:t>ESTE REGULAMENTO E SEU ANEXO SÃO REGIDOS PRINCIPALMENTE PELA RESOLUÇÃO CVM Nº 175, DE 23 DE DEZEMBRO DE 2022, CONFORME ALTERADA, BEM COMO PELO SEU ANEXO NORMATIVO I (“RESOLUÇÃO CVM 175”), SEM PREJUÍZO DAS DEMAIS NORMAS E DIRETRIZES REGULATÓRIAS E DA AUTORREGULAÇÃO.</w:t>
            </w:r>
          </w:p>
        </w:tc>
      </w:tr>
      <w:tr w:rsidR="00A97AF1" w:rsidRPr="00F621C0" w14:paraId="13BC4838" w14:textId="77777777" w:rsidTr="0075351C">
        <w:tc>
          <w:tcPr>
            <w:tcW w:w="1381" w:type="pct"/>
            <w:tcBorders>
              <w:top w:val="single" w:sz="4" w:space="0" w:color="auto"/>
              <w:bottom w:val="single" w:sz="4" w:space="0" w:color="auto"/>
            </w:tcBorders>
            <w:vAlign w:val="center"/>
          </w:tcPr>
          <w:p w14:paraId="512D0C66" w14:textId="77777777" w:rsidR="00A97AF1" w:rsidRPr="00F621C0" w:rsidRDefault="00A97AF1" w:rsidP="0075351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417F45" w14:textId="77777777" w:rsidR="00A97AF1" w:rsidRPr="00F621C0" w:rsidRDefault="00A97AF1" w:rsidP="0075351C">
            <w:pPr>
              <w:rPr>
                <w:rFonts w:ascii="Arial" w:hAnsi="Arial" w:cs="Arial"/>
                <w:sz w:val="20"/>
                <w:szCs w:val="20"/>
              </w:rPr>
            </w:pPr>
          </w:p>
        </w:tc>
      </w:tr>
      <w:tr w:rsidR="00A97AF1" w:rsidRPr="00F621C0" w14:paraId="74BA476E" w14:textId="77777777" w:rsidTr="0075351C">
        <w:tc>
          <w:tcPr>
            <w:tcW w:w="1381" w:type="pct"/>
            <w:tcBorders>
              <w:top w:val="single" w:sz="4" w:space="0" w:color="auto"/>
              <w:bottom w:val="single" w:sz="4" w:space="0" w:color="auto"/>
            </w:tcBorders>
            <w:vAlign w:val="center"/>
          </w:tcPr>
          <w:p w14:paraId="392B5121"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rPr>
              <w:t>Termos definidos</w:t>
            </w:r>
          </w:p>
        </w:tc>
        <w:tc>
          <w:tcPr>
            <w:tcW w:w="3619" w:type="pct"/>
            <w:gridSpan w:val="2"/>
            <w:tcBorders>
              <w:top w:val="single" w:sz="4" w:space="0" w:color="auto"/>
              <w:bottom w:val="single" w:sz="4" w:space="0" w:color="auto"/>
            </w:tcBorders>
          </w:tcPr>
          <w:p w14:paraId="4DD42F16" w14:textId="77777777" w:rsidR="00A97AF1" w:rsidRPr="00F621C0" w:rsidRDefault="00A97AF1" w:rsidP="0075351C">
            <w:pPr>
              <w:spacing w:before="60" w:after="60"/>
              <w:jc w:val="both"/>
              <w:rPr>
                <w:rFonts w:ascii="Arial" w:hAnsi="Arial" w:cs="Arial"/>
                <w:sz w:val="20"/>
                <w:szCs w:val="20"/>
              </w:rPr>
            </w:pPr>
            <w:r w:rsidRPr="00F621C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no Anexo da Classe Única. </w:t>
            </w:r>
          </w:p>
          <w:p w14:paraId="601F3F80" w14:textId="77777777" w:rsidR="00A97AF1" w:rsidRPr="00F621C0" w:rsidRDefault="00A97AF1" w:rsidP="0075351C">
            <w:pPr>
              <w:spacing w:before="60" w:after="60"/>
              <w:jc w:val="both"/>
              <w:rPr>
                <w:rFonts w:ascii="Arial" w:hAnsi="Arial" w:cs="Arial"/>
                <w:sz w:val="20"/>
                <w:szCs w:val="20"/>
              </w:rPr>
            </w:pPr>
          </w:p>
          <w:p w14:paraId="29D3E98B" w14:textId="77777777" w:rsidR="00A97AF1" w:rsidRPr="00F621C0" w:rsidRDefault="00A97AF1" w:rsidP="0075351C">
            <w:pPr>
              <w:spacing w:before="60" w:after="60"/>
              <w:jc w:val="both"/>
              <w:rPr>
                <w:rFonts w:ascii="Arial" w:hAnsi="Arial" w:cs="Arial"/>
                <w:sz w:val="20"/>
                <w:szCs w:val="20"/>
              </w:rPr>
            </w:pPr>
            <w:r w:rsidRPr="00F621C0">
              <w:rPr>
                <w:rFonts w:ascii="Arial" w:hAnsi="Arial" w:cs="Arial"/>
                <w:sz w:val="20"/>
                <w:szCs w:val="20"/>
              </w:rPr>
              <w:t>Todas as palavras, expressões e abreviações utilizadas no Regulamento e no Anexo da Classe Única, com as letras iniciais maiúsculas, referem-se a este Fundo e a Classe Única, conforme aplicável.</w:t>
            </w:r>
          </w:p>
          <w:p w14:paraId="41B33D62" w14:textId="77777777" w:rsidR="00A97AF1" w:rsidRPr="00F621C0" w:rsidRDefault="00A97AF1" w:rsidP="0075351C">
            <w:pPr>
              <w:spacing w:before="60" w:after="60"/>
              <w:jc w:val="both"/>
              <w:rPr>
                <w:rFonts w:ascii="Arial" w:hAnsi="Arial" w:cs="Arial"/>
                <w:sz w:val="20"/>
                <w:szCs w:val="20"/>
              </w:rPr>
            </w:pPr>
          </w:p>
          <w:p w14:paraId="1446A1CF" w14:textId="77777777" w:rsidR="00A97AF1" w:rsidRPr="00F621C0" w:rsidRDefault="00A97AF1" w:rsidP="0075351C">
            <w:pPr>
              <w:spacing w:before="60" w:after="60"/>
              <w:jc w:val="both"/>
              <w:rPr>
                <w:rFonts w:ascii="Arial" w:hAnsi="Arial" w:cs="Arial"/>
                <w:sz w:val="20"/>
                <w:szCs w:val="20"/>
              </w:rPr>
            </w:pPr>
            <w:r w:rsidRPr="00F621C0">
              <w:rPr>
                <w:rFonts w:ascii="Arial" w:hAnsi="Arial" w:cs="Arial"/>
                <w:sz w:val="20"/>
                <w:szCs w:val="20"/>
              </w:rPr>
              <w:t>As menções a “classes”, com a letra inicial minúscula, deverão ser interpretadas como aquelas que não integrem a estrutura do Fundo, nos termos da regulamentação em vigor.</w:t>
            </w:r>
          </w:p>
        </w:tc>
      </w:tr>
      <w:tr w:rsidR="00A97AF1" w:rsidRPr="00F621C0" w14:paraId="7EFF8FE7" w14:textId="77777777" w:rsidTr="0075351C">
        <w:tc>
          <w:tcPr>
            <w:tcW w:w="1381" w:type="pct"/>
            <w:tcBorders>
              <w:top w:val="single" w:sz="4" w:space="0" w:color="auto"/>
              <w:bottom w:val="single" w:sz="4" w:space="0" w:color="auto"/>
            </w:tcBorders>
            <w:vAlign w:val="center"/>
          </w:tcPr>
          <w:p w14:paraId="295340DF" w14:textId="77777777" w:rsidR="00A97AF1" w:rsidRPr="00F621C0" w:rsidRDefault="00A97AF1" w:rsidP="0075351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EC72DD" w14:textId="77777777" w:rsidR="00A97AF1" w:rsidRPr="00F621C0" w:rsidRDefault="00A97AF1" w:rsidP="0075351C">
            <w:pPr>
              <w:jc w:val="both"/>
              <w:rPr>
                <w:rFonts w:ascii="Arial" w:hAnsi="Arial" w:cs="Arial"/>
                <w:sz w:val="20"/>
                <w:szCs w:val="20"/>
              </w:rPr>
            </w:pPr>
          </w:p>
        </w:tc>
      </w:tr>
      <w:tr w:rsidR="00A97AF1" w:rsidRPr="00F621C0" w14:paraId="176AFF28" w14:textId="77777777" w:rsidTr="0075351C">
        <w:tc>
          <w:tcPr>
            <w:tcW w:w="1381" w:type="pct"/>
            <w:tcBorders>
              <w:top w:val="single" w:sz="4" w:space="0" w:color="auto"/>
              <w:bottom w:val="single" w:sz="4" w:space="0" w:color="auto"/>
            </w:tcBorders>
            <w:vAlign w:val="center"/>
          </w:tcPr>
          <w:p w14:paraId="2D40886E"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rPr>
              <w:t>Orientações Gerais</w:t>
            </w:r>
          </w:p>
        </w:tc>
        <w:tc>
          <w:tcPr>
            <w:tcW w:w="3619" w:type="pct"/>
            <w:gridSpan w:val="2"/>
            <w:tcBorders>
              <w:top w:val="single" w:sz="4" w:space="0" w:color="auto"/>
              <w:bottom w:val="single" w:sz="4" w:space="0" w:color="auto"/>
            </w:tcBorders>
          </w:tcPr>
          <w:p w14:paraId="1FBEB303" w14:textId="77777777" w:rsidR="00A97AF1" w:rsidRPr="00F621C0" w:rsidRDefault="00A97AF1" w:rsidP="0075351C">
            <w:pPr>
              <w:spacing w:before="60" w:after="60"/>
              <w:jc w:val="both"/>
              <w:rPr>
                <w:rFonts w:ascii="Arial" w:hAnsi="Arial" w:cs="Arial"/>
                <w:sz w:val="20"/>
                <w:szCs w:val="20"/>
              </w:rPr>
            </w:pPr>
            <w:r w:rsidRPr="00F621C0">
              <w:rPr>
                <w:rFonts w:ascii="Arial" w:hAnsi="Arial" w:cs="Arial"/>
                <w:b/>
                <w:bCs/>
                <w:sz w:val="20"/>
                <w:szCs w:val="20"/>
              </w:rPr>
              <w:t>Este Regulamento</w:t>
            </w:r>
            <w:r w:rsidRPr="00F621C0">
              <w:rPr>
                <w:rFonts w:ascii="Arial" w:hAnsi="Arial" w:cs="Arial"/>
                <w:sz w:val="20"/>
                <w:szCs w:val="20"/>
              </w:rPr>
              <w:t xml:space="preserve"> dispõe sobre informações gerais do Fundo e comuns à sua Classe Única.</w:t>
            </w:r>
          </w:p>
          <w:p w14:paraId="71E645C4" w14:textId="77777777" w:rsidR="00A97AF1" w:rsidRPr="00F621C0" w:rsidRDefault="00A97AF1" w:rsidP="0075351C">
            <w:pPr>
              <w:spacing w:before="60" w:after="60"/>
              <w:jc w:val="both"/>
              <w:rPr>
                <w:rFonts w:ascii="Arial" w:hAnsi="Arial" w:cs="Arial"/>
                <w:sz w:val="20"/>
                <w:szCs w:val="20"/>
              </w:rPr>
            </w:pPr>
          </w:p>
          <w:p w14:paraId="2A0F5B94" w14:textId="77777777" w:rsidR="00A97AF1" w:rsidRPr="00F621C0" w:rsidRDefault="00A97AF1" w:rsidP="0075351C">
            <w:pPr>
              <w:spacing w:before="60" w:after="60"/>
              <w:jc w:val="both"/>
              <w:rPr>
                <w:rFonts w:ascii="Arial" w:hAnsi="Arial" w:cs="Arial"/>
                <w:sz w:val="20"/>
                <w:szCs w:val="20"/>
              </w:rPr>
            </w:pPr>
            <w:r w:rsidRPr="00F621C0">
              <w:rPr>
                <w:rFonts w:ascii="Arial" w:hAnsi="Arial" w:cs="Arial"/>
                <w:sz w:val="20"/>
                <w:szCs w:val="20"/>
              </w:rPr>
              <w:t>O Anexo que integra o presente Regulamento dispõe sobre informações específicas da Classe Única.</w:t>
            </w:r>
          </w:p>
          <w:p w14:paraId="2A38FB7B" w14:textId="77777777" w:rsidR="00A97AF1" w:rsidRPr="00F621C0" w:rsidRDefault="00A97AF1" w:rsidP="0075351C">
            <w:pPr>
              <w:spacing w:before="60" w:after="60"/>
              <w:jc w:val="both"/>
              <w:rPr>
                <w:rFonts w:ascii="Arial" w:hAnsi="Arial" w:cs="Arial"/>
                <w:sz w:val="20"/>
                <w:szCs w:val="20"/>
              </w:rPr>
            </w:pPr>
          </w:p>
          <w:p w14:paraId="671478CB" w14:textId="77777777" w:rsidR="00A97AF1" w:rsidRPr="00F621C0" w:rsidRDefault="00A97AF1" w:rsidP="0075351C">
            <w:pPr>
              <w:spacing w:before="60" w:after="60"/>
              <w:jc w:val="both"/>
              <w:rPr>
                <w:rFonts w:ascii="Arial" w:hAnsi="Arial" w:cs="Arial"/>
                <w:sz w:val="20"/>
                <w:szCs w:val="20"/>
              </w:rPr>
            </w:pPr>
            <w:r w:rsidRPr="00F621C0">
              <w:rPr>
                <w:rFonts w:ascii="Arial" w:hAnsi="Arial" w:cs="Arial"/>
                <w:sz w:val="20"/>
                <w:szCs w:val="20"/>
              </w:rPr>
              <w:t>Considerando a inexistência de subclasses de Cotas, o Anexo da Classe Única não conta com Apêndice(s).</w:t>
            </w:r>
          </w:p>
        </w:tc>
      </w:tr>
      <w:tr w:rsidR="00A97AF1" w:rsidRPr="00F621C0" w14:paraId="388F1A72" w14:textId="77777777" w:rsidTr="0075351C">
        <w:tc>
          <w:tcPr>
            <w:tcW w:w="1381" w:type="pct"/>
            <w:tcBorders>
              <w:top w:val="single" w:sz="4" w:space="0" w:color="auto"/>
              <w:bottom w:val="single" w:sz="4" w:space="0" w:color="auto"/>
            </w:tcBorders>
            <w:vAlign w:val="center"/>
          </w:tcPr>
          <w:p w14:paraId="7ECB5B39" w14:textId="77777777" w:rsidR="00A97AF1" w:rsidRPr="00F621C0" w:rsidRDefault="00A97AF1" w:rsidP="0075351C">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A7794AA" w14:textId="77777777" w:rsidR="00A97AF1" w:rsidRPr="00F621C0" w:rsidRDefault="00A97AF1" w:rsidP="0075351C">
            <w:pPr>
              <w:jc w:val="both"/>
              <w:rPr>
                <w:rFonts w:ascii="Arial" w:hAnsi="Arial" w:cs="Arial"/>
                <w:b/>
                <w:bCs/>
                <w:sz w:val="20"/>
                <w:szCs w:val="20"/>
              </w:rPr>
            </w:pPr>
          </w:p>
        </w:tc>
      </w:tr>
      <w:tr w:rsidR="00A97AF1" w:rsidRPr="00F621C0" w14:paraId="57D7214B" w14:textId="77777777" w:rsidTr="0075351C">
        <w:tc>
          <w:tcPr>
            <w:tcW w:w="1381" w:type="pct"/>
            <w:tcBorders>
              <w:top w:val="single" w:sz="4" w:space="0" w:color="auto"/>
              <w:bottom w:val="single" w:sz="4" w:space="0" w:color="auto"/>
            </w:tcBorders>
            <w:vAlign w:val="center"/>
          </w:tcPr>
          <w:p w14:paraId="64F65556"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rPr>
              <w:t>Interpretação</w:t>
            </w:r>
          </w:p>
        </w:tc>
        <w:tc>
          <w:tcPr>
            <w:tcW w:w="3619" w:type="pct"/>
            <w:gridSpan w:val="2"/>
            <w:tcBorders>
              <w:top w:val="single" w:sz="4" w:space="0" w:color="auto"/>
              <w:bottom w:val="single" w:sz="4" w:space="0" w:color="auto"/>
            </w:tcBorders>
          </w:tcPr>
          <w:p w14:paraId="5934C0D9" w14:textId="77777777" w:rsidR="00A97AF1" w:rsidRPr="00F621C0" w:rsidRDefault="00A97AF1" w:rsidP="0075351C">
            <w:pPr>
              <w:spacing w:before="60" w:after="60"/>
              <w:jc w:val="both"/>
              <w:rPr>
                <w:rFonts w:ascii="Arial" w:hAnsi="Arial" w:cs="Arial"/>
                <w:b/>
                <w:bCs/>
                <w:sz w:val="20"/>
                <w:szCs w:val="20"/>
              </w:rPr>
            </w:pPr>
            <w:bookmarkStart w:id="2" w:name="_Hlk133249281"/>
            <w:r w:rsidRPr="00F621C0">
              <w:rPr>
                <w:rFonts w:ascii="Arial" w:hAnsi="Arial" w:cs="Arial"/>
                <w:sz w:val="20"/>
                <w:szCs w:val="20"/>
              </w:rPr>
              <w:t>Este Regulamento foi construído considerando que o Fundo não terá diferentes classes e/ou subclasses de cotas no futuro, observados a competência da Assembleia Geral de Cotistas para alterar tais condições, os termos da Resolução CVM 175. Por esse motivo, na interpretação deste Regulamento e do Anexo, termos como “Fundo”, “Classe” e “Anexo” com a letra inicial maiúscula devem ser entendidos como específicos do Fundo e de sua Classe Única</w:t>
            </w:r>
            <w:bookmarkEnd w:id="2"/>
            <w:r w:rsidRPr="00F621C0">
              <w:rPr>
                <w:rFonts w:ascii="Arial" w:hAnsi="Arial" w:cs="Arial"/>
                <w:sz w:val="20"/>
                <w:szCs w:val="20"/>
              </w:rPr>
              <w:t>.</w:t>
            </w:r>
          </w:p>
        </w:tc>
      </w:tr>
    </w:tbl>
    <w:p w14:paraId="732519A1"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7AF1" w:rsidRPr="00F621C0" w14:paraId="688A2C0E" w14:textId="77777777" w:rsidTr="0075351C">
        <w:tc>
          <w:tcPr>
            <w:tcW w:w="5000" w:type="pct"/>
            <w:gridSpan w:val="2"/>
            <w:shd w:val="clear" w:color="auto" w:fill="C00000"/>
          </w:tcPr>
          <w:p w14:paraId="71551817" w14:textId="77777777" w:rsidR="00A97AF1" w:rsidRPr="00F621C0" w:rsidRDefault="00A97AF1" w:rsidP="00A97AF1">
            <w:pPr>
              <w:pStyle w:val="PargrafodaLista"/>
              <w:numPr>
                <w:ilvl w:val="0"/>
                <w:numId w:val="4"/>
              </w:numPr>
              <w:ind w:left="0" w:firstLine="0"/>
              <w:jc w:val="center"/>
              <w:rPr>
                <w:rFonts w:ascii="Arial" w:hAnsi="Arial" w:cs="Arial"/>
                <w:b/>
                <w:bCs/>
                <w:color w:val="FFFFFF" w:themeColor="background1"/>
              </w:rPr>
            </w:pPr>
            <w:r w:rsidRPr="00F621C0">
              <w:rPr>
                <w:rFonts w:ascii="Arial" w:hAnsi="Arial" w:cs="Arial"/>
                <w:b/>
                <w:bCs/>
                <w:color w:val="FFFFFF" w:themeColor="background1"/>
              </w:rPr>
              <w:t>PRESTADORES DE SERVIÇOS</w:t>
            </w:r>
          </w:p>
        </w:tc>
      </w:tr>
      <w:tr w:rsidR="00A97AF1" w:rsidRPr="00F621C0" w14:paraId="4A397657" w14:textId="77777777" w:rsidTr="0075351C">
        <w:tc>
          <w:tcPr>
            <w:tcW w:w="1382" w:type="pct"/>
            <w:tcBorders>
              <w:bottom w:val="single" w:sz="4" w:space="0" w:color="auto"/>
            </w:tcBorders>
            <w:vAlign w:val="center"/>
          </w:tcPr>
          <w:p w14:paraId="17C8FF1D" w14:textId="77777777" w:rsidR="00A97AF1" w:rsidRPr="00F621C0" w:rsidRDefault="00A97AF1" w:rsidP="0075351C">
            <w:pPr>
              <w:jc w:val="center"/>
              <w:rPr>
                <w:rFonts w:ascii="Arial" w:hAnsi="Arial" w:cs="Arial"/>
                <w:b/>
                <w:bCs/>
                <w:sz w:val="20"/>
                <w:szCs w:val="20"/>
              </w:rPr>
            </w:pPr>
          </w:p>
        </w:tc>
        <w:tc>
          <w:tcPr>
            <w:tcW w:w="3618" w:type="pct"/>
            <w:tcBorders>
              <w:bottom w:val="single" w:sz="4" w:space="0" w:color="auto"/>
            </w:tcBorders>
          </w:tcPr>
          <w:p w14:paraId="14EFAFD7" w14:textId="77777777" w:rsidR="00A97AF1" w:rsidRPr="00F621C0" w:rsidRDefault="00A97AF1" w:rsidP="0075351C">
            <w:pPr>
              <w:rPr>
                <w:rFonts w:ascii="Arial" w:hAnsi="Arial" w:cs="Arial"/>
                <w:sz w:val="20"/>
                <w:szCs w:val="20"/>
              </w:rPr>
            </w:pPr>
          </w:p>
        </w:tc>
      </w:tr>
      <w:tr w:rsidR="00A97AF1" w:rsidRPr="00F621C0" w14:paraId="0FE0D13E" w14:textId="77777777" w:rsidTr="0075351C">
        <w:trPr>
          <w:trHeight w:val="629"/>
        </w:trPr>
        <w:tc>
          <w:tcPr>
            <w:tcW w:w="1382" w:type="pct"/>
            <w:tcBorders>
              <w:top w:val="single" w:sz="4" w:space="0" w:color="auto"/>
            </w:tcBorders>
            <w:vAlign w:val="center"/>
          </w:tcPr>
          <w:p w14:paraId="197DBA07" w14:textId="77777777" w:rsidR="00A97AF1" w:rsidRPr="00F621C0" w:rsidRDefault="00A97AF1" w:rsidP="00A97AF1">
            <w:pPr>
              <w:pStyle w:val="PargrafodaLista"/>
              <w:numPr>
                <w:ilvl w:val="1"/>
                <w:numId w:val="4"/>
              </w:numPr>
              <w:spacing w:before="60" w:after="60"/>
              <w:ind w:left="0" w:firstLine="0"/>
              <w:jc w:val="center"/>
              <w:rPr>
                <w:rFonts w:ascii="Arial" w:hAnsi="Arial" w:cs="Arial"/>
                <w:smallCaps/>
              </w:rPr>
            </w:pPr>
            <w:r w:rsidRPr="00F621C0">
              <w:rPr>
                <w:rFonts w:ascii="Arial" w:hAnsi="Arial" w:cs="Arial"/>
                <w:b/>
                <w:bCs/>
                <w:smallCaps/>
              </w:rPr>
              <w:t>Administrador</w:t>
            </w:r>
          </w:p>
        </w:tc>
        <w:tc>
          <w:tcPr>
            <w:tcW w:w="3618" w:type="pct"/>
            <w:tcBorders>
              <w:top w:val="single" w:sz="4" w:space="0" w:color="auto"/>
            </w:tcBorders>
          </w:tcPr>
          <w:p w14:paraId="075670E5" w14:textId="77777777" w:rsidR="00A97AF1" w:rsidRPr="00F621C0" w:rsidRDefault="00A97AF1" w:rsidP="0075351C">
            <w:pPr>
              <w:jc w:val="both"/>
              <w:rPr>
                <w:rFonts w:ascii="Arial" w:hAnsi="Arial" w:cs="Arial"/>
                <w:b/>
                <w:bCs/>
                <w:sz w:val="20"/>
                <w:szCs w:val="20"/>
              </w:rPr>
            </w:pPr>
            <w:r w:rsidRPr="00F621C0">
              <w:rPr>
                <w:rFonts w:ascii="Arial" w:hAnsi="Arial" w:cs="Arial"/>
                <w:b/>
                <w:bCs/>
                <w:sz w:val="20"/>
                <w:szCs w:val="20"/>
              </w:rPr>
              <w:t>Santander Distribuidora de Títulos e Valores Mobiliários S.A.</w:t>
            </w:r>
          </w:p>
          <w:p w14:paraId="1A35A635" w14:textId="77777777" w:rsidR="00A97AF1" w:rsidRPr="00F621C0" w:rsidRDefault="00A97AF1" w:rsidP="0075351C">
            <w:pPr>
              <w:rPr>
                <w:rFonts w:ascii="Arial" w:hAnsi="Arial" w:cs="Arial"/>
                <w:sz w:val="20"/>
                <w:szCs w:val="20"/>
              </w:rPr>
            </w:pPr>
            <w:r w:rsidRPr="00F621C0">
              <w:rPr>
                <w:rFonts w:ascii="Arial" w:hAnsi="Arial" w:cs="Arial"/>
                <w:sz w:val="20"/>
                <w:szCs w:val="20"/>
              </w:rPr>
              <w:t xml:space="preserve">CNPJ: 03.502.968/0001-04 </w:t>
            </w:r>
          </w:p>
          <w:p w14:paraId="17360EC1" w14:textId="77777777" w:rsidR="00A97AF1" w:rsidRPr="00F621C0" w:rsidRDefault="00A97AF1" w:rsidP="0075351C">
            <w:pPr>
              <w:rPr>
                <w:rFonts w:ascii="Arial" w:hAnsi="Arial" w:cs="Arial"/>
                <w:sz w:val="20"/>
                <w:szCs w:val="20"/>
              </w:rPr>
            </w:pPr>
            <w:r w:rsidRPr="00F621C0">
              <w:rPr>
                <w:rFonts w:ascii="Arial" w:hAnsi="Arial" w:cs="Arial"/>
                <w:sz w:val="20"/>
                <w:szCs w:val="20"/>
              </w:rPr>
              <w:t>Ato Declaratório CVM nº 20.006, de 28/07/2022.</w:t>
            </w:r>
          </w:p>
        </w:tc>
      </w:tr>
      <w:tr w:rsidR="00A97AF1" w:rsidRPr="00F621C0" w14:paraId="157B3D17" w14:textId="77777777" w:rsidTr="0075351C">
        <w:tc>
          <w:tcPr>
            <w:tcW w:w="5000" w:type="pct"/>
            <w:gridSpan w:val="2"/>
            <w:tcBorders>
              <w:top w:val="single" w:sz="4" w:space="0" w:color="auto"/>
              <w:bottom w:val="single" w:sz="4" w:space="0" w:color="auto"/>
            </w:tcBorders>
          </w:tcPr>
          <w:p w14:paraId="3EC7E3CE" w14:textId="77777777" w:rsidR="00A97AF1" w:rsidRPr="00F621C0" w:rsidRDefault="00A97AF1" w:rsidP="0075351C">
            <w:pPr>
              <w:rPr>
                <w:rFonts w:ascii="Arial" w:hAnsi="Arial" w:cs="Arial"/>
                <w:smallCaps/>
                <w:sz w:val="20"/>
                <w:szCs w:val="20"/>
              </w:rPr>
            </w:pPr>
          </w:p>
        </w:tc>
      </w:tr>
      <w:tr w:rsidR="00A97AF1" w:rsidRPr="00F621C0" w14:paraId="2B80EC6B" w14:textId="77777777" w:rsidTr="0075351C">
        <w:trPr>
          <w:trHeight w:val="274"/>
        </w:trPr>
        <w:tc>
          <w:tcPr>
            <w:tcW w:w="1382" w:type="pct"/>
            <w:tcBorders>
              <w:top w:val="single" w:sz="4" w:space="0" w:color="auto"/>
            </w:tcBorders>
            <w:vAlign w:val="center"/>
          </w:tcPr>
          <w:p w14:paraId="33E35A5F" w14:textId="77777777" w:rsidR="00A97AF1" w:rsidRPr="00F621C0" w:rsidRDefault="00A97AF1" w:rsidP="00A97AF1">
            <w:pPr>
              <w:pStyle w:val="PargrafodaLista"/>
              <w:numPr>
                <w:ilvl w:val="1"/>
                <w:numId w:val="4"/>
              </w:numPr>
              <w:spacing w:before="60" w:after="60"/>
              <w:ind w:left="0" w:firstLine="0"/>
              <w:jc w:val="center"/>
              <w:rPr>
                <w:rFonts w:ascii="Arial" w:hAnsi="Arial" w:cs="Arial"/>
                <w:smallCaps/>
              </w:rPr>
            </w:pPr>
            <w:r w:rsidRPr="00F621C0">
              <w:rPr>
                <w:rFonts w:ascii="Arial" w:hAnsi="Arial" w:cs="Arial"/>
                <w:b/>
                <w:bCs/>
                <w:smallCaps/>
              </w:rPr>
              <w:t xml:space="preserve">Gestor </w:t>
            </w:r>
          </w:p>
        </w:tc>
        <w:tc>
          <w:tcPr>
            <w:tcW w:w="3618" w:type="pct"/>
            <w:tcBorders>
              <w:top w:val="single" w:sz="4" w:space="0" w:color="auto"/>
            </w:tcBorders>
          </w:tcPr>
          <w:p w14:paraId="340EBF23" w14:textId="77777777" w:rsidR="00A97AF1" w:rsidRPr="00F621C0" w:rsidRDefault="00A97AF1" w:rsidP="0075351C">
            <w:pPr>
              <w:rPr>
                <w:rFonts w:ascii="Arial" w:hAnsi="Arial" w:cs="Arial"/>
                <w:b/>
                <w:bCs/>
                <w:sz w:val="20"/>
                <w:szCs w:val="20"/>
              </w:rPr>
            </w:pPr>
            <w:r w:rsidRPr="00F621C0">
              <w:rPr>
                <w:rFonts w:ascii="Arial" w:hAnsi="Arial" w:cs="Arial"/>
                <w:b/>
                <w:bCs/>
                <w:sz w:val="20"/>
                <w:szCs w:val="20"/>
              </w:rPr>
              <w:t>Santander Brasil Gestão de Recursos Ltda.</w:t>
            </w:r>
          </w:p>
          <w:p w14:paraId="34C76646" w14:textId="77777777" w:rsidR="00A97AF1" w:rsidRPr="00F621C0" w:rsidRDefault="00A97AF1" w:rsidP="0075351C">
            <w:pPr>
              <w:rPr>
                <w:rFonts w:ascii="Arial" w:hAnsi="Arial" w:cs="Arial"/>
                <w:sz w:val="20"/>
                <w:szCs w:val="20"/>
              </w:rPr>
            </w:pPr>
            <w:r w:rsidRPr="00F621C0">
              <w:rPr>
                <w:rFonts w:ascii="Arial" w:hAnsi="Arial" w:cs="Arial"/>
                <w:sz w:val="20"/>
                <w:szCs w:val="20"/>
              </w:rPr>
              <w:t>CNPJ: 10.231.177/0001-52</w:t>
            </w:r>
          </w:p>
          <w:p w14:paraId="60AB6CFC" w14:textId="77777777" w:rsidR="00A97AF1" w:rsidRPr="00F621C0" w:rsidRDefault="00A97AF1" w:rsidP="0075351C">
            <w:pPr>
              <w:rPr>
                <w:rFonts w:ascii="Arial" w:hAnsi="Arial" w:cs="Arial"/>
                <w:sz w:val="20"/>
                <w:szCs w:val="20"/>
              </w:rPr>
            </w:pPr>
            <w:r w:rsidRPr="00F621C0">
              <w:rPr>
                <w:rFonts w:ascii="Arial" w:hAnsi="Arial" w:cs="Arial"/>
                <w:sz w:val="20"/>
                <w:szCs w:val="20"/>
              </w:rPr>
              <w:t>Ato Declaratório CVM nº 10.161, de 11/12/2008, quando em conjunto o Administrador e o Gestor (“Prestadores de Serviços Essenciais”).</w:t>
            </w:r>
          </w:p>
        </w:tc>
      </w:tr>
      <w:tr w:rsidR="00A97AF1" w:rsidRPr="00F621C0" w14:paraId="6FD76609" w14:textId="77777777" w:rsidTr="0075351C">
        <w:tc>
          <w:tcPr>
            <w:tcW w:w="1382" w:type="pct"/>
            <w:tcBorders>
              <w:top w:val="single" w:sz="4" w:space="0" w:color="auto"/>
              <w:bottom w:val="single" w:sz="4" w:space="0" w:color="auto"/>
            </w:tcBorders>
          </w:tcPr>
          <w:p w14:paraId="0BFA9BCB" w14:textId="77777777" w:rsidR="00A97AF1" w:rsidRPr="00F621C0" w:rsidRDefault="00A97AF1" w:rsidP="0075351C">
            <w:pPr>
              <w:rPr>
                <w:rFonts w:ascii="Arial" w:hAnsi="Arial" w:cs="Arial"/>
                <w:smallCaps/>
                <w:sz w:val="20"/>
                <w:szCs w:val="20"/>
              </w:rPr>
            </w:pPr>
          </w:p>
        </w:tc>
        <w:tc>
          <w:tcPr>
            <w:tcW w:w="3618" w:type="pct"/>
            <w:tcBorders>
              <w:top w:val="single" w:sz="4" w:space="0" w:color="auto"/>
              <w:bottom w:val="single" w:sz="4" w:space="0" w:color="auto"/>
            </w:tcBorders>
          </w:tcPr>
          <w:p w14:paraId="283762D6" w14:textId="77777777" w:rsidR="00A97AF1" w:rsidRPr="00F621C0" w:rsidRDefault="00A97AF1" w:rsidP="0075351C">
            <w:pPr>
              <w:rPr>
                <w:rFonts w:ascii="Arial" w:hAnsi="Arial" w:cs="Arial"/>
                <w:sz w:val="20"/>
                <w:szCs w:val="20"/>
              </w:rPr>
            </w:pPr>
          </w:p>
        </w:tc>
      </w:tr>
      <w:tr w:rsidR="00A97AF1" w:rsidRPr="00F621C0" w14:paraId="07F5FFEA" w14:textId="77777777" w:rsidTr="0075351C">
        <w:tc>
          <w:tcPr>
            <w:tcW w:w="1382" w:type="pct"/>
            <w:tcBorders>
              <w:top w:val="single" w:sz="4" w:space="0" w:color="auto"/>
              <w:bottom w:val="single" w:sz="4" w:space="0" w:color="auto"/>
            </w:tcBorders>
            <w:vAlign w:val="center"/>
          </w:tcPr>
          <w:p w14:paraId="35724D3F" w14:textId="77777777" w:rsidR="00A97AF1" w:rsidRPr="00F621C0" w:rsidRDefault="00A97AF1" w:rsidP="00A97AF1">
            <w:pPr>
              <w:pStyle w:val="PargrafodaLista"/>
              <w:numPr>
                <w:ilvl w:val="1"/>
                <w:numId w:val="4"/>
              </w:numPr>
              <w:spacing w:before="60" w:after="60"/>
              <w:ind w:left="0" w:firstLine="0"/>
              <w:jc w:val="center"/>
              <w:rPr>
                <w:rFonts w:ascii="Arial" w:hAnsi="Arial" w:cs="Arial"/>
              </w:rPr>
            </w:pPr>
            <w:r w:rsidRPr="00F621C0">
              <w:rPr>
                <w:rFonts w:ascii="Arial" w:hAnsi="Arial" w:cs="Arial"/>
                <w:b/>
                <w:bCs/>
                <w:smallCaps/>
              </w:rPr>
              <w:t>Responsabilidade</w:t>
            </w:r>
            <w:r w:rsidRPr="00F621C0">
              <w:rPr>
                <w:rFonts w:ascii="Arial" w:hAnsi="Arial" w:cs="Arial"/>
                <w:b/>
                <w:bCs/>
                <w:smallCaps/>
                <w:color w:val="000000"/>
              </w:rPr>
              <w:t xml:space="preserve"> dos Prestadores de Serviços </w:t>
            </w:r>
          </w:p>
        </w:tc>
        <w:tc>
          <w:tcPr>
            <w:tcW w:w="3618" w:type="pct"/>
            <w:tcBorders>
              <w:top w:val="single" w:sz="4" w:space="0" w:color="auto"/>
              <w:bottom w:val="single" w:sz="4" w:space="0" w:color="auto"/>
            </w:tcBorders>
            <w:vAlign w:val="center"/>
          </w:tcPr>
          <w:p w14:paraId="7D0A4BF7"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A responsabilidade de cada Prestador de Serviços perante o Fundo, sua Classe Única e demais prestadores de serviços é individual e limitada, exclusivamente, ao cumprimento dos respectivos deveres, aferíveis conforme previsto na Resolução CVM 175, neste Regulamento e seu Anexo e, ainda, no respectivo contrato de prestação de serviços. </w:t>
            </w:r>
          </w:p>
          <w:p w14:paraId="0F113A05" w14:textId="77777777" w:rsidR="00A97AF1" w:rsidRPr="00F621C0" w:rsidRDefault="00A97AF1" w:rsidP="0075351C">
            <w:pPr>
              <w:jc w:val="both"/>
              <w:rPr>
                <w:rFonts w:ascii="Arial" w:hAnsi="Arial" w:cs="Arial"/>
                <w:sz w:val="20"/>
                <w:szCs w:val="20"/>
              </w:rPr>
            </w:pPr>
          </w:p>
          <w:p w14:paraId="22EB8BE3"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 avaliação da responsabilidade dos Prestadores de Serviços deverá levar sempre em consideração o escopo de suas respectivas atuações perante o Fundo e a Classe Única, bem como o fato de que os serviços são prestados em regime de melhores esforços e como obrigação de meio.</w:t>
            </w:r>
          </w:p>
          <w:p w14:paraId="4162548A" w14:textId="77777777" w:rsidR="00A97AF1" w:rsidRPr="00F621C0" w:rsidRDefault="00A97AF1" w:rsidP="0075351C">
            <w:pPr>
              <w:jc w:val="both"/>
              <w:rPr>
                <w:rFonts w:ascii="Arial" w:hAnsi="Arial" w:cs="Arial"/>
                <w:sz w:val="20"/>
                <w:szCs w:val="20"/>
              </w:rPr>
            </w:pPr>
          </w:p>
          <w:p w14:paraId="7451FA23"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r w:rsidR="00A97AF1" w:rsidRPr="00F621C0" w14:paraId="44390A29" w14:textId="77777777" w:rsidTr="0075351C">
        <w:tc>
          <w:tcPr>
            <w:tcW w:w="1382" w:type="pct"/>
            <w:tcBorders>
              <w:top w:val="single" w:sz="4" w:space="0" w:color="auto"/>
              <w:bottom w:val="single" w:sz="4" w:space="0" w:color="auto"/>
            </w:tcBorders>
            <w:vAlign w:val="center"/>
          </w:tcPr>
          <w:p w14:paraId="03675667" w14:textId="77777777" w:rsidR="00A97AF1" w:rsidRPr="00F621C0" w:rsidRDefault="00A97AF1" w:rsidP="0075351C">
            <w:pPr>
              <w:rPr>
                <w:rFonts w:ascii="Arial" w:hAnsi="Arial" w:cs="Arial"/>
                <w:smallCaps/>
                <w:sz w:val="20"/>
                <w:szCs w:val="20"/>
              </w:rPr>
            </w:pPr>
          </w:p>
        </w:tc>
        <w:tc>
          <w:tcPr>
            <w:tcW w:w="3618" w:type="pct"/>
            <w:tcBorders>
              <w:top w:val="single" w:sz="4" w:space="0" w:color="auto"/>
              <w:bottom w:val="single" w:sz="4" w:space="0" w:color="auto"/>
            </w:tcBorders>
            <w:vAlign w:val="center"/>
          </w:tcPr>
          <w:p w14:paraId="2E6A6F35" w14:textId="77777777" w:rsidR="00A97AF1" w:rsidRPr="00F621C0" w:rsidRDefault="00A97AF1" w:rsidP="0075351C">
            <w:pPr>
              <w:rPr>
                <w:rFonts w:ascii="Arial" w:hAnsi="Arial" w:cs="Arial"/>
                <w:smallCaps/>
                <w:sz w:val="20"/>
                <w:szCs w:val="20"/>
              </w:rPr>
            </w:pPr>
          </w:p>
        </w:tc>
      </w:tr>
    </w:tbl>
    <w:p w14:paraId="5B47B2CA"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2"/>
      </w:tblGrid>
      <w:tr w:rsidR="00A97AF1" w:rsidRPr="00F621C0" w14:paraId="4B4A3C22" w14:textId="77777777" w:rsidTr="0075351C">
        <w:tc>
          <w:tcPr>
            <w:tcW w:w="5000" w:type="pct"/>
            <w:shd w:val="clear" w:color="auto" w:fill="C00000"/>
          </w:tcPr>
          <w:p w14:paraId="68A2DECD" w14:textId="77777777" w:rsidR="00A97AF1" w:rsidRPr="00F621C0" w:rsidRDefault="00A97AF1" w:rsidP="00A97AF1">
            <w:pPr>
              <w:pStyle w:val="PargrafodaLista"/>
              <w:numPr>
                <w:ilvl w:val="0"/>
                <w:numId w:val="4"/>
              </w:numPr>
              <w:ind w:left="0" w:firstLine="0"/>
              <w:jc w:val="center"/>
              <w:rPr>
                <w:rFonts w:ascii="Arial" w:hAnsi="Arial" w:cs="Arial"/>
                <w:b/>
                <w:bCs/>
                <w:color w:val="FFFFFF" w:themeColor="background1"/>
              </w:rPr>
            </w:pPr>
            <w:r w:rsidRPr="00F621C0">
              <w:rPr>
                <w:rFonts w:ascii="Arial" w:hAnsi="Arial" w:cs="Arial"/>
                <w:b/>
                <w:bCs/>
                <w:color w:val="FFFFFF" w:themeColor="background1"/>
              </w:rPr>
              <w:t>ESTRUTURA DO FUNDO</w:t>
            </w:r>
          </w:p>
        </w:tc>
      </w:tr>
      <w:tr w:rsidR="00A97AF1" w:rsidRPr="00F621C0" w14:paraId="4A64EC1C" w14:textId="77777777" w:rsidTr="0075351C">
        <w:tc>
          <w:tcPr>
            <w:tcW w:w="5000" w:type="pct"/>
            <w:tcBorders>
              <w:bottom w:val="single" w:sz="4" w:space="0" w:color="auto"/>
            </w:tcBorders>
            <w:vAlign w:val="center"/>
          </w:tcPr>
          <w:p w14:paraId="79F1C023" w14:textId="77777777" w:rsidR="00A97AF1" w:rsidRPr="00F621C0" w:rsidRDefault="00A97AF1" w:rsidP="0075351C">
            <w:pPr>
              <w:rPr>
                <w:rFonts w:ascii="Arial" w:hAnsi="Arial" w:cs="Arial"/>
                <w:sz w:val="20"/>
                <w:szCs w:val="20"/>
              </w:rPr>
            </w:pPr>
          </w:p>
        </w:tc>
      </w:tr>
      <w:tr w:rsidR="00A97AF1" w:rsidRPr="00F621C0" w14:paraId="789F5FD3" w14:textId="77777777" w:rsidTr="00753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Borders>
              <w:top w:val="single" w:sz="4" w:space="0" w:color="auto"/>
              <w:left w:val="nil"/>
              <w:bottom w:val="single" w:sz="4" w:space="0" w:color="auto"/>
              <w:right w:val="nil"/>
            </w:tcBorders>
          </w:tcPr>
          <w:p w14:paraId="1CC2CF82"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Prazo de Duração do Fundo: De até 12 anos, contados a partir da Data de Início do Prazo, qual seja 30 de setembro de 2024, sendo certo que o Fundo poderá ser liquidado a partir do início do seu 10º ano de duração em caso de liquidação do FIP Vinci e do FIP Vinci Master, nos termos dos itens 2.4 e 6.4 do Anexo.</w:t>
            </w:r>
          </w:p>
        </w:tc>
      </w:tr>
      <w:tr w:rsidR="00A97AF1" w:rsidRPr="00F621C0" w14:paraId="5A85D002" w14:textId="77777777" w:rsidTr="00753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Borders>
              <w:top w:val="single" w:sz="4" w:space="0" w:color="auto"/>
              <w:left w:val="nil"/>
              <w:bottom w:val="single" w:sz="4" w:space="0" w:color="auto"/>
              <w:right w:val="nil"/>
            </w:tcBorders>
          </w:tcPr>
          <w:p w14:paraId="152C2B4C" w14:textId="77777777" w:rsidR="00A97AF1" w:rsidRPr="00F621C0" w:rsidRDefault="00A97AF1" w:rsidP="0075351C">
            <w:pPr>
              <w:pStyle w:val="PargrafodaLista"/>
              <w:ind w:left="0"/>
              <w:rPr>
                <w:rFonts w:ascii="Arial" w:hAnsi="Arial" w:cs="Arial"/>
              </w:rPr>
            </w:pPr>
          </w:p>
        </w:tc>
      </w:tr>
      <w:tr w:rsidR="00A97AF1" w:rsidRPr="00F621C0" w14:paraId="73D3E050" w14:textId="77777777" w:rsidTr="0075351C">
        <w:tc>
          <w:tcPr>
            <w:tcW w:w="5000" w:type="pct"/>
            <w:tcBorders>
              <w:top w:val="single" w:sz="4" w:space="0" w:color="auto"/>
              <w:left w:val="nil"/>
              <w:bottom w:val="single" w:sz="4" w:space="0" w:color="auto"/>
              <w:right w:val="nil"/>
            </w:tcBorders>
          </w:tcPr>
          <w:p w14:paraId="5A89CEEA"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 xml:space="preserve">Estrutura de Classe(s) e Subclasse(s): O Fundo conta com uma Classe Única e a Classe Única não conta com diferentes Subclasses. </w:t>
            </w:r>
          </w:p>
        </w:tc>
      </w:tr>
      <w:tr w:rsidR="00A97AF1" w:rsidRPr="00F621C0" w14:paraId="26E3E67C" w14:textId="77777777" w:rsidTr="0075351C">
        <w:tc>
          <w:tcPr>
            <w:tcW w:w="5000" w:type="pct"/>
            <w:tcBorders>
              <w:top w:val="single" w:sz="4" w:space="0" w:color="auto"/>
              <w:left w:val="nil"/>
              <w:bottom w:val="single" w:sz="4" w:space="0" w:color="auto"/>
              <w:right w:val="nil"/>
            </w:tcBorders>
          </w:tcPr>
          <w:p w14:paraId="22516030" w14:textId="77777777" w:rsidR="00A97AF1" w:rsidRPr="00F621C0" w:rsidRDefault="00A97AF1" w:rsidP="0075351C">
            <w:pPr>
              <w:pStyle w:val="PargrafodaLista"/>
              <w:ind w:left="0"/>
              <w:rPr>
                <w:rFonts w:ascii="Arial" w:hAnsi="Arial" w:cs="Arial"/>
              </w:rPr>
            </w:pPr>
          </w:p>
        </w:tc>
      </w:tr>
      <w:tr w:rsidR="00A97AF1" w:rsidRPr="00F621C0" w14:paraId="7EDA399D" w14:textId="77777777" w:rsidTr="0075351C">
        <w:tc>
          <w:tcPr>
            <w:tcW w:w="5000" w:type="pct"/>
            <w:tcBorders>
              <w:top w:val="single" w:sz="4" w:space="0" w:color="auto"/>
              <w:left w:val="nil"/>
              <w:bottom w:val="single" w:sz="4" w:space="0" w:color="auto"/>
              <w:right w:val="nil"/>
            </w:tcBorders>
          </w:tcPr>
          <w:p w14:paraId="100DDCBF"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 xml:space="preserve">Exercício Social do Fundo: Término no último dia do mês de março de cada ano civil. </w:t>
            </w:r>
          </w:p>
        </w:tc>
      </w:tr>
    </w:tbl>
    <w:p w14:paraId="14E13F03"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7AF1" w:rsidRPr="00F621C0" w14:paraId="16D62FBA" w14:textId="77777777" w:rsidTr="0075351C">
        <w:tc>
          <w:tcPr>
            <w:tcW w:w="5000" w:type="pct"/>
            <w:gridSpan w:val="2"/>
            <w:shd w:val="clear" w:color="auto" w:fill="C00000"/>
          </w:tcPr>
          <w:p w14:paraId="203B1D0D" w14:textId="77777777" w:rsidR="00A97AF1" w:rsidRPr="00F621C0" w:rsidRDefault="00A97AF1" w:rsidP="00A97AF1">
            <w:pPr>
              <w:pStyle w:val="PargrafodaLista"/>
              <w:numPr>
                <w:ilvl w:val="0"/>
                <w:numId w:val="4"/>
              </w:numPr>
              <w:ind w:left="0" w:firstLine="0"/>
              <w:jc w:val="center"/>
              <w:rPr>
                <w:rFonts w:ascii="Arial" w:hAnsi="Arial" w:cs="Arial"/>
                <w:b/>
                <w:bCs/>
                <w:color w:val="FFFFFF" w:themeColor="background1"/>
              </w:rPr>
            </w:pPr>
            <w:r w:rsidRPr="00F621C0">
              <w:rPr>
                <w:rFonts w:ascii="Arial" w:hAnsi="Arial" w:cs="Arial"/>
                <w:b/>
                <w:bCs/>
                <w:color w:val="FFFFFF" w:themeColor="background1"/>
              </w:rPr>
              <w:t>POLÍTICA DE INVESTIMENTOS</w:t>
            </w:r>
          </w:p>
        </w:tc>
      </w:tr>
      <w:tr w:rsidR="00A97AF1" w:rsidRPr="00F621C0" w14:paraId="7F5B3103" w14:textId="77777777" w:rsidTr="0075351C">
        <w:tc>
          <w:tcPr>
            <w:tcW w:w="1381" w:type="pct"/>
            <w:tcBorders>
              <w:bottom w:val="single" w:sz="4" w:space="0" w:color="auto"/>
            </w:tcBorders>
            <w:vAlign w:val="center"/>
          </w:tcPr>
          <w:p w14:paraId="31F1A84C" w14:textId="77777777" w:rsidR="00A97AF1" w:rsidRPr="00F621C0" w:rsidRDefault="00A97AF1" w:rsidP="0075351C">
            <w:pPr>
              <w:jc w:val="center"/>
              <w:rPr>
                <w:rFonts w:ascii="Arial" w:hAnsi="Arial" w:cs="Arial"/>
                <w:b/>
                <w:bCs/>
                <w:sz w:val="20"/>
                <w:szCs w:val="20"/>
              </w:rPr>
            </w:pPr>
          </w:p>
        </w:tc>
        <w:tc>
          <w:tcPr>
            <w:tcW w:w="3619" w:type="pct"/>
            <w:tcBorders>
              <w:bottom w:val="single" w:sz="4" w:space="0" w:color="auto"/>
            </w:tcBorders>
          </w:tcPr>
          <w:p w14:paraId="1ED22827" w14:textId="77777777" w:rsidR="00A97AF1" w:rsidRPr="00F621C0" w:rsidRDefault="00A97AF1" w:rsidP="0075351C">
            <w:pPr>
              <w:rPr>
                <w:rFonts w:ascii="Arial" w:hAnsi="Arial" w:cs="Arial"/>
                <w:sz w:val="20"/>
                <w:szCs w:val="20"/>
              </w:rPr>
            </w:pPr>
          </w:p>
        </w:tc>
      </w:tr>
      <w:tr w:rsidR="00A97AF1" w:rsidRPr="00F621C0" w14:paraId="4EC4EFB7" w14:textId="77777777" w:rsidTr="0075351C">
        <w:tc>
          <w:tcPr>
            <w:tcW w:w="5000" w:type="pct"/>
            <w:gridSpan w:val="2"/>
            <w:tcBorders>
              <w:top w:val="single" w:sz="4" w:space="0" w:color="auto"/>
              <w:left w:val="nil"/>
              <w:bottom w:val="single" w:sz="4" w:space="0" w:color="auto"/>
              <w:right w:val="nil"/>
            </w:tcBorders>
          </w:tcPr>
          <w:p w14:paraId="68743FEA"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A política de investimentos a ser observada pelo Gestor, com relação a Classe Única, está indicada no respectivo Anexo. Todos os limites de investimento serão indicados e deverão ser interpretados com relação ao patrimônio líquido da Classe Única.</w:t>
            </w:r>
          </w:p>
        </w:tc>
      </w:tr>
      <w:tr w:rsidR="00A97AF1" w:rsidRPr="00F621C0" w14:paraId="008D57D6" w14:textId="77777777" w:rsidTr="0075351C">
        <w:tc>
          <w:tcPr>
            <w:tcW w:w="5000" w:type="pct"/>
            <w:gridSpan w:val="2"/>
            <w:tcBorders>
              <w:top w:val="single" w:sz="4" w:space="0" w:color="auto"/>
              <w:left w:val="nil"/>
              <w:bottom w:val="single" w:sz="4" w:space="0" w:color="auto"/>
              <w:right w:val="nil"/>
            </w:tcBorders>
          </w:tcPr>
          <w:p w14:paraId="742D150C" w14:textId="77777777" w:rsidR="00A97AF1" w:rsidRPr="00F621C0" w:rsidRDefault="00A97AF1" w:rsidP="0075351C">
            <w:pPr>
              <w:pStyle w:val="PargrafodaLista"/>
              <w:ind w:left="0"/>
              <w:jc w:val="both"/>
              <w:rPr>
                <w:rFonts w:ascii="Arial" w:hAnsi="Arial" w:cs="Arial"/>
              </w:rPr>
            </w:pPr>
          </w:p>
        </w:tc>
      </w:tr>
      <w:tr w:rsidR="00A97AF1" w:rsidRPr="00F621C0" w14:paraId="21F84099" w14:textId="77777777" w:rsidTr="0075351C">
        <w:tc>
          <w:tcPr>
            <w:tcW w:w="5000" w:type="pct"/>
            <w:gridSpan w:val="2"/>
            <w:tcBorders>
              <w:top w:val="single" w:sz="4" w:space="0" w:color="auto"/>
              <w:left w:val="nil"/>
              <w:bottom w:val="single" w:sz="4" w:space="0" w:color="auto"/>
              <w:right w:val="nil"/>
            </w:tcBorders>
          </w:tcPr>
          <w:p w14:paraId="496F6490"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O investimento na Classe Única deste Fundo:</w:t>
            </w:r>
          </w:p>
          <w:p w14:paraId="5171CE84" w14:textId="77777777" w:rsidR="00A97AF1" w:rsidRPr="00F621C0" w:rsidRDefault="00A97AF1" w:rsidP="0075351C">
            <w:pPr>
              <w:pStyle w:val="PargrafodaLista"/>
              <w:ind w:left="0"/>
              <w:jc w:val="both"/>
              <w:rPr>
                <w:rFonts w:ascii="Arial" w:hAnsi="Arial" w:cs="Arial"/>
              </w:rPr>
            </w:pPr>
          </w:p>
          <w:p w14:paraId="160C79F8" w14:textId="77777777" w:rsidR="00A97AF1" w:rsidRPr="00F621C0" w:rsidRDefault="00A97AF1" w:rsidP="00A97AF1">
            <w:pPr>
              <w:pStyle w:val="PargrafodaLista"/>
              <w:numPr>
                <w:ilvl w:val="0"/>
                <w:numId w:val="10"/>
              </w:numPr>
              <w:jc w:val="both"/>
              <w:rPr>
                <w:rFonts w:ascii="Arial" w:hAnsi="Arial" w:cs="Arial"/>
              </w:rPr>
            </w:pPr>
            <w:r w:rsidRPr="00F621C0">
              <w:rPr>
                <w:rFonts w:ascii="Arial" w:hAnsi="Arial" w:cs="Arial"/>
              </w:rPr>
              <w:t>não é garantido pelo FGC – Fundo Garantidor de Crédito;</w:t>
            </w:r>
          </w:p>
          <w:p w14:paraId="77AFD4AA" w14:textId="77777777" w:rsidR="00A97AF1" w:rsidRPr="00F621C0" w:rsidRDefault="00A97AF1" w:rsidP="00A97AF1">
            <w:pPr>
              <w:pStyle w:val="PargrafodaLista"/>
              <w:numPr>
                <w:ilvl w:val="0"/>
                <w:numId w:val="10"/>
              </w:numPr>
              <w:jc w:val="both"/>
              <w:rPr>
                <w:rFonts w:ascii="Arial" w:hAnsi="Arial" w:cs="Arial"/>
              </w:rPr>
            </w:pPr>
            <w:r w:rsidRPr="00F621C0">
              <w:rPr>
                <w:rFonts w:ascii="Arial" w:hAnsi="Arial" w:cs="Arial"/>
              </w:rPr>
              <w:t xml:space="preserve">não é garantido, de forma alguma, pelo Administrador, Gestor, ou qualquer outro Prestador de Serviços; e </w:t>
            </w:r>
          </w:p>
          <w:p w14:paraId="2F7E7917" w14:textId="77777777" w:rsidR="00A97AF1" w:rsidRPr="00F621C0" w:rsidRDefault="00A97AF1" w:rsidP="00A97AF1">
            <w:pPr>
              <w:pStyle w:val="PargrafodaLista"/>
              <w:numPr>
                <w:ilvl w:val="0"/>
                <w:numId w:val="10"/>
              </w:numPr>
              <w:jc w:val="both"/>
              <w:rPr>
                <w:rFonts w:ascii="Arial" w:hAnsi="Arial" w:cs="Arial"/>
              </w:rPr>
            </w:pPr>
            <w:r w:rsidRPr="00F621C0">
              <w:rPr>
                <w:rFonts w:ascii="Arial" w:hAnsi="Arial" w:cs="Arial"/>
              </w:rPr>
              <w:t>não conta com qualquer tipo de cobertura de seguro.</w:t>
            </w:r>
          </w:p>
        </w:tc>
      </w:tr>
      <w:tr w:rsidR="00A97AF1" w:rsidRPr="00F621C0" w14:paraId="75FC5801" w14:textId="77777777" w:rsidTr="0075351C">
        <w:tc>
          <w:tcPr>
            <w:tcW w:w="5000" w:type="pct"/>
            <w:gridSpan w:val="2"/>
            <w:tcBorders>
              <w:top w:val="single" w:sz="4" w:space="0" w:color="auto"/>
              <w:left w:val="nil"/>
              <w:bottom w:val="single" w:sz="4" w:space="0" w:color="auto"/>
              <w:right w:val="nil"/>
            </w:tcBorders>
          </w:tcPr>
          <w:p w14:paraId="4BD2EDDF" w14:textId="77777777" w:rsidR="00A97AF1" w:rsidRPr="00F621C0" w:rsidRDefault="00A97AF1" w:rsidP="0075351C">
            <w:pPr>
              <w:pStyle w:val="PargrafodaLista"/>
              <w:ind w:left="0"/>
              <w:jc w:val="both"/>
              <w:rPr>
                <w:rFonts w:ascii="Arial" w:hAnsi="Arial" w:cs="Arial"/>
              </w:rPr>
            </w:pPr>
          </w:p>
        </w:tc>
      </w:tr>
      <w:tr w:rsidR="00A97AF1" w:rsidRPr="00F621C0" w14:paraId="7875EB90" w14:textId="77777777" w:rsidTr="0075351C">
        <w:trPr>
          <w:trHeight w:val="593"/>
        </w:trPr>
        <w:tc>
          <w:tcPr>
            <w:tcW w:w="5000" w:type="pct"/>
            <w:gridSpan w:val="2"/>
            <w:tcBorders>
              <w:top w:val="single" w:sz="4" w:space="0" w:color="auto"/>
              <w:left w:val="nil"/>
              <w:bottom w:val="single" w:sz="4" w:space="0" w:color="auto"/>
              <w:right w:val="nil"/>
            </w:tcBorders>
          </w:tcPr>
          <w:p w14:paraId="6CC90FF4"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O Administrador e o Gestor não poderão, em hipótese alguma, ser responsabilizados por qualquer resultado negativo da Classe Únicas e/ou das classes de fundos de investimento investidas, incluindo do FIP Vinci e do FIP Vinci Master,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Única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EDAF11E"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97AF1" w:rsidRPr="00F621C0" w14:paraId="7037D6E2" w14:textId="77777777" w:rsidTr="0075351C">
        <w:tc>
          <w:tcPr>
            <w:tcW w:w="5000" w:type="pct"/>
            <w:gridSpan w:val="3"/>
            <w:shd w:val="clear" w:color="auto" w:fill="C00000"/>
          </w:tcPr>
          <w:p w14:paraId="1060E4D7" w14:textId="77777777" w:rsidR="00A97AF1" w:rsidRPr="00F621C0" w:rsidRDefault="00A97AF1" w:rsidP="00A97AF1">
            <w:pPr>
              <w:pStyle w:val="PargrafodaLista"/>
              <w:numPr>
                <w:ilvl w:val="0"/>
                <w:numId w:val="4"/>
              </w:numPr>
              <w:ind w:left="0" w:firstLine="0"/>
              <w:jc w:val="center"/>
              <w:rPr>
                <w:rFonts w:ascii="Arial" w:hAnsi="Arial" w:cs="Arial"/>
                <w:b/>
                <w:bCs/>
                <w:color w:val="FFFFFF" w:themeColor="background1"/>
              </w:rPr>
            </w:pPr>
            <w:r w:rsidRPr="00F621C0">
              <w:rPr>
                <w:rFonts w:ascii="Arial" w:hAnsi="Arial" w:cs="Arial"/>
                <w:b/>
                <w:bCs/>
                <w:color w:val="FFFFFF" w:themeColor="background1"/>
              </w:rPr>
              <w:t>FATORES DE RISCO COMUNS ÀS CLASSES</w:t>
            </w:r>
          </w:p>
        </w:tc>
      </w:tr>
      <w:tr w:rsidR="00A97AF1" w:rsidRPr="00F621C0" w14:paraId="7A77B070" w14:textId="77777777" w:rsidTr="0075351C">
        <w:tc>
          <w:tcPr>
            <w:tcW w:w="1964" w:type="pct"/>
            <w:gridSpan w:val="2"/>
            <w:tcBorders>
              <w:top w:val="single" w:sz="4" w:space="0" w:color="auto"/>
              <w:bottom w:val="single" w:sz="4" w:space="0" w:color="auto"/>
            </w:tcBorders>
            <w:vAlign w:val="center"/>
          </w:tcPr>
          <w:p w14:paraId="293B8095" w14:textId="77777777" w:rsidR="00A97AF1" w:rsidRPr="00F621C0" w:rsidRDefault="00A97AF1" w:rsidP="0075351C">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C09DEE" w14:textId="77777777" w:rsidR="00A97AF1" w:rsidRPr="00F621C0" w:rsidRDefault="00A97AF1" w:rsidP="0075351C">
            <w:pPr>
              <w:jc w:val="both"/>
              <w:rPr>
                <w:rFonts w:ascii="Arial" w:hAnsi="Arial" w:cs="Arial"/>
                <w:sz w:val="20"/>
                <w:szCs w:val="20"/>
              </w:rPr>
            </w:pPr>
          </w:p>
        </w:tc>
      </w:tr>
      <w:tr w:rsidR="00A97AF1" w:rsidRPr="00F621C0" w14:paraId="35775621" w14:textId="77777777" w:rsidTr="0075351C">
        <w:tc>
          <w:tcPr>
            <w:tcW w:w="5000" w:type="pct"/>
            <w:gridSpan w:val="3"/>
            <w:tcBorders>
              <w:top w:val="single" w:sz="4" w:space="0" w:color="auto"/>
              <w:bottom w:val="single" w:sz="4" w:space="0" w:color="auto"/>
            </w:tcBorders>
            <w:vAlign w:val="center"/>
          </w:tcPr>
          <w:p w14:paraId="5CB8B7FD"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Os fatores de risco a seguir descritos são comuns à Classe Única e eventuais outras classes que vierem a ser constituídas no futuro caso assim seja determinado pela Assembleia Geral de Cotistas. Os fatores de risco específicos da Classe Única, notadamente em decorrência de sua respectiva política de investimento e demais características individuais, poderão ser encontrados no respectivo Anexo.</w:t>
            </w:r>
          </w:p>
        </w:tc>
      </w:tr>
      <w:tr w:rsidR="00A97AF1" w:rsidRPr="00F621C0" w14:paraId="47C9349D" w14:textId="77777777" w:rsidTr="0075351C">
        <w:tc>
          <w:tcPr>
            <w:tcW w:w="1382" w:type="pct"/>
            <w:tcBorders>
              <w:top w:val="single" w:sz="4" w:space="0" w:color="auto"/>
              <w:bottom w:val="single" w:sz="4" w:space="0" w:color="auto"/>
            </w:tcBorders>
            <w:vAlign w:val="center"/>
          </w:tcPr>
          <w:p w14:paraId="3E2FF513" w14:textId="77777777" w:rsidR="00A97AF1" w:rsidRPr="00F621C0" w:rsidRDefault="00A97AF1" w:rsidP="007535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D99F83" w14:textId="77777777" w:rsidR="00A97AF1" w:rsidRPr="00F621C0" w:rsidRDefault="00A97AF1" w:rsidP="0075351C">
            <w:pPr>
              <w:jc w:val="both"/>
              <w:rPr>
                <w:rFonts w:ascii="Arial" w:hAnsi="Arial" w:cs="Arial"/>
                <w:sz w:val="20"/>
                <w:szCs w:val="20"/>
              </w:rPr>
            </w:pPr>
          </w:p>
        </w:tc>
      </w:tr>
      <w:tr w:rsidR="00A97AF1" w:rsidRPr="00F621C0" w14:paraId="627E592F" w14:textId="77777777" w:rsidTr="0075351C">
        <w:tc>
          <w:tcPr>
            <w:tcW w:w="1382" w:type="pct"/>
            <w:tcBorders>
              <w:top w:val="single" w:sz="4" w:space="0" w:color="auto"/>
              <w:bottom w:val="single" w:sz="4" w:space="0" w:color="auto"/>
            </w:tcBorders>
            <w:vAlign w:val="center"/>
          </w:tcPr>
          <w:p w14:paraId="0CF44494" w14:textId="77777777" w:rsidR="00A97AF1" w:rsidRPr="00F621C0" w:rsidRDefault="00A97AF1" w:rsidP="00A97AF1">
            <w:pPr>
              <w:pStyle w:val="PargrafodaLista"/>
              <w:numPr>
                <w:ilvl w:val="0"/>
                <w:numId w:val="6"/>
              </w:numPr>
              <w:ind w:left="0" w:firstLine="0"/>
              <w:jc w:val="center"/>
              <w:rPr>
                <w:rFonts w:ascii="Arial" w:hAnsi="Arial" w:cs="Arial"/>
                <w:smallCaps/>
              </w:rPr>
            </w:pPr>
            <w:r w:rsidRPr="00F621C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1F79791"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Alterações legislativas, regulatórias ou de interpretação das normas aplicáveis podem causar efeito adverso relevante ao Fundo, à Classe Única, às eventuais Subclasses ou aos Cotistas, bem como acarretar alterações na carteira da Classe Única, como, por exemplo, (i) eventual impacto no preço dos ativos financeiros e/ou na performance das posições financeiras adquiridas pela Classe Única, (ii) necessidade da Classe Única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97AF1" w:rsidRPr="00F621C0" w14:paraId="4CBB2CC1" w14:textId="77777777" w:rsidTr="0075351C">
        <w:tc>
          <w:tcPr>
            <w:tcW w:w="1382" w:type="pct"/>
            <w:tcBorders>
              <w:top w:val="single" w:sz="4" w:space="0" w:color="auto"/>
              <w:bottom w:val="single" w:sz="4" w:space="0" w:color="auto"/>
            </w:tcBorders>
            <w:vAlign w:val="center"/>
          </w:tcPr>
          <w:p w14:paraId="2430532B" w14:textId="77777777" w:rsidR="00A97AF1" w:rsidRPr="00F621C0" w:rsidRDefault="00A97AF1" w:rsidP="007535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F34C18" w14:textId="77777777" w:rsidR="00A97AF1" w:rsidRPr="00F621C0" w:rsidRDefault="00A97AF1" w:rsidP="0075351C">
            <w:pPr>
              <w:jc w:val="both"/>
              <w:rPr>
                <w:rFonts w:ascii="Arial" w:hAnsi="Arial" w:cs="Arial"/>
                <w:sz w:val="20"/>
                <w:szCs w:val="20"/>
              </w:rPr>
            </w:pPr>
          </w:p>
        </w:tc>
      </w:tr>
      <w:tr w:rsidR="00A97AF1" w:rsidRPr="00F621C0" w14:paraId="3AC051E4" w14:textId="77777777" w:rsidTr="0075351C">
        <w:tc>
          <w:tcPr>
            <w:tcW w:w="1382" w:type="pct"/>
            <w:tcBorders>
              <w:top w:val="single" w:sz="4" w:space="0" w:color="auto"/>
              <w:bottom w:val="single" w:sz="4" w:space="0" w:color="auto"/>
            </w:tcBorders>
            <w:vAlign w:val="center"/>
          </w:tcPr>
          <w:p w14:paraId="43B0C1A7" w14:textId="77777777" w:rsidR="00A97AF1" w:rsidRPr="00F621C0" w:rsidRDefault="00A97AF1" w:rsidP="00A97AF1">
            <w:pPr>
              <w:pStyle w:val="PargrafodaLista"/>
              <w:numPr>
                <w:ilvl w:val="0"/>
                <w:numId w:val="6"/>
              </w:numPr>
              <w:ind w:left="0" w:firstLine="0"/>
              <w:jc w:val="center"/>
              <w:rPr>
                <w:rFonts w:ascii="Arial" w:hAnsi="Arial" w:cs="Arial"/>
                <w:b/>
                <w:bCs/>
                <w:smallCaps/>
                <w:color w:val="000000"/>
              </w:rPr>
            </w:pPr>
            <w:r w:rsidRPr="00F621C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F01FFD4"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 adoção de interpretações por órgãos administrativos e pelo Poder Judiciário que contrastem com as disposições deste Regulamento e Anexo poderão afetar negativamente o Fundo, a Classe Única, as eventuais subclasses e os Cotistas, independentemente das proteções e salvaguardas estabelecidas nestes documentos. Este Regulamento, o Anexo da Classe Única e os eventuais Anexos e apêndices adicionais,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97AF1" w:rsidRPr="00F621C0" w14:paraId="6AF41228" w14:textId="77777777" w:rsidTr="0075351C">
        <w:tc>
          <w:tcPr>
            <w:tcW w:w="1382" w:type="pct"/>
            <w:tcBorders>
              <w:top w:val="single" w:sz="4" w:space="0" w:color="auto"/>
              <w:bottom w:val="single" w:sz="4" w:space="0" w:color="auto"/>
            </w:tcBorders>
            <w:vAlign w:val="center"/>
          </w:tcPr>
          <w:p w14:paraId="7F1264A0" w14:textId="77777777" w:rsidR="00A97AF1" w:rsidRPr="00F621C0" w:rsidRDefault="00A97AF1" w:rsidP="007535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AB554B" w14:textId="77777777" w:rsidR="00A97AF1" w:rsidRPr="00F621C0" w:rsidRDefault="00A97AF1" w:rsidP="0075351C">
            <w:pPr>
              <w:jc w:val="both"/>
              <w:rPr>
                <w:rFonts w:ascii="Arial" w:hAnsi="Arial" w:cs="Arial"/>
                <w:sz w:val="20"/>
                <w:szCs w:val="20"/>
              </w:rPr>
            </w:pPr>
          </w:p>
        </w:tc>
      </w:tr>
      <w:tr w:rsidR="00A97AF1" w:rsidRPr="00F621C0" w14:paraId="72EA945A" w14:textId="77777777" w:rsidTr="0075351C">
        <w:tc>
          <w:tcPr>
            <w:tcW w:w="1382" w:type="pct"/>
            <w:tcBorders>
              <w:top w:val="single" w:sz="4" w:space="0" w:color="auto"/>
              <w:bottom w:val="single" w:sz="4" w:space="0" w:color="auto"/>
            </w:tcBorders>
            <w:vAlign w:val="center"/>
          </w:tcPr>
          <w:p w14:paraId="306988BC" w14:textId="77777777" w:rsidR="00A97AF1" w:rsidRPr="00F621C0" w:rsidRDefault="00A97AF1" w:rsidP="00A97AF1">
            <w:pPr>
              <w:pStyle w:val="PargrafodaLista"/>
              <w:numPr>
                <w:ilvl w:val="0"/>
                <w:numId w:val="6"/>
              </w:numPr>
              <w:ind w:left="0" w:firstLine="0"/>
              <w:jc w:val="center"/>
              <w:rPr>
                <w:rFonts w:ascii="Arial" w:hAnsi="Arial" w:cs="Arial"/>
                <w:b/>
                <w:bCs/>
                <w:smallCaps/>
                <w:color w:val="000000"/>
              </w:rPr>
            </w:pPr>
            <w:r w:rsidRPr="00F621C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BAF660B"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 Classe Única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97AF1" w:rsidRPr="00F621C0" w14:paraId="61E5524A" w14:textId="77777777" w:rsidTr="0075351C">
        <w:tc>
          <w:tcPr>
            <w:tcW w:w="1382" w:type="pct"/>
            <w:tcBorders>
              <w:top w:val="single" w:sz="4" w:space="0" w:color="auto"/>
              <w:bottom w:val="single" w:sz="4" w:space="0" w:color="auto"/>
            </w:tcBorders>
            <w:vAlign w:val="center"/>
          </w:tcPr>
          <w:p w14:paraId="2C4A312A" w14:textId="77777777" w:rsidR="00A97AF1" w:rsidRPr="00F621C0" w:rsidRDefault="00A97AF1" w:rsidP="007535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4CE476" w14:textId="77777777" w:rsidR="00A97AF1" w:rsidRPr="00F621C0" w:rsidRDefault="00A97AF1" w:rsidP="0075351C">
            <w:pPr>
              <w:jc w:val="both"/>
              <w:rPr>
                <w:rFonts w:ascii="Arial" w:hAnsi="Arial" w:cs="Arial"/>
                <w:sz w:val="20"/>
                <w:szCs w:val="20"/>
              </w:rPr>
            </w:pPr>
          </w:p>
        </w:tc>
      </w:tr>
      <w:tr w:rsidR="00A97AF1" w:rsidRPr="00F621C0" w14:paraId="0AD4E6F4" w14:textId="77777777" w:rsidTr="0075351C">
        <w:tc>
          <w:tcPr>
            <w:tcW w:w="1382" w:type="pct"/>
            <w:tcBorders>
              <w:top w:val="single" w:sz="4" w:space="0" w:color="auto"/>
              <w:bottom w:val="single" w:sz="4" w:space="0" w:color="auto"/>
            </w:tcBorders>
            <w:vAlign w:val="center"/>
          </w:tcPr>
          <w:p w14:paraId="3592CF67" w14:textId="77777777" w:rsidR="00A97AF1" w:rsidRPr="00F621C0" w:rsidRDefault="00A97AF1" w:rsidP="00A97AF1">
            <w:pPr>
              <w:pStyle w:val="PargrafodaLista"/>
              <w:numPr>
                <w:ilvl w:val="0"/>
                <w:numId w:val="6"/>
              </w:numPr>
              <w:ind w:left="0" w:firstLine="0"/>
              <w:jc w:val="center"/>
              <w:rPr>
                <w:rFonts w:ascii="Arial" w:hAnsi="Arial" w:cs="Arial"/>
                <w:b/>
                <w:bCs/>
                <w:smallCaps/>
                <w:color w:val="000000"/>
              </w:rPr>
            </w:pPr>
            <w:r w:rsidRPr="00F621C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C2B792F"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Única e/ou das classes de fundos de investimento investidas.</w:t>
            </w:r>
          </w:p>
        </w:tc>
      </w:tr>
    </w:tbl>
    <w:p w14:paraId="24ACE12E"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97AF1" w:rsidRPr="00F621C0" w14:paraId="2850D074" w14:textId="77777777" w:rsidTr="0075351C">
        <w:tc>
          <w:tcPr>
            <w:tcW w:w="5000" w:type="pct"/>
            <w:gridSpan w:val="2"/>
            <w:tcBorders>
              <w:bottom w:val="single" w:sz="2" w:space="0" w:color="auto"/>
            </w:tcBorders>
            <w:shd w:val="clear" w:color="auto" w:fill="C00000"/>
          </w:tcPr>
          <w:p w14:paraId="17476094" w14:textId="77777777" w:rsidR="00A97AF1" w:rsidRPr="00F621C0" w:rsidRDefault="00A97AF1" w:rsidP="00A97AF1">
            <w:pPr>
              <w:pStyle w:val="PargrafodaLista"/>
              <w:keepNext/>
              <w:numPr>
                <w:ilvl w:val="0"/>
                <w:numId w:val="4"/>
              </w:numPr>
              <w:ind w:left="0" w:firstLine="0"/>
              <w:jc w:val="center"/>
              <w:rPr>
                <w:rFonts w:ascii="Arial" w:hAnsi="Arial" w:cs="Arial"/>
                <w:b/>
                <w:bCs/>
                <w:color w:val="FFFFFF" w:themeColor="background1"/>
              </w:rPr>
            </w:pPr>
            <w:bookmarkStart w:id="3" w:name="_Hlk97246655"/>
            <w:r w:rsidRPr="00F621C0">
              <w:rPr>
                <w:rFonts w:ascii="Arial" w:hAnsi="Arial" w:cs="Arial"/>
                <w:b/>
                <w:bCs/>
                <w:color w:val="FFFFFF" w:themeColor="background1"/>
              </w:rPr>
              <w:t xml:space="preserve">DESPESAS E ENCARGOS </w:t>
            </w:r>
          </w:p>
        </w:tc>
      </w:tr>
      <w:tr w:rsidR="00A97AF1" w:rsidRPr="00F621C0" w14:paraId="02570AFA" w14:textId="77777777" w:rsidTr="0075351C">
        <w:tc>
          <w:tcPr>
            <w:tcW w:w="1393" w:type="pct"/>
            <w:tcBorders>
              <w:top w:val="single" w:sz="2" w:space="0" w:color="auto"/>
              <w:bottom w:val="single" w:sz="2" w:space="0" w:color="auto"/>
            </w:tcBorders>
            <w:vAlign w:val="center"/>
          </w:tcPr>
          <w:p w14:paraId="3F59BEF1" w14:textId="77777777" w:rsidR="00A97AF1" w:rsidRPr="00F621C0" w:rsidRDefault="00A97AF1" w:rsidP="0075351C">
            <w:pPr>
              <w:keepNext/>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0FF045B" w14:textId="77777777" w:rsidR="00A97AF1" w:rsidRPr="00F621C0" w:rsidRDefault="00A97AF1" w:rsidP="0075351C">
            <w:pPr>
              <w:keepNext/>
              <w:jc w:val="both"/>
              <w:rPr>
                <w:rFonts w:ascii="Arial" w:hAnsi="Arial" w:cs="Arial"/>
                <w:sz w:val="20"/>
                <w:szCs w:val="20"/>
              </w:rPr>
            </w:pPr>
          </w:p>
        </w:tc>
      </w:tr>
      <w:tr w:rsidR="00A97AF1" w:rsidRPr="00F621C0" w14:paraId="7D465148" w14:textId="77777777" w:rsidTr="0075351C">
        <w:tc>
          <w:tcPr>
            <w:tcW w:w="5000" w:type="pct"/>
            <w:gridSpan w:val="2"/>
            <w:tcBorders>
              <w:top w:val="single" w:sz="2" w:space="0" w:color="auto"/>
              <w:bottom w:val="single" w:sz="2" w:space="0" w:color="auto"/>
            </w:tcBorders>
            <w:vAlign w:val="center"/>
          </w:tcPr>
          <w:p w14:paraId="604CCC4B"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 xml:space="preserve">As despesas a seguir descritas, se aplicáveis, constituem encargos passíveis de serem incorridos pelo Fundo e sua Classe Única, de forma agregada. Ou seja, o Fundo e sua Classe Única poderão incorrer em tais despesas, que serão debitadas diretamente do patrimônio da Classe Única do Fundo, sendo certo que o Fundo não contará com patrimônio próprio além daquele da Classe Única. Por outro lado, em caso de constituição de Classes adicionais em decorrência de decisão da Assembleia Geral de Cotistas, esta seção será devidamente alterada para prever o rateio das despesas entre as eventuais Classes (e subclasses) que sejam constituídas no futuro, se houver. </w:t>
            </w:r>
          </w:p>
        </w:tc>
      </w:tr>
      <w:tr w:rsidR="00A97AF1" w:rsidRPr="00F621C0" w14:paraId="2D5F1162" w14:textId="77777777" w:rsidTr="0075351C">
        <w:tc>
          <w:tcPr>
            <w:tcW w:w="5000" w:type="pct"/>
            <w:gridSpan w:val="2"/>
            <w:tcBorders>
              <w:top w:val="single" w:sz="2" w:space="0" w:color="auto"/>
              <w:bottom w:val="single" w:sz="2" w:space="0" w:color="auto"/>
            </w:tcBorders>
            <w:vAlign w:val="center"/>
          </w:tcPr>
          <w:p w14:paraId="0DA9278D" w14:textId="77777777" w:rsidR="00A97AF1" w:rsidRPr="00F621C0" w:rsidRDefault="00A97AF1" w:rsidP="0075351C">
            <w:pPr>
              <w:jc w:val="both"/>
              <w:rPr>
                <w:rFonts w:ascii="Arial" w:hAnsi="Arial" w:cs="Arial"/>
                <w:sz w:val="20"/>
                <w:szCs w:val="20"/>
              </w:rPr>
            </w:pPr>
          </w:p>
        </w:tc>
      </w:tr>
      <w:tr w:rsidR="00A97AF1" w:rsidRPr="00F621C0" w14:paraId="06A9159E" w14:textId="77777777" w:rsidTr="0075351C">
        <w:tc>
          <w:tcPr>
            <w:tcW w:w="5000" w:type="pct"/>
            <w:gridSpan w:val="2"/>
            <w:tcBorders>
              <w:top w:val="single" w:sz="2" w:space="0" w:color="auto"/>
              <w:bottom w:val="single" w:sz="2" w:space="0" w:color="auto"/>
            </w:tcBorders>
            <w:vAlign w:val="center"/>
          </w:tcPr>
          <w:p w14:paraId="332AA92E"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Taxas, impostos ou contribuições federais, estaduais, municipais ou autárquicas, que recaiam ou venham a recair sobre os bens, direitos e obrigações do Fundo e/ou da Classe Única.</w:t>
            </w:r>
          </w:p>
        </w:tc>
      </w:tr>
      <w:tr w:rsidR="00A97AF1" w:rsidRPr="00F621C0" w14:paraId="17EA9FEC" w14:textId="77777777" w:rsidTr="0075351C">
        <w:tc>
          <w:tcPr>
            <w:tcW w:w="5000" w:type="pct"/>
            <w:gridSpan w:val="2"/>
            <w:tcBorders>
              <w:top w:val="single" w:sz="2" w:space="0" w:color="auto"/>
              <w:bottom w:val="single" w:sz="2" w:space="0" w:color="auto"/>
            </w:tcBorders>
            <w:vAlign w:val="center"/>
          </w:tcPr>
          <w:p w14:paraId="1FAF01F4"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Despesas com o registro de documentos, impressão, expedição e publicação de relatórios e informações periódicas previstas na legislação em vigor.</w:t>
            </w:r>
          </w:p>
        </w:tc>
      </w:tr>
      <w:tr w:rsidR="00A97AF1" w:rsidRPr="00F621C0" w14:paraId="3CFB952E" w14:textId="77777777" w:rsidTr="0075351C">
        <w:tc>
          <w:tcPr>
            <w:tcW w:w="5000" w:type="pct"/>
            <w:gridSpan w:val="2"/>
            <w:tcBorders>
              <w:top w:val="single" w:sz="2" w:space="0" w:color="auto"/>
              <w:bottom w:val="single" w:sz="2" w:space="0" w:color="auto"/>
            </w:tcBorders>
            <w:vAlign w:val="center"/>
          </w:tcPr>
          <w:p w14:paraId="1F05CFA4"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Despesas com correspondência de interesse do Fundo e/ou da Classe Única, inclusive comunicações aos Cotistas.</w:t>
            </w:r>
          </w:p>
        </w:tc>
      </w:tr>
      <w:tr w:rsidR="00A97AF1" w:rsidRPr="00F621C0" w14:paraId="2667744A" w14:textId="77777777" w:rsidTr="0075351C">
        <w:tc>
          <w:tcPr>
            <w:tcW w:w="5000" w:type="pct"/>
            <w:gridSpan w:val="2"/>
            <w:tcBorders>
              <w:top w:val="single" w:sz="2" w:space="0" w:color="auto"/>
              <w:bottom w:val="single" w:sz="2" w:space="0" w:color="auto"/>
            </w:tcBorders>
            <w:vAlign w:val="center"/>
          </w:tcPr>
          <w:p w14:paraId="1A96CDF2"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Honorários e despesas do Auditor Independente.</w:t>
            </w:r>
          </w:p>
        </w:tc>
      </w:tr>
      <w:tr w:rsidR="00A97AF1" w:rsidRPr="00F621C0" w14:paraId="0FEF21B5" w14:textId="77777777" w:rsidTr="0075351C">
        <w:tc>
          <w:tcPr>
            <w:tcW w:w="5000" w:type="pct"/>
            <w:gridSpan w:val="2"/>
            <w:tcBorders>
              <w:top w:val="single" w:sz="2" w:space="0" w:color="auto"/>
              <w:bottom w:val="single" w:sz="2" w:space="0" w:color="auto"/>
            </w:tcBorders>
            <w:vAlign w:val="center"/>
          </w:tcPr>
          <w:p w14:paraId="69E4F746"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Emolumentos e comissões pagas por operações da carteira de ativos.</w:t>
            </w:r>
          </w:p>
        </w:tc>
      </w:tr>
      <w:tr w:rsidR="00A97AF1" w:rsidRPr="00F621C0" w14:paraId="102B0B88" w14:textId="77777777" w:rsidTr="0075351C">
        <w:tc>
          <w:tcPr>
            <w:tcW w:w="5000" w:type="pct"/>
            <w:gridSpan w:val="2"/>
            <w:tcBorders>
              <w:top w:val="single" w:sz="2" w:space="0" w:color="auto"/>
              <w:bottom w:val="single" w:sz="2" w:space="0" w:color="auto"/>
            </w:tcBorders>
            <w:vAlign w:val="center"/>
          </w:tcPr>
          <w:p w14:paraId="63ECD818"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Despesas com a manutenção de ativos cuja propriedade decorra de execução de garantia ou de acordo com devedor.</w:t>
            </w:r>
          </w:p>
        </w:tc>
      </w:tr>
      <w:tr w:rsidR="00A97AF1" w:rsidRPr="00F621C0" w14:paraId="0B694A0C" w14:textId="77777777" w:rsidTr="0075351C">
        <w:tc>
          <w:tcPr>
            <w:tcW w:w="5000" w:type="pct"/>
            <w:gridSpan w:val="2"/>
            <w:tcBorders>
              <w:top w:val="single" w:sz="2" w:space="0" w:color="auto"/>
              <w:bottom w:val="single" w:sz="2" w:space="0" w:color="auto"/>
            </w:tcBorders>
            <w:vAlign w:val="center"/>
          </w:tcPr>
          <w:p w14:paraId="5E6608B7"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Honorários de advogado, custas e despesas processuais correlatas, incorridas em razão de defesa dos interesses do Fundo e/ou da Classe Única, em juízo ou fora dele, inclusive o valor da condenação imputada, se for o caso.</w:t>
            </w:r>
          </w:p>
        </w:tc>
      </w:tr>
      <w:tr w:rsidR="00A97AF1" w:rsidRPr="00F621C0" w14:paraId="7D8F80CC" w14:textId="77777777" w:rsidTr="0075351C">
        <w:tc>
          <w:tcPr>
            <w:tcW w:w="5000" w:type="pct"/>
            <w:gridSpan w:val="2"/>
            <w:tcBorders>
              <w:top w:val="single" w:sz="2" w:space="0" w:color="auto"/>
              <w:bottom w:val="single" w:sz="2" w:space="0" w:color="auto"/>
            </w:tcBorders>
          </w:tcPr>
          <w:p w14:paraId="614A619C"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97AF1" w:rsidRPr="00F621C0" w14:paraId="7A8D6451" w14:textId="77777777" w:rsidTr="0075351C">
        <w:tc>
          <w:tcPr>
            <w:tcW w:w="5000" w:type="pct"/>
            <w:gridSpan w:val="2"/>
            <w:tcBorders>
              <w:top w:val="single" w:sz="2" w:space="0" w:color="auto"/>
              <w:bottom w:val="single" w:sz="2" w:space="0" w:color="auto"/>
            </w:tcBorders>
          </w:tcPr>
          <w:p w14:paraId="054D1E3B"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Gastos relativos à convocação, instalação, realização e formalização de assembleia geral ou especial de Cotistas.</w:t>
            </w:r>
          </w:p>
        </w:tc>
      </w:tr>
      <w:tr w:rsidR="00A97AF1" w:rsidRPr="00F621C0" w14:paraId="67DFBB55" w14:textId="77777777" w:rsidTr="0075351C">
        <w:tc>
          <w:tcPr>
            <w:tcW w:w="5000" w:type="pct"/>
            <w:gridSpan w:val="2"/>
            <w:tcBorders>
              <w:top w:val="single" w:sz="2" w:space="0" w:color="auto"/>
              <w:bottom w:val="single" w:sz="2" w:space="0" w:color="auto"/>
            </w:tcBorders>
          </w:tcPr>
          <w:p w14:paraId="1D4E820C"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Despesas com fechamento de câmbio, vinculadas às operações da carteira de ativos.</w:t>
            </w:r>
          </w:p>
        </w:tc>
      </w:tr>
      <w:tr w:rsidR="00A97AF1" w:rsidRPr="00F621C0" w14:paraId="02DAB9B7" w14:textId="77777777" w:rsidTr="0075351C">
        <w:tc>
          <w:tcPr>
            <w:tcW w:w="5000" w:type="pct"/>
            <w:gridSpan w:val="2"/>
            <w:tcBorders>
              <w:top w:val="single" w:sz="2" w:space="0" w:color="auto"/>
              <w:bottom w:val="single" w:sz="2" w:space="0" w:color="auto"/>
            </w:tcBorders>
            <w:vAlign w:val="center"/>
          </w:tcPr>
          <w:p w14:paraId="0D2295D5"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Despesas com liquidação, registro e custódia de operações com ativos da carteira.</w:t>
            </w:r>
          </w:p>
        </w:tc>
      </w:tr>
      <w:tr w:rsidR="00A97AF1" w:rsidRPr="00F621C0" w14:paraId="2C10F3CB" w14:textId="77777777" w:rsidTr="0075351C">
        <w:tc>
          <w:tcPr>
            <w:tcW w:w="5000" w:type="pct"/>
            <w:gridSpan w:val="2"/>
            <w:tcBorders>
              <w:top w:val="single" w:sz="2" w:space="0" w:color="auto"/>
              <w:bottom w:val="single" w:sz="2" w:space="0" w:color="auto"/>
            </w:tcBorders>
            <w:vAlign w:val="center"/>
          </w:tcPr>
          <w:p w14:paraId="1C1350D6"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Despesas relacionadas ao exercício de direito de voto decorrente de ativos da carteira.</w:t>
            </w:r>
          </w:p>
        </w:tc>
      </w:tr>
      <w:tr w:rsidR="00A97AF1" w:rsidRPr="00F621C0" w14:paraId="4CE98988" w14:textId="77777777" w:rsidTr="0075351C">
        <w:tc>
          <w:tcPr>
            <w:tcW w:w="5000" w:type="pct"/>
            <w:gridSpan w:val="2"/>
            <w:tcBorders>
              <w:top w:val="single" w:sz="2" w:space="0" w:color="auto"/>
              <w:bottom w:val="single" w:sz="2" w:space="0" w:color="auto"/>
            </w:tcBorders>
            <w:vAlign w:val="center"/>
          </w:tcPr>
          <w:p w14:paraId="21657941"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Despesas inerentes à constituição, fusão, incorporação, cisão, transformação ou liquidação do Fundo e/ou da Classe Única.</w:t>
            </w:r>
          </w:p>
        </w:tc>
      </w:tr>
      <w:tr w:rsidR="00A97AF1" w:rsidRPr="00F621C0" w14:paraId="67B75637" w14:textId="77777777" w:rsidTr="0075351C">
        <w:tc>
          <w:tcPr>
            <w:tcW w:w="5000" w:type="pct"/>
            <w:gridSpan w:val="2"/>
            <w:tcBorders>
              <w:top w:val="single" w:sz="2" w:space="0" w:color="auto"/>
              <w:bottom w:val="single" w:sz="2" w:space="0" w:color="auto"/>
            </w:tcBorders>
            <w:vAlign w:val="center"/>
          </w:tcPr>
          <w:p w14:paraId="364DF4DB"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Honorários e despesas relacionados à atividade de formador de mercado.</w:t>
            </w:r>
          </w:p>
        </w:tc>
      </w:tr>
      <w:tr w:rsidR="00A97AF1" w:rsidRPr="00F621C0" w14:paraId="0881D604" w14:textId="77777777" w:rsidTr="0075351C">
        <w:tc>
          <w:tcPr>
            <w:tcW w:w="5000" w:type="pct"/>
            <w:gridSpan w:val="2"/>
            <w:tcBorders>
              <w:top w:val="single" w:sz="2" w:space="0" w:color="auto"/>
              <w:bottom w:val="single" w:sz="2" w:space="0" w:color="auto"/>
            </w:tcBorders>
            <w:vAlign w:val="center"/>
          </w:tcPr>
          <w:p w14:paraId="7F7361F4"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Royalties devidos pelo licenciamento de índices de referência, cobrados de acordo com contrato estabelecido com a instituição que detém os direitos sobre o índice.</w:t>
            </w:r>
          </w:p>
        </w:tc>
      </w:tr>
      <w:tr w:rsidR="00A97AF1" w:rsidRPr="00F621C0" w14:paraId="18DAB98D" w14:textId="77777777" w:rsidTr="0075351C">
        <w:tc>
          <w:tcPr>
            <w:tcW w:w="5000" w:type="pct"/>
            <w:gridSpan w:val="2"/>
            <w:tcBorders>
              <w:top w:val="single" w:sz="2" w:space="0" w:color="auto"/>
              <w:bottom w:val="single" w:sz="2" w:space="0" w:color="auto"/>
            </w:tcBorders>
            <w:vAlign w:val="center"/>
          </w:tcPr>
          <w:p w14:paraId="77FBFB0A"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Gastos da distribuição primária de Cotas e despesas inerentes à admissão das Cotas à negociação em mercado organizado.</w:t>
            </w:r>
          </w:p>
        </w:tc>
      </w:tr>
      <w:tr w:rsidR="00A97AF1" w:rsidRPr="00F621C0" w14:paraId="05A0B702" w14:textId="77777777" w:rsidTr="0075351C">
        <w:tc>
          <w:tcPr>
            <w:tcW w:w="5000" w:type="pct"/>
            <w:gridSpan w:val="2"/>
            <w:tcBorders>
              <w:top w:val="single" w:sz="2" w:space="0" w:color="auto"/>
              <w:bottom w:val="single" w:sz="2" w:space="0" w:color="auto"/>
            </w:tcBorders>
            <w:vAlign w:val="center"/>
          </w:tcPr>
          <w:p w14:paraId="1A0D2713"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Taxa Global, incluindo parcelas destinadas ao pagamento de prestadores de serviços contratados.</w:t>
            </w:r>
          </w:p>
        </w:tc>
      </w:tr>
      <w:tr w:rsidR="00A97AF1" w:rsidRPr="00F621C0" w14:paraId="77661394" w14:textId="77777777" w:rsidTr="0075351C">
        <w:tc>
          <w:tcPr>
            <w:tcW w:w="5000" w:type="pct"/>
            <w:gridSpan w:val="2"/>
            <w:tcBorders>
              <w:top w:val="single" w:sz="2" w:space="0" w:color="auto"/>
              <w:bottom w:val="single" w:sz="2" w:space="0" w:color="auto"/>
            </w:tcBorders>
            <w:vAlign w:val="center"/>
          </w:tcPr>
          <w:p w14:paraId="01997690"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 xml:space="preserve">Taxa de Performance. </w:t>
            </w:r>
          </w:p>
        </w:tc>
      </w:tr>
      <w:tr w:rsidR="00A97AF1" w:rsidRPr="00F621C0" w14:paraId="75CDE2A8" w14:textId="77777777" w:rsidTr="0075351C">
        <w:tc>
          <w:tcPr>
            <w:tcW w:w="5000" w:type="pct"/>
            <w:gridSpan w:val="2"/>
            <w:tcBorders>
              <w:top w:val="single" w:sz="2" w:space="0" w:color="auto"/>
              <w:bottom w:val="single" w:sz="2" w:space="0" w:color="auto"/>
            </w:tcBorders>
            <w:vAlign w:val="center"/>
          </w:tcPr>
          <w:p w14:paraId="220A077C"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Montantes devidos a classes investidoras na hipótese de acordo de remuneração com base na (e limitados à) Taxa Global, e/ou Taxa de Performance, observado o disposto na regulamentação vigente.</w:t>
            </w:r>
          </w:p>
        </w:tc>
      </w:tr>
      <w:tr w:rsidR="00A97AF1" w:rsidRPr="00F621C0" w14:paraId="3C231D00" w14:textId="77777777" w:rsidTr="0075351C">
        <w:tc>
          <w:tcPr>
            <w:tcW w:w="5000" w:type="pct"/>
            <w:gridSpan w:val="2"/>
            <w:tcBorders>
              <w:top w:val="single" w:sz="2" w:space="0" w:color="auto"/>
              <w:bottom w:val="single" w:sz="2" w:space="0" w:color="auto"/>
            </w:tcBorders>
            <w:vAlign w:val="center"/>
          </w:tcPr>
          <w:p w14:paraId="767D333A"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Taxa Máxima de Custódia.</w:t>
            </w:r>
          </w:p>
        </w:tc>
      </w:tr>
      <w:tr w:rsidR="00A97AF1" w:rsidRPr="00F621C0" w14:paraId="1C25B982" w14:textId="77777777" w:rsidTr="0075351C">
        <w:tc>
          <w:tcPr>
            <w:tcW w:w="5000" w:type="pct"/>
            <w:gridSpan w:val="2"/>
            <w:tcBorders>
              <w:top w:val="single" w:sz="2" w:space="0" w:color="auto"/>
              <w:bottom w:val="single" w:sz="2" w:space="0" w:color="auto"/>
            </w:tcBorders>
            <w:vAlign w:val="center"/>
          </w:tcPr>
          <w:p w14:paraId="2A1C5641"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Despesas decorrentes de empréstimos contraídos em nome do Fundo e sua Classe Única.</w:t>
            </w:r>
          </w:p>
        </w:tc>
      </w:tr>
      <w:tr w:rsidR="00A97AF1" w:rsidRPr="00F621C0" w14:paraId="37137FBC" w14:textId="77777777" w:rsidTr="0075351C">
        <w:tc>
          <w:tcPr>
            <w:tcW w:w="5000" w:type="pct"/>
            <w:gridSpan w:val="2"/>
            <w:tcBorders>
              <w:top w:val="single" w:sz="2" w:space="0" w:color="auto"/>
              <w:bottom w:val="single" w:sz="2" w:space="0" w:color="auto"/>
            </w:tcBorders>
            <w:vAlign w:val="center"/>
          </w:tcPr>
          <w:p w14:paraId="6E4A650C" w14:textId="77777777" w:rsidR="00A97AF1" w:rsidRPr="00F621C0" w:rsidRDefault="00A97AF1" w:rsidP="00A97AF1">
            <w:pPr>
              <w:pStyle w:val="PargrafodaLista"/>
              <w:numPr>
                <w:ilvl w:val="0"/>
                <w:numId w:val="3"/>
              </w:numPr>
              <w:spacing w:before="60" w:after="60"/>
              <w:ind w:left="0" w:firstLine="0"/>
              <w:jc w:val="both"/>
              <w:rPr>
                <w:rFonts w:ascii="Arial" w:hAnsi="Arial" w:cs="Arial"/>
              </w:rPr>
            </w:pPr>
            <w:r w:rsidRPr="00F621C0">
              <w:rPr>
                <w:rFonts w:ascii="Arial" w:hAnsi="Arial" w:cs="Arial"/>
              </w:rPr>
              <w:t>Contratação de agência de classificação de risco de crédito.</w:t>
            </w:r>
          </w:p>
        </w:tc>
      </w:tr>
      <w:bookmarkEnd w:id="3"/>
    </w:tbl>
    <w:p w14:paraId="02182B3D"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7AF1" w:rsidRPr="00F621C0" w14:paraId="40FC454C" w14:textId="77777777" w:rsidTr="0075351C">
        <w:tc>
          <w:tcPr>
            <w:tcW w:w="5000" w:type="pct"/>
            <w:gridSpan w:val="2"/>
            <w:shd w:val="clear" w:color="auto" w:fill="C00000"/>
          </w:tcPr>
          <w:p w14:paraId="743F71C3" w14:textId="77777777" w:rsidR="00A97AF1" w:rsidRPr="00F621C0" w:rsidRDefault="00A97AF1" w:rsidP="00A97AF1">
            <w:pPr>
              <w:pStyle w:val="PargrafodaLista"/>
              <w:numPr>
                <w:ilvl w:val="0"/>
                <w:numId w:val="4"/>
              </w:numPr>
              <w:ind w:left="0" w:firstLine="0"/>
              <w:jc w:val="center"/>
              <w:rPr>
                <w:rFonts w:ascii="Arial" w:hAnsi="Arial" w:cs="Arial"/>
                <w:b/>
                <w:bCs/>
                <w:color w:val="FFFFFF" w:themeColor="background1"/>
              </w:rPr>
            </w:pPr>
            <w:bookmarkStart w:id="4" w:name="_Hlk97246632"/>
            <w:r w:rsidRPr="00F621C0">
              <w:rPr>
                <w:rFonts w:ascii="Arial" w:hAnsi="Arial" w:cs="Arial"/>
                <w:b/>
                <w:bCs/>
                <w:color w:val="FFFFFF" w:themeColor="background1"/>
              </w:rPr>
              <w:t>ASSEMBLEIAS DE COTISTAS</w:t>
            </w:r>
          </w:p>
        </w:tc>
      </w:tr>
      <w:tr w:rsidR="00A97AF1" w:rsidRPr="00F621C0" w14:paraId="4984FFE7" w14:textId="77777777" w:rsidTr="0075351C">
        <w:tc>
          <w:tcPr>
            <w:tcW w:w="5000" w:type="pct"/>
            <w:gridSpan w:val="2"/>
            <w:tcBorders>
              <w:bottom w:val="single" w:sz="4" w:space="0" w:color="auto"/>
            </w:tcBorders>
          </w:tcPr>
          <w:p w14:paraId="28FB3DF7" w14:textId="77777777" w:rsidR="00A97AF1" w:rsidRPr="00F621C0" w:rsidRDefault="00A97AF1" w:rsidP="0075351C">
            <w:pPr>
              <w:jc w:val="center"/>
              <w:rPr>
                <w:rFonts w:ascii="Arial" w:hAnsi="Arial" w:cs="Arial"/>
                <w:b/>
                <w:bCs/>
                <w:color w:val="ED7D31" w:themeColor="accent2"/>
                <w:sz w:val="20"/>
                <w:szCs w:val="20"/>
              </w:rPr>
            </w:pPr>
          </w:p>
        </w:tc>
      </w:tr>
      <w:tr w:rsidR="00A97AF1" w:rsidRPr="00F621C0" w14:paraId="016DA73B" w14:textId="77777777" w:rsidTr="0075351C">
        <w:trPr>
          <w:trHeight w:val="333"/>
        </w:trPr>
        <w:tc>
          <w:tcPr>
            <w:tcW w:w="1381" w:type="pct"/>
            <w:tcBorders>
              <w:top w:val="single" w:sz="4" w:space="0" w:color="auto"/>
              <w:bottom w:val="single" w:sz="4" w:space="0" w:color="auto"/>
            </w:tcBorders>
            <w:vAlign w:val="center"/>
          </w:tcPr>
          <w:p w14:paraId="0E5A0C39"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rPr>
              <w:t>Assembleia de Cotistas – Geral e Especial</w:t>
            </w:r>
          </w:p>
        </w:tc>
        <w:tc>
          <w:tcPr>
            <w:tcW w:w="3619" w:type="pct"/>
            <w:tcBorders>
              <w:top w:val="single" w:sz="4" w:space="0" w:color="auto"/>
              <w:bottom w:val="single" w:sz="4" w:space="0" w:color="auto"/>
            </w:tcBorders>
          </w:tcPr>
          <w:p w14:paraId="2F93AF3D"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Considerando a estrutura de Classe Única do Fundo, todas as matérias que sejam de interesse de Cotistas do Fundo e de sua Classe Única serão deliberadas em assembleia de cotistas, sem distinção entre Assembleia Geral ou Especial de Cotistas (“</w:t>
            </w:r>
            <w:r w:rsidRPr="00F621C0">
              <w:rPr>
                <w:rFonts w:ascii="Arial" w:hAnsi="Arial" w:cs="Arial"/>
                <w:b/>
                <w:bCs/>
                <w:sz w:val="20"/>
                <w:szCs w:val="20"/>
              </w:rPr>
              <w:t>Assembleia de Cotistas</w:t>
            </w:r>
            <w:r w:rsidRPr="00F621C0">
              <w:rPr>
                <w:rFonts w:ascii="Arial" w:hAnsi="Arial" w:cs="Arial"/>
                <w:sz w:val="20"/>
                <w:szCs w:val="20"/>
              </w:rPr>
              <w:t>”).</w:t>
            </w:r>
          </w:p>
          <w:p w14:paraId="4FB68A68" w14:textId="77777777" w:rsidR="00A97AF1" w:rsidRPr="00F621C0" w:rsidRDefault="00A97AF1" w:rsidP="0075351C">
            <w:pPr>
              <w:jc w:val="both"/>
              <w:rPr>
                <w:rFonts w:ascii="Arial" w:hAnsi="Arial" w:cs="Arial"/>
                <w:sz w:val="20"/>
                <w:szCs w:val="20"/>
              </w:rPr>
            </w:pPr>
          </w:p>
          <w:p w14:paraId="28E88A0E"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As decisões tomadas no âmbito das Assembleias de Cotistas possuem caráter soberano e de execução obrigatória pelos Prestadores de Serviços Essenciais.</w:t>
            </w:r>
          </w:p>
          <w:p w14:paraId="7C04FF7E" w14:textId="77777777" w:rsidR="00A97AF1" w:rsidRPr="00F621C0" w:rsidRDefault="00A97AF1" w:rsidP="0075351C">
            <w:pPr>
              <w:jc w:val="both"/>
              <w:rPr>
                <w:rFonts w:ascii="Arial" w:hAnsi="Arial" w:cs="Arial"/>
                <w:b/>
                <w:bCs/>
                <w:sz w:val="20"/>
                <w:szCs w:val="20"/>
              </w:rPr>
            </w:pPr>
          </w:p>
          <w:p w14:paraId="66CA7EC1" w14:textId="77777777" w:rsidR="00A97AF1" w:rsidRPr="00F621C0" w:rsidRDefault="00A97AF1" w:rsidP="0075351C">
            <w:pPr>
              <w:jc w:val="both"/>
              <w:rPr>
                <w:rFonts w:ascii="Arial" w:hAnsi="Arial" w:cs="Arial"/>
                <w:b/>
                <w:bCs/>
                <w:sz w:val="20"/>
                <w:szCs w:val="20"/>
              </w:rPr>
            </w:pPr>
            <w:r w:rsidRPr="00F621C0">
              <w:rPr>
                <w:rFonts w:ascii="Arial" w:hAnsi="Arial" w:cs="Arial"/>
                <w:b/>
                <w:bCs/>
                <w:sz w:val="20"/>
                <w:szCs w:val="20"/>
              </w:rPr>
              <w:t>Caso o Fundo venha a contar com novas Classes ou Subclasses mediante deliberação da Assembleia de Cotistas, o Regulamento será devidamente ajustado para prever as diferenças entre a Assembleia Geral e as respectivas assembleias especiais.</w:t>
            </w:r>
          </w:p>
        </w:tc>
      </w:tr>
      <w:tr w:rsidR="00A97AF1" w:rsidRPr="00F621C0" w14:paraId="6D45ACA2" w14:textId="77777777" w:rsidTr="0075351C">
        <w:trPr>
          <w:trHeight w:val="70"/>
        </w:trPr>
        <w:tc>
          <w:tcPr>
            <w:tcW w:w="1381" w:type="pct"/>
            <w:tcBorders>
              <w:top w:val="single" w:sz="4" w:space="0" w:color="auto"/>
              <w:bottom w:val="single" w:sz="4" w:space="0" w:color="auto"/>
            </w:tcBorders>
            <w:vAlign w:val="center"/>
          </w:tcPr>
          <w:p w14:paraId="66B5323C" w14:textId="77777777" w:rsidR="00A97AF1" w:rsidRPr="00F621C0" w:rsidRDefault="00A97AF1" w:rsidP="007535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5523A7" w14:textId="77777777" w:rsidR="00A97AF1" w:rsidRPr="00F621C0" w:rsidRDefault="00A97AF1" w:rsidP="0075351C">
            <w:pPr>
              <w:jc w:val="center"/>
              <w:rPr>
                <w:rFonts w:ascii="Arial" w:hAnsi="Arial" w:cs="Arial"/>
                <w:b/>
                <w:bCs/>
                <w:smallCaps/>
                <w:sz w:val="20"/>
                <w:szCs w:val="20"/>
              </w:rPr>
            </w:pPr>
          </w:p>
        </w:tc>
      </w:tr>
      <w:tr w:rsidR="00A97AF1" w:rsidRPr="00F621C0" w14:paraId="711D1A51" w14:textId="77777777" w:rsidTr="0075351C">
        <w:tc>
          <w:tcPr>
            <w:tcW w:w="1381" w:type="pct"/>
            <w:tcBorders>
              <w:bottom w:val="single" w:sz="4" w:space="0" w:color="auto"/>
            </w:tcBorders>
            <w:vAlign w:val="center"/>
          </w:tcPr>
          <w:p w14:paraId="24FCC36E"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rPr>
            </w:pPr>
            <w:r w:rsidRPr="00F621C0">
              <w:rPr>
                <w:rFonts w:ascii="Arial" w:hAnsi="Arial" w:cs="Arial"/>
                <w:b/>
                <w:bCs/>
                <w:smallCaps/>
              </w:rPr>
              <w:t>Forma de realização das Assembleias de Cotistas</w:t>
            </w:r>
          </w:p>
        </w:tc>
        <w:tc>
          <w:tcPr>
            <w:tcW w:w="3619" w:type="pct"/>
            <w:tcBorders>
              <w:bottom w:val="single" w:sz="4" w:space="0" w:color="auto"/>
            </w:tcBorders>
          </w:tcPr>
          <w:p w14:paraId="0FE2211D" w14:textId="77777777" w:rsidR="00A97AF1" w:rsidRPr="00F621C0" w:rsidRDefault="00A97AF1" w:rsidP="0075351C">
            <w:pPr>
              <w:jc w:val="both"/>
              <w:rPr>
                <w:rFonts w:ascii="Arial" w:hAnsi="Arial" w:cs="Arial"/>
                <w:sz w:val="20"/>
                <w:szCs w:val="20"/>
                <w:highlight w:val="yellow"/>
              </w:rPr>
            </w:pPr>
            <w:r w:rsidRPr="00F621C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97AF1" w:rsidRPr="00F621C0" w14:paraId="4620FF5E" w14:textId="77777777" w:rsidTr="0075351C">
        <w:tc>
          <w:tcPr>
            <w:tcW w:w="1381" w:type="pct"/>
            <w:tcBorders>
              <w:top w:val="single" w:sz="4" w:space="0" w:color="auto"/>
              <w:bottom w:val="single" w:sz="4" w:space="0" w:color="auto"/>
            </w:tcBorders>
            <w:vAlign w:val="center"/>
          </w:tcPr>
          <w:p w14:paraId="04878BE4" w14:textId="77777777" w:rsidR="00A97AF1" w:rsidRPr="00F621C0" w:rsidRDefault="00A97AF1" w:rsidP="007535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0E640C" w14:textId="77777777" w:rsidR="00A97AF1" w:rsidRPr="00F621C0" w:rsidRDefault="00A97AF1" w:rsidP="0075351C">
            <w:pPr>
              <w:jc w:val="both"/>
              <w:rPr>
                <w:rFonts w:ascii="Arial" w:hAnsi="Arial" w:cs="Arial"/>
                <w:sz w:val="20"/>
                <w:szCs w:val="20"/>
              </w:rPr>
            </w:pPr>
          </w:p>
        </w:tc>
      </w:tr>
      <w:tr w:rsidR="00A97AF1" w:rsidRPr="00F621C0" w14:paraId="77E494BC" w14:textId="77777777" w:rsidTr="0075351C">
        <w:tc>
          <w:tcPr>
            <w:tcW w:w="1381" w:type="pct"/>
            <w:tcBorders>
              <w:top w:val="single" w:sz="4" w:space="0" w:color="auto"/>
              <w:bottom w:val="single" w:sz="4" w:space="0" w:color="auto"/>
            </w:tcBorders>
            <w:vAlign w:val="center"/>
          </w:tcPr>
          <w:p w14:paraId="7AF19F46"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rPr>
              <w:t>Consulta Formal</w:t>
            </w:r>
          </w:p>
        </w:tc>
        <w:tc>
          <w:tcPr>
            <w:tcW w:w="3619" w:type="pct"/>
            <w:tcBorders>
              <w:top w:val="single" w:sz="4" w:space="0" w:color="auto"/>
              <w:bottom w:val="single" w:sz="4" w:space="0" w:color="auto"/>
            </w:tcBorders>
          </w:tcPr>
          <w:p w14:paraId="22783060"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97AF1" w:rsidRPr="00F621C0" w14:paraId="240A1208" w14:textId="77777777" w:rsidTr="0075351C">
        <w:tc>
          <w:tcPr>
            <w:tcW w:w="1381" w:type="pct"/>
            <w:tcBorders>
              <w:top w:val="single" w:sz="4" w:space="0" w:color="auto"/>
              <w:bottom w:val="single" w:sz="4" w:space="0" w:color="auto"/>
            </w:tcBorders>
            <w:vAlign w:val="center"/>
          </w:tcPr>
          <w:p w14:paraId="172AE38A" w14:textId="77777777" w:rsidR="00A97AF1" w:rsidRPr="00F621C0" w:rsidRDefault="00A97AF1" w:rsidP="007535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67E6B1" w14:textId="77777777" w:rsidR="00A97AF1" w:rsidRPr="00F621C0" w:rsidRDefault="00A97AF1" w:rsidP="0075351C">
            <w:pPr>
              <w:jc w:val="both"/>
              <w:rPr>
                <w:rFonts w:ascii="Arial" w:hAnsi="Arial" w:cs="Arial"/>
                <w:sz w:val="20"/>
                <w:szCs w:val="20"/>
              </w:rPr>
            </w:pPr>
          </w:p>
        </w:tc>
      </w:tr>
      <w:tr w:rsidR="00A97AF1" w:rsidRPr="00F621C0" w14:paraId="7D3F0CAA" w14:textId="77777777" w:rsidTr="0075351C">
        <w:tc>
          <w:tcPr>
            <w:tcW w:w="1381" w:type="pct"/>
            <w:tcBorders>
              <w:top w:val="single" w:sz="4" w:space="0" w:color="auto"/>
              <w:bottom w:val="single" w:sz="4" w:space="0" w:color="auto"/>
            </w:tcBorders>
            <w:vAlign w:val="center"/>
          </w:tcPr>
          <w:p w14:paraId="31628ECE"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rPr>
            </w:pPr>
            <w:r w:rsidRPr="00F621C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D0D3CC5"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Compete privativamente à Assembleia Geral de Cotistas deliberar sobre a alteração da seção comum do Regulamento, sendo certo que, em razão da Classe Única do Fundo, a mesma Assembleia Geral de Cotistas poderá tratar de temas do Regulamento ou do Anexo da Classe Única. </w:t>
            </w:r>
          </w:p>
          <w:p w14:paraId="6FE1136D" w14:textId="77777777" w:rsidR="00A97AF1" w:rsidRPr="00F621C0" w:rsidRDefault="00A97AF1" w:rsidP="0075351C">
            <w:pPr>
              <w:jc w:val="both"/>
              <w:rPr>
                <w:rFonts w:ascii="Arial" w:hAnsi="Arial" w:cs="Arial"/>
                <w:sz w:val="20"/>
                <w:szCs w:val="20"/>
              </w:rPr>
            </w:pPr>
          </w:p>
          <w:p w14:paraId="28B32FD7" w14:textId="77777777" w:rsidR="00A97AF1" w:rsidRPr="00F621C0" w:rsidRDefault="00A97AF1" w:rsidP="0075351C">
            <w:pPr>
              <w:jc w:val="both"/>
              <w:rPr>
                <w:rFonts w:ascii="Arial" w:hAnsi="Arial" w:cs="Arial"/>
                <w:sz w:val="20"/>
                <w:szCs w:val="20"/>
                <w:highlight w:val="yellow"/>
              </w:rPr>
            </w:pPr>
            <w:r w:rsidRPr="00F621C0">
              <w:rPr>
                <w:rFonts w:ascii="Arial" w:hAnsi="Arial" w:cs="Arial"/>
                <w:sz w:val="20"/>
                <w:szCs w:val="20"/>
              </w:rPr>
              <w:t>As matérias específicas de competência de Assembleia Especial de Cotistas estão indicadas no Anexo da Classe Única.</w:t>
            </w:r>
          </w:p>
        </w:tc>
      </w:tr>
      <w:tr w:rsidR="00A97AF1" w:rsidRPr="00F621C0" w14:paraId="3C2C4272" w14:textId="77777777" w:rsidTr="0075351C">
        <w:tc>
          <w:tcPr>
            <w:tcW w:w="1381" w:type="pct"/>
            <w:tcBorders>
              <w:top w:val="single" w:sz="4" w:space="0" w:color="auto"/>
              <w:bottom w:val="single" w:sz="4" w:space="0" w:color="auto"/>
            </w:tcBorders>
            <w:vAlign w:val="center"/>
          </w:tcPr>
          <w:p w14:paraId="76D5D37C" w14:textId="77777777" w:rsidR="00A97AF1" w:rsidRPr="00F621C0" w:rsidRDefault="00A97AF1" w:rsidP="007535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1F3476" w14:textId="77777777" w:rsidR="00A97AF1" w:rsidRPr="00F621C0" w:rsidRDefault="00A97AF1" w:rsidP="0075351C">
            <w:pPr>
              <w:jc w:val="both"/>
              <w:rPr>
                <w:rFonts w:ascii="Arial" w:hAnsi="Arial" w:cs="Arial"/>
                <w:sz w:val="20"/>
                <w:szCs w:val="20"/>
              </w:rPr>
            </w:pPr>
          </w:p>
        </w:tc>
      </w:tr>
      <w:tr w:rsidR="00A97AF1" w:rsidRPr="00F621C0" w14:paraId="090C1D58" w14:textId="77777777" w:rsidTr="0075351C">
        <w:trPr>
          <w:trHeight w:val="820"/>
        </w:trPr>
        <w:tc>
          <w:tcPr>
            <w:tcW w:w="1381" w:type="pct"/>
            <w:tcBorders>
              <w:top w:val="single" w:sz="4" w:space="0" w:color="auto"/>
              <w:bottom w:val="single" w:sz="4" w:space="0" w:color="auto"/>
            </w:tcBorders>
            <w:vAlign w:val="center"/>
          </w:tcPr>
          <w:p w14:paraId="08FDF65F"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1E13DA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Todas as deliberações da Assembleia de Cotistas serão todas tomadas, de acordo com os quóruns incluídos no Anexo ao presente Regulamento, salvo se previsto quórum distinto na regulamentação em vigor.</w:t>
            </w:r>
          </w:p>
          <w:p w14:paraId="090710C7" w14:textId="77777777" w:rsidR="00A97AF1" w:rsidRPr="00F621C0" w:rsidRDefault="00A97AF1" w:rsidP="0075351C">
            <w:pPr>
              <w:jc w:val="both"/>
              <w:rPr>
                <w:rFonts w:ascii="Arial" w:hAnsi="Arial" w:cs="Arial"/>
                <w:sz w:val="20"/>
                <w:szCs w:val="20"/>
              </w:rPr>
            </w:pPr>
          </w:p>
          <w:p w14:paraId="6F1B655A"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Para os efeitos de cômputo de quórum e manifestações de voto, na Assembleia de Cotistas a cada Cotista caberá uma quantidade de votos representativa do valor em reais das Cotas por ele detidas, em relação ao patrimônio líquido da Classe Única do Fundo.</w:t>
            </w:r>
          </w:p>
        </w:tc>
      </w:tr>
      <w:bookmarkEnd w:id="4"/>
    </w:tbl>
    <w:p w14:paraId="30CE5EF5"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7AF1" w:rsidRPr="00F621C0" w14:paraId="27836810" w14:textId="77777777" w:rsidTr="0075351C">
        <w:tc>
          <w:tcPr>
            <w:tcW w:w="5000" w:type="pct"/>
            <w:gridSpan w:val="2"/>
            <w:shd w:val="clear" w:color="auto" w:fill="C00000"/>
          </w:tcPr>
          <w:p w14:paraId="781DBA5D" w14:textId="77777777" w:rsidR="00A97AF1" w:rsidRPr="00F621C0" w:rsidRDefault="00A97AF1" w:rsidP="00A97AF1">
            <w:pPr>
              <w:pStyle w:val="PargrafodaLista"/>
              <w:numPr>
                <w:ilvl w:val="0"/>
                <w:numId w:val="4"/>
              </w:numPr>
              <w:ind w:left="0" w:firstLine="0"/>
              <w:jc w:val="center"/>
              <w:rPr>
                <w:rFonts w:ascii="Arial" w:hAnsi="Arial" w:cs="Arial"/>
                <w:b/>
                <w:bCs/>
                <w:color w:val="FFFFFF" w:themeColor="background1"/>
              </w:rPr>
            </w:pPr>
            <w:r w:rsidRPr="00F621C0">
              <w:rPr>
                <w:rFonts w:ascii="Arial" w:hAnsi="Arial" w:cs="Arial"/>
                <w:b/>
                <w:bCs/>
                <w:color w:val="FFFFFF" w:themeColor="background1"/>
              </w:rPr>
              <w:t>DISPOSIÇÕES GERAIS</w:t>
            </w:r>
          </w:p>
        </w:tc>
      </w:tr>
      <w:tr w:rsidR="00A97AF1" w:rsidRPr="00F621C0" w14:paraId="51F57146" w14:textId="77777777" w:rsidTr="0075351C">
        <w:tc>
          <w:tcPr>
            <w:tcW w:w="1382" w:type="pct"/>
            <w:tcBorders>
              <w:bottom w:val="single" w:sz="4" w:space="0" w:color="auto"/>
            </w:tcBorders>
            <w:vAlign w:val="center"/>
          </w:tcPr>
          <w:p w14:paraId="773C0567" w14:textId="77777777" w:rsidR="00A97AF1" w:rsidRPr="00F621C0" w:rsidRDefault="00A97AF1" w:rsidP="0075351C">
            <w:pPr>
              <w:jc w:val="center"/>
              <w:rPr>
                <w:rFonts w:ascii="Arial" w:hAnsi="Arial" w:cs="Arial"/>
                <w:b/>
                <w:bCs/>
                <w:sz w:val="20"/>
                <w:szCs w:val="20"/>
              </w:rPr>
            </w:pPr>
          </w:p>
        </w:tc>
        <w:tc>
          <w:tcPr>
            <w:tcW w:w="3618" w:type="pct"/>
            <w:tcBorders>
              <w:bottom w:val="single" w:sz="4" w:space="0" w:color="auto"/>
            </w:tcBorders>
          </w:tcPr>
          <w:p w14:paraId="54A82738" w14:textId="77777777" w:rsidR="00A97AF1" w:rsidRPr="00F621C0" w:rsidRDefault="00A97AF1" w:rsidP="0075351C">
            <w:pPr>
              <w:rPr>
                <w:rFonts w:ascii="Arial" w:hAnsi="Arial" w:cs="Arial"/>
                <w:sz w:val="20"/>
                <w:szCs w:val="20"/>
              </w:rPr>
            </w:pPr>
          </w:p>
        </w:tc>
      </w:tr>
      <w:tr w:rsidR="00A97AF1" w:rsidRPr="00F621C0" w14:paraId="7413D76A" w14:textId="77777777" w:rsidTr="0075351C">
        <w:tc>
          <w:tcPr>
            <w:tcW w:w="1382" w:type="pct"/>
            <w:tcBorders>
              <w:top w:val="single" w:sz="4" w:space="0" w:color="auto"/>
              <w:bottom w:val="single" w:sz="4" w:space="0" w:color="auto"/>
            </w:tcBorders>
            <w:vAlign w:val="center"/>
          </w:tcPr>
          <w:p w14:paraId="500773C7"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8F181F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Os Prestadores de Serviços Essenciais poderão, de comum acordo e a critério exclusivo destes criar uma ou mais Subclasses no Fundo, contanto que não restrinjam os direitos atribuídos às Subclasses existentes, conforme aplicável. A criação de novas Classes dependerá de aprovação da Assembleia de Cotistas.</w:t>
            </w:r>
          </w:p>
        </w:tc>
      </w:tr>
      <w:tr w:rsidR="00A97AF1" w:rsidRPr="00F621C0" w14:paraId="186F6E64" w14:textId="77777777" w:rsidTr="0075351C">
        <w:trPr>
          <w:trHeight w:val="73"/>
        </w:trPr>
        <w:tc>
          <w:tcPr>
            <w:tcW w:w="1382" w:type="pct"/>
            <w:tcBorders>
              <w:top w:val="single" w:sz="4" w:space="0" w:color="auto"/>
              <w:bottom w:val="single" w:sz="4" w:space="0" w:color="auto"/>
            </w:tcBorders>
            <w:vAlign w:val="center"/>
          </w:tcPr>
          <w:p w14:paraId="383BF2EC" w14:textId="77777777" w:rsidR="00A97AF1" w:rsidRPr="00F621C0" w:rsidRDefault="00A97AF1" w:rsidP="0075351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EE3137C" w14:textId="77777777" w:rsidR="00A97AF1" w:rsidRPr="00F621C0" w:rsidRDefault="00A97AF1" w:rsidP="0075351C">
            <w:pPr>
              <w:jc w:val="both"/>
              <w:rPr>
                <w:rFonts w:ascii="Arial" w:hAnsi="Arial" w:cs="Arial"/>
                <w:sz w:val="20"/>
                <w:szCs w:val="20"/>
              </w:rPr>
            </w:pPr>
          </w:p>
        </w:tc>
      </w:tr>
      <w:tr w:rsidR="00A97AF1" w:rsidRPr="0018655E" w14:paraId="2E8FEF64" w14:textId="77777777" w:rsidTr="0075351C">
        <w:tc>
          <w:tcPr>
            <w:tcW w:w="1382" w:type="pct"/>
            <w:tcBorders>
              <w:top w:val="single" w:sz="4" w:space="0" w:color="auto"/>
              <w:bottom w:val="single" w:sz="4" w:space="0" w:color="auto"/>
            </w:tcBorders>
            <w:vAlign w:val="center"/>
          </w:tcPr>
          <w:p w14:paraId="05EAAD00" w14:textId="77777777" w:rsidR="00A97AF1" w:rsidRPr="00F621C0" w:rsidRDefault="00A97AF1" w:rsidP="00A97AF1">
            <w:pPr>
              <w:pStyle w:val="PargrafodaLista"/>
              <w:numPr>
                <w:ilvl w:val="1"/>
                <w:numId w:val="4"/>
              </w:numPr>
              <w:spacing w:before="60" w:after="60"/>
              <w:ind w:left="0" w:firstLine="0"/>
              <w:jc w:val="center"/>
              <w:rPr>
                <w:rFonts w:ascii="Arial" w:hAnsi="Arial" w:cs="Arial"/>
                <w:b/>
                <w:bCs/>
                <w:smallCaps/>
              </w:rPr>
            </w:pPr>
            <w:r w:rsidRPr="00F621C0">
              <w:rPr>
                <w:rFonts w:ascii="Arial" w:hAnsi="Arial" w:cs="Arial"/>
                <w:b/>
                <w:bCs/>
                <w:smallCaps/>
              </w:rPr>
              <w:t>Serviço de Atendimento ao Cotista</w:t>
            </w:r>
          </w:p>
        </w:tc>
        <w:tc>
          <w:tcPr>
            <w:tcW w:w="3618" w:type="pct"/>
            <w:tcBorders>
              <w:top w:val="single" w:sz="4" w:space="0" w:color="auto"/>
              <w:bottom w:val="single" w:sz="4" w:space="0" w:color="auto"/>
            </w:tcBorders>
          </w:tcPr>
          <w:p w14:paraId="16FB9518" w14:textId="77777777" w:rsidR="00A97AF1" w:rsidRPr="00F621C0" w:rsidRDefault="00A97AF1" w:rsidP="0075351C">
            <w:pPr>
              <w:spacing w:before="100" w:beforeAutospacing="1"/>
              <w:jc w:val="both"/>
              <w:rPr>
                <w:rFonts w:ascii="Arial" w:eastAsia="Arial Unicode MS" w:hAnsi="Arial" w:cs="Arial"/>
                <w:sz w:val="20"/>
                <w:szCs w:val="20"/>
              </w:rPr>
            </w:pPr>
            <w:r w:rsidRPr="00F621C0">
              <w:rPr>
                <w:rFonts w:ascii="Arial" w:eastAsia="Arial Unicode MS" w:hAnsi="Arial" w:cs="Arial"/>
                <w:b/>
                <w:bCs/>
                <w:sz w:val="20"/>
                <w:szCs w:val="20"/>
              </w:rPr>
              <w:t>Central de Atendimento:</w:t>
            </w:r>
          </w:p>
          <w:p w14:paraId="4C93871F"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 xml:space="preserve">4004 3535 (Capitais e regiões metropolitanas), </w:t>
            </w:r>
          </w:p>
          <w:p w14:paraId="52B37C17"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 xml:space="preserve">0800 702 3535 (demais localidades), </w:t>
            </w:r>
          </w:p>
          <w:p w14:paraId="4AAC514D"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 xml:space="preserve">De segunda a sexta-feira, das 6h às 22h, sábados das 8h às 19h, e domingo, as 9h às 16h. </w:t>
            </w:r>
          </w:p>
          <w:p w14:paraId="4FB7D3BC"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b/>
                <w:bCs/>
                <w:sz w:val="20"/>
                <w:szCs w:val="20"/>
              </w:rPr>
              <w:t>SAC:</w:t>
            </w:r>
          </w:p>
          <w:p w14:paraId="5A42A830"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 xml:space="preserve">0800 762 7777 (Capitais e regiões metropolitanas), </w:t>
            </w:r>
          </w:p>
          <w:p w14:paraId="4A3B31EC"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 xml:space="preserve">+55 11 3012 3336 (no exterior). </w:t>
            </w:r>
          </w:p>
          <w:p w14:paraId="5BF70792"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 xml:space="preserve">Todos os dias, 24h por dia. </w:t>
            </w:r>
          </w:p>
          <w:p w14:paraId="2EEA47E7"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b/>
                <w:bCs/>
                <w:sz w:val="20"/>
                <w:szCs w:val="20"/>
              </w:rPr>
              <w:t>Ouvidoria:</w:t>
            </w:r>
          </w:p>
          <w:p w14:paraId="6CD536EA"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 xml:space="preserve">Se não ficar satisfeito com a solução apresentada: 0800 726 0322; ou pelo WhatsApp: +55 11 3012 0322. </w:t>
            </w:r>
          </w:p>
          <w:p w14:paraId="4AA8B295"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 xml:space="preserve">No exterior, ligue a cobrar para: +55 11 3012 0322. </w:t>
            </w:r>
          </w:p>
          <w:p w14:paraId="44D7D678"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sz w:val="20"/>
                <w:szCs w:val="20"/>
              </w:rPr>
              <w:t>De segunda a sexta-feira, das 8h às 18h, exceto feriados.</w:t>
            </w:r>
          </w:p>
          <w:p w14:paraId="274B995B" w14:textId="77777777" w:rsidR="00A97AF1" w:rsidRPr="00F621C0" w:rsidRDefault="00A97AF1" w:rsidP="0075351C">
            <w:pPr>
              <w:rPr>
                <w:rFonts w:ascii="Arial" w:eastAsia="Arial Unicode MS" w:hAnsi="Arial" w:cs="Arial"/>
                <w:sz w:val="20"/>
                <w:szCs w:val="20"/>
              </w:rPr>
            </w:pPr>
            <w:r w:rsidRPr="00F621C0">
              <w:rPr>
                <w:rFonts w:ascii="Arial" w:eastAsia="Arial Unicode MS" w:hAnsi="Arial" w:cs="Arial"/>
                <w:b/>
                <w:bCs/>
                <w:sz w:val="20"/>
                <w:szCs w:val="20"/>
              </w:rPr>
              <w:t>SAC e Ouvidoria</w:t>
            </w:r>
            <w:r w:rsidRPr="00F621C0">
              <w:rPr>
                <w:rFonts w:ascii="Arial" w:eastAsia="Arial Unicode MS" w:hAnsi="Arial" w:cs="Arial"/>
                <w:sz w:val="20"/>
                <w:szCs w:val="20"/>
              </w:rPr>
              <w:t xml:space="preserve"> com canal exclusivo para </w:t>
            </w:r>
            <w:r w:rsidRPr="00F621C0">
              <w:rPr>
                <w:rFonts w:ascii="Arial" w:eastAsia="Arial Unicode MS" w:hAnsi="Arial" w:cs="Arial"/>
                <w:b/>
                <w:bCs/>
                <w:sz w:val="20"/>
                <w:szCs w:val="20"/>
              </w:rPr>
              <w:t xml:space="preserve">Atendimento em Libras, </w:t>
            </w:r>
            <w:r w:rsidRPr="00F621C0">
              <w:rPr>
                <w:rFonts w:ascii="Arial" w:eastAsia="Arial Unicode MS" w:hAnsi="Arial" w:cs="Arial"/>
                <w:sz w:val="20"/>
                <w:szCs w:val="20"/>
              </w:rPr>
              <w:t xml:space="preserve">disponível em nosso site </w:t>
            </w:r>
            <w:hyperlink r:id="rId12" w:history="1">
              <w:r w:rsidRPr="00F621C0">
                <w:rPr>
                  <w:rFonts w:ascii="Arial" w:eastAsia="Arial Unicode MS" w:hAnsi="Arial" w:cs="Arial"/>
                  <w:b/>
                  <w:bCs/>
                  <w:color w:val="0000FF"/>
                  <w:sz w:val="20"/>
                  <w:szCs w:val="20"/>
                  <w:u w:val="single"/>
                </w:rPr>
                <w:t>https://www.santander.com.br/atendimento-santander/</w:t>
              </w:r>
            </w:hyperlink>
            <w:r w:rsidRPr="00F621C0">
              <w:rPr>
                <w:rFonts w:ascii="Arial" w:eastAsia="Arial Unicode MS" w:hAnsi="Arial" w:cs="Arial"/>
                <w:b/>
                <w:bCs/>
                <w:sz w:val="20"/>
                <w:szCs w:val="20"/>
              </w:rPr>
              <w:t xml:space="preserve"> </w:t>
            </w:r>
            <w:r w:rsidRPr="00F621C0">
              <w:rPr>
                <w:rFonts w:ascii="Arial" w:eastAsia="Arial Unicode MS" w:hAnsi="Arial" w:cs="Arial"/>
                <w:sz w:val="20"/>
                <w:szCs w:val="20"/>
              </w:rPr>
              <w:t>de segunda a sexta-feira, das 08h às 20h, exceto feriados.</w:t>
            </w:r>
          </w:p>
          <w:p w14:paraId="1A46F0C8" w14:textId="77777777" w:rsidR="00A97AF1" w:rsidRPr="00F621C0" w:rsidRDefault="00A97AF1" w:rsidP="0075351C">
            <w:pPr>
              <w:jc w:val="both"/>
              <w:rPr>
                <w:rFonts w:ascii="Arial" w:hAnsi="Arial" w:cs="Arial"/>
                <w:sz w:val="20"/>
                <w:szCs w:val="20"/>
                <w:lang w:val="en-US"/>
              </w:rPr>
            </w:pPr>
            <w:r w:rsidRPr="00F621C0">
              <w:rPr>
                <w:rFonts w:ascii="Arial" w:eastAsia="Arial Unicode MS" w:hAnsi="Arial" w:cs="Arial"/>
                <w:sz w:val="20"/>
                <w:szCs w:val="20"/>
                <w:lang w:val="en-US"/>
              </w:rPr>
              <w:t xml:space="preserve">Website: </w:t>
            </w:r>
            <w:hyperlink r:id="rId13" w:history="1">
              <w:r w:rsidRPr="00F621C0">
                <w:rPr>
                  <w:rFonts w:ascii="Arial" w:eastAsia="Arial Unicode MS" w:hAnsi="Arial" w:cs="Arial"/>
                  <w:sz w:val="20"/>
                  <w:szCs w:val="20"/>
                  <w:lang w:val="en-US"/>
                </w:rPr>
                <w:t>www.santanderdtvm.com.br</w:t>
              </w:r>
            </w:hyperlink>
          </w:p>
        </w:tc>
      </w:tr>
    </w:tbl>
    <w:p w14:paraId="62DF94C9" w14:textId="77777777" w:rsidR="00A97AF1" w:rsidRPr="00F621C0" w:rsidRDefault="00A97AF1" w:rsidP="00F621C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7AF1" w:rsidRPr="00F621C0" w14:paraId="7A999C5F" w14:textId="77777777" w:rsidTr="0075351C">
        <w:tc>
          <w:tcPr>
            <w:tcW w:w="5000" w:type="pct"/>
            <w:gridSpan w:val="2"/>
            <w:shd w:val="clear" w:color="auto" w:fill="C00000"/>
          </w:tcPr>
          <w:p w14:paraId="365BCB78" w14:textId="77777777" w:rsidR="00A97AF1" w:rsidRPr="00F621C0" w:rsidRDefault="00A97AF1" w:rsidP="00A97AF1">
            <w:pPr>
              <w:pStyle w:val="PargrafodaLista"/>
              <w:numPr>
                <w:ilvl w:val="0"/>
                <w:numId w:val="4"/>
              </w:numPr>
              <w:ind w:left="0" w:firstLine="0"/>
              <w:jc w:val="center"/>
              <w:rPr>
                <w:rFonts w:ascii="Arial" w:hAnsi="Arial" w:cs="Arial"/>
                <w:b/>
                <w:bCs/>
                <w:color w:val="FFFFFF" w:themeColor="background1"/>
              </w:rPr>
            </w:pPr>
            <w:r w:rsidRPr="00F621C0">
              <w:rPr>
                <w:rFonts w:ascii="Arial" w:hAnsi="Arial" w:cs="Arial"/>
                <w:b/>
                <w:bCs/>
                <w:color w:val="FFFFFF" w:themeColor="background1"/>
              </w:rPr>
              <w:t>SOLUÇÃO DE CONTROVÉRSIAS</w:t>
            </w:r>
          </w:p>
        </w:tc>
      </w:tr>
      <w:tr w:rsidR="00A97AF1" w:rsidRPr="00F621C0" w14:paraId="203A0F57" w14:textId="77777777" w:rsidTr="0075351C">
        <w:tc>
          <w:tcPr>
            <w:tcW w:w="1381" w:type="pct"/>
            <w:tcBorders>
              <w:bottom w:val="single" w:sz="4" w:space="0" w:color="auto"/>
            </w:tcBorders>
            <w:vAlign w:val="center"/>
          </w:tcPr>
          <w:p w14:paraId="7210EA49" w14:textId="77777777" w:rsidR="00A97AF1" w:rsidRPr="00F621C0" w:rsidRDefault="00A97AF1" w:rsidP="0075351C">
            <w:pPr>
              <w:jc w:val="center"/>
              <w:rPr>
                <w:rFonts w:ascii="Arial" w:hAnsi="Arial" w:cs="Arial"/>
                <w:b/>
                <w:bCs/>
                <w:sz w:val="20"/>
                <w:szCs w:val="20"/>
              </w:rPr>
            </w:pPr>
          </w:p>
        </w:tc>
        <w:tc>
          <w:tcPr>
            <w:tcW w:w="3619" w:type="pct"/>
            <w:tcBorders>
              <w:bottom w:val="single" w:sz="4" w:space="0" w:color="auto"/>
            </w:tcBorders>
          </w:tcPr>
          <w:p w14:paraId="0DF8E371" w14:textId="77777777" w:rsidR="00A97AF1" w:rsidRPr="00F621C0" w:rsidRDefault="00A97AF1" w:rsidP="0075351C">
            <w:pPr>
              <w:rPr>
                <w:rFonts w:ascii="Arial" w:hAnsi="Arial" w:cs="Arial"/>
                <w:sz w:val="20"/>
                <w:szCs w:val="20"/>
              </w:rPr>
            </w:pPr>
          </w:p>
        </w:tc>
      </w:tr>
      <w:tr w:rsidR="00A97AF1" w:rsidRPr="00F621C0" w14:paraId="219C01BE" w14:textId="77777777" w:rsidTr="0075351C">
        <w:tc>
          <w:tcPr>
            <w:tcW w:w="5000" w:type="pct"/>
            <w:gridSpan w:val="2"/>
            <w:tcBorders>
              <w:top w:val="single" w:sz="4" w:space="0" w:color="auto"/>
              <w:bottom w:val="single" w:sz="4" w:space="0" w:color="auto"/>
            </w:tcBorders>
            <w:vAlign w:val="center"/>
          </w:tcPr>
          <w:p w14:paraId="6E6B334D" w14:textId="77777777" w:rsidR="00A97AF1" w:rsidRPr="00F621C0" w:rsidRDefault="00A97AF1" w:rsidP="00A97AF1">
            <w:pPr>
              <w:pStyle w:val="PargrafodaLista"/>
              <w:numPr>
                <w:ilvl w:val="1"/>
                <w:numId w:val="4"/>
              </w:numPr>
              <w:ind w:left="0" w:firstLine="0"/>
              <w:jc w:val="both"/>
              <w:rPr>
                <w:rFonts w:ascii="Arial" w:hAnsi="Arial" w:cs="Arial"/>
              </w:rPr>
            </w:pPr>
            <w:r w:rsidRPr="00F621C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8FB97BB" w14:textId="77777777" w:rsidR="00A97AF1" w:rsidRPr="00F621C0" w:rsidRDefault="00A97AF1" w:rsidP="00F621C0">
      <w:pPr>
        <w:rPr>
          <w:rFonts w:ascii="Arial" w:hAnsi="Arial" w:cs="Arial"/>
        </w:rPr>
      </w:pPr>
      <w:r w:rsidRPr="00F621C0">
        <w:rPr>
          <w:rFonts w:ascii="Arial" w:hAnsi="Arial" w:cs="Arial"/>
        </w:rPr>
        <w:br w:type="page"/>
      </w:r>
    </w:p>
    <w:p w14:paraId="66F8EC99" w14:textId="77777777" w:rsidR="00A97AF1" w:rsidRPr="00F621C0" w:rsidRDefault="00A97AF1" w:rsidP="00F621C0">
      <w:pPr>
        <w:jc w:val="center"/>
        <w:rPr>
          <w:rFonts w:ascii="Arial" w:hAnsi="Arial" w:cs="Arial"/>
          <w:b/>
          <w:bCs/>
          <w:smallCaps/>
        </w:rPr>
      </w:pPr>
      <w:r w:rsidRPr="00F621C0">
        <w:rPr>
          <w:rFonts w:ascii="Arial" w:hAnsi="Arial" w:cs="Arial"/>
          <w:b/>
          <w:bCs/>
          <w:smallCaps/>
        </w:rPr>
        <w:t>ANEXO DA CLASSE ÚNICA DO ACESSO VINCI ESTRUTURADO MULTIMERCADO -</w:t>
      </w:r>
    </w:p>
    <w:p w14:paraId="76999999" w14:textId="77777777" w:rsidR="00A97AF1" w:rsidRPr="00F621C0" w:rsidRDefault="00A97AF1" w:rsidP="00F621C0">
      <w:pPr>
        <w:jc w:val="center"/>
        <w:rPr>
          <w:rFonts w:ascii="Arial" w:hAnsi="Arial" w:cs="Arial"/>
          <w:b/>
          <w:bCs/>
          <w:smallCaps/>
        </w:rPr>
      </w:pPr>
      <w:r w:rsidRPr="00F621C0">
        <w:rPr>
          <w:rFonts w:ascii="Arial" w:hAnsi="Arial" w:cs="Arial"/>
          <w:b/>
          <w:bCs/>
          <w:smallCaps/>
        </w:rPr>
        <w:t>FUNDO DE INVESTIMENTO FINANCEIRO RESPONSABILIDADE LIMITADA IS</w:t>
      </w:r>
    </w:p>
    <w:p w14:paraId="7DA6719F" w14:textId="77777777" w:rsidR="00A97AF1" w:rsidRPr="00F621C0" w:rsidRDefault="00A97AF1" w:rsidP="00F621C0">
      <w:pPr>
        <w:jc w:val="center"/>
        <w:rPr>
          <w:rFonts w:ascii="Arial" w:hAnsi="Arial" w:cs="Arial"/>
          <w:b/>
          <w:bCs/>
          <w:smallCaps/>
        </w:rPr>
      </w:pPr>
      <w:r w:rsidRPr="00F621C0">
        <w:rPr>
          <w:rFonts w:ascii="Arial" w:hAnsi="Arial" w:cs="Arial"/>
          <w:b/>
          <w:bCs/>
          <w:smallCaps/>
        </w:rPr>
        <w:t>CNPJ: 56.237.501/0001-40</w:t>
      </w:r>
    </w:p>
    <w:p w14:paraId="7561E874" w14:textId="77777777" w:rsidR="00A97AF1" w:rsidRPr="00F621C0" w:rsidRDefault="00A97AF1" w:rsidP="00F621C0">
      <w:pPr>
        <w:jc w:val="right"/>
        <w:rPr>
          <w:rFonts w:ascii="Arial" w:hAnsi="Arial" w:cs="Arial"/>
          <w:b/>
          <w:bCs/>
          <w:smallCaps/>
        </w:rPr>
      </w:pPr>
    </w:p>
    <w:p w14:paraId="481FA88B" w14:textId="363F5879" w:rsidR="00A97AF1" w:rsidRPr="00F621C0" w:rsidRDefault="00A97AF1" w:rsidP="00F621C0">
      <w:pPr>
        <w:jc w:val="right"/>
        <w:rPr>
          <w:rFonts w:ascii="Arial" w:hAnsi="Arial" w:cs="Arial"/>
        </w:rPr>
      </w:pPr>
      <w:r w:rsidRPr="00F621C0">
        <w:rPr>
          <w:rFonts w:ascii="Arial" w:hAnsi="Arial" w:cs="Arial"/>
          <w:b/>
          <w:bCs/>
          <w:smallCaps/>
        </w:rPr>
        <w:t>Vigência</w:t>
      </w:r>
      <w:r w:rsidRPr="00F621C0">
        <w:rPr>
          <w:rFonts w:ascii="Arial" w:hAnsi="Arial" w:cs="Arial"/>
        </w:rPr>
        <w:t xml:space="preserve">: </w:t>
      </w:r>
      <w:r w:rsidR="00B22CF6">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97AF1" w:rsidRPr="00F621C0" w14:paraId="50853676" w14:textId="77777777" w:rsidTr="0075351C">
        <w:tc>
          <w:tcPr>
            <w:tcW w:w="5000" w:type="pct"/>
            <w:gridSpan w:val="3"/>
            <w:shd w:val="clear" w:color="auto" w:fill="C00000"/>
          </w:tcPr>
          <w:p w14:paraId="0191C6D3" w14:textId="77777777" w:rsidR="00A97AF1" w:rsidRPr="00F621C0" w:rsidRDefault="00A97AF1" w:rsidP="00A97AF1">
            <w:pPr>
              <w:pStyle w:val="PargrafodaLista"/>
              <w:numPr>
                <w:ilvl w:val="0"/>
                <w:numId w:val="5"/>
              </w:numPr>
              <w:ind w:left="0" w:firstLine="0"/>
              <w:jc w:val="center"/>
              <w:rPr>
                <w:rFonts w:ascii="Arial" w:hAnsi="Arial" w:cs="Arial"/>
                <w:b/>
                <w:bCs/>
                <w:color w:val="FFFFFF" w:themeColor="background1"/>
              </w:rPr>
            </w:pPr>
            <w:r w:rsidRPr="00F621C0">
              <w:rPr>
                <w:rFonts w:ascii="Arial" w:hAnsi="Arial" w:cs="Arial"/>
                <w:b/>
                <w:bCs/>
                <w:color w:val="FFFFFF" w:themeColor="background1"/>
              </w:rPr>
              <w:t>INTERPRETAÇÃO</w:t>
            </w:r>
          </w:p>
        </w:tc>
      </w:tr>
      <w:tr w:rsidR="00A97AF1" w:rsidRPr="00F621C0" w14:paraId="4257A64D" w14:textId="77777777" w:rsidTr="0075351C">
        <w:tc>
          <w:tcPr>
            <w:tcW w:w="2321" w:type="pct"/>
            <w:gridSpan w:val="2"/>
            <w:tcBorders>
              <w:bottom w:val="single" w:sz="4" w:space="0" w:color="auto"/>
            </w:tcBorders>
            <w:vAlign w:val="center"/>
          </w:tcPr>
          <w:p w14:paraId="21873459" w14:textId="77777777" w:rsidR="00A97AF1" w:rsidRPr="00F621C0" w:rsidRDefault="00A97AF1" w:rsidP="0075351C">
            <w:pPr>
              <w:jc w:val="center"/>
              <w:rPr>
                <w:rFonts w:ascii="Arial" w:hAnsi="Arial" w:cs="Arial"/>
                <w:b/>
                <w:bCs/>
                <w:sz w:val="20"/>
                <w:szCs w:val="20"/>
              </w:rPr>
            </w:pPr>
          </w:p>
        </w:tc>
        <w:tc>
          <w:tcPr>
            <w:tcW w:w="2679" w:type="pct"/>
            <w:tcBorders>
              <w:bottom w:val="single" w:sz="4" w:space="0" w:color="auto"/>
            </w:tcBorders>
          </w:tcPr>
          <w:p w14:paraId="5AEFF35A" w14:textId="77777777" w:rsidR="00A97AF1" w:rsidRPr="00F621C0" w:rsidRDefault="00A97AF1" w:rsidP="0075351C">
            <w:pPr>
              <w:rPr>
                <w:rFonts w:ascii="Arial" w:hAnsi="Arial" w:cs="Arial"/>
                <w:sz w:val="20"/>
                <w:szCs w:val="20"/>
              </w:rPr>
            </w:pPr>
          </w:p>
        </w:tc>
      </w:tr>
      <w:tr w:rsidR="00A97AF1" w:rsidRPr="00F621C0" w14:paraId="1303FCE5" w14:textId="77777777" w:rsidTr="0075351C">
        <w:tc>
          <w:tcPr>
            <w:tcW w:w="1382" w:type="pct"/>
            <w:tcBorders>
              <w:top w:val="single" w:sz="4" w:space="0" w:color="auto"/>
              <w:bottom w:val="single" w:sz="4" w:space="0" w:color="auto"/>
            </w:tcBorders>
            <w:vAlign w:val="center"/>
          </w:tcPr>
          <w:p w14:paraId="3793B350" w14:textId="77777777" w:rsidR="00A97AF1" w:rsidRPr="00F621C0" w:rsidRDefault="00A97AF1" w:rsidP="00A97AF1">
            <w:pPr>
              <w:pStyle w:val="PargrafodaLista"/>
              <w:numPr>
                <w:ilvl w:val="1"/>
                <w:numId w:val="5"/>
              </w:numPr>
              <w:ind w:left="0" w:firstLine="0"/>
              <w:jc w:val="center"/>
              <w:rPr>
                <w:rFonts w:ascii="Arial" w:hAnsi="Arial" w:cs="Arial"/>
                <w:b/>
                <w:bCs/>
                <w:smallCaps/>
              </w:rPr>
            </w:pPr>
            <w:r w:rsidRPr="00F621C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852C7A6" w14:textId="77777777" w:rsidR="00A97AF1" w:rsidRPr="00F621C0" w:rsidRDefault="00A97AF1" w:rsidP="0075351C">
            <w:pPr>
              <w:spacing w:before="60" w:after="60"/>
              <w:ind w:left="-110" w:right="-110"/>
              <w:jc w:val="both"/>
              <w:rPr>
                <w:rFonts w:ascii="Arial" w:hAnsi="Arial" w:cs="Arial"/>
                <w:b/>
                <w:sz w:val="20"/>
                <w:szCs w:val="20"/>
                <w:u w:val="single"/>
              </w:rPr>
            </w:pPr>
            <w:r w:rsidRPr="00F621C0">
              <w:rPr>
                <w:rFonts w:ascii="Arial" w:hAnsi="Arial" w:cs="Arial"/>
                <w:b/>
                <w:sz w:val="20"/>
                <w:szCs w:val="20"/>
              </w:rPr>
              <w:t xml:space="preserve">ESTE ANEXO DEVE SER LIDO E INTERPRETADO EM CONJUNTO COM SEU REGULAMENTO, COM O COMPROMISSO DE INVESTIMENTO DO FUNDO </w:t>
            </w:r>
            <w:r w:rsidRPr="00F621C0">
              <w:rPr>
                <w:rFonts w:ascii="Arial" w:hAnsi="Arial" w:cs="Arial"/>
                <w:b/>
                <w:sz w:val="20"/>
                <w:szCs w:val="20"/>
                <w:u w:val="single"/>
              </w:rPr>
              <w:t>E COM O REGULAMENTO E ANEXO DO ACESSO FIRF.</w:t>
            </w:r>
          </w:p>
          <w:p w14:paraId="5AC1FF00" w14:textId="77777777" w:rsidR="00A97AF1" w:rsidRPr="00F621C0" w:rsidRDefault="00A97AF1" w:rsidP="0075351C">
            <w:pPr>
              <w:spacing w:before="60" w:after="60"/>
              <w:ind w:left="-110" w:right="-110"/>
              <w:jc w:val="both"/>
              <w:rPr>
                <w:rFonts w:ascii="Arial" w:hAnsi="Arial" w:cs="Arial"/>
                <w:b/>
                <w:sz w:val="20"/>
                <w:szCs w:val="20"/>
              </w:rPr>
            </w:pPr>
          </w:p>
          <w:p w14:paraId="5F6078B7" w14:textId="77777777" w:rsidR="00A97AF1" w:rsidRPr="00F621C0" w:rsidRDefault="00A97AF1" w:rsidP="0075351C">
            <w:pPr>
              <w:spacing w:before="60" w:after="60"/>
              <w:ind w:left="-110" w:right="-110"/>
              <w:jc w:val="both"/>
              <w:rPr>
                <w:rFonts w:ascii="Arial" w:hAnsi="Arial" w:cs="Arial"/>
                <w:b/>
                <w:sz w:val="20"/>
                <w:szCs w:val="20"/>
              </w:rPr>
            </w:pPr>
            <w:r w:rsidRPr="00F621C0">
              <w:rPr>
                <w:rFonts w:ascii="Arial" w:hAnsi="Arial" w:cs="Arial"/>
                <w:b/>
                <w:sz w:val="20"/>
                <w:szCs w:val="20"/>
              </w:rPr>
              <w:t>ESTE ANEXO É REGIDO PELA RESOLUÇÃO CVM Nº 175, DE 23 DE DEZEMBRO DE 2022, CONFORME ALTERADA, BEM COMO PELO SEU ANEXO NORMATIVO I (“RESOLUÇÃO CVM 175”), SEM PREJUÍZO DAS DEMAIS NORMAS E DIRETRIZES REGULATÓRIAS E DA AUTORREGULAÇÃO.</w:t>
            </w:r>
          </w:p>
        </w:tc>
      </w:tr>
      <w:tr w:rsidR="00A97AF1" w:rsidRPr="00F621C0" w14:paraId="122675EF" w14:textId="77777777" w:rsidTr="0075351C">
        <w:tc>
          <w:tcPr>
            <w:tcW w:w="1382" w:type="pct"/>
            <w:tcBorders>
              <w:top w:val="single" w:sz="4" w:space="0" w:color="auto"/>
              <w:bottom w:val="single" w:sz="4" w:space="0" w:color="auto"/>
            </w:tcBorders>
            <w:vAlign w:val="center"/>
          </w:tcPr>
          <w:p w14:paraId="1B098CB3" w14:textId="77777777" w:rsidR="00A97AF1" w:rsidRPr="00F621C0" w:rsidRDefault="00A97AF1" w:rsidP="0075351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6768A5" w14:textId="77777777" w:rsidR="00A97AF1" w:rsidRPr="00F621C0" w:rsidRDefault="00A97AF1" w:rsidP="0075351C">
            <w:pPr>
              <w:rPr>
                <w:rFonts w:ascii="Arial" w:hAnsi="Arial" w:cs="Arial"/>
                <w:sz w:val="20"/>
                <w:szCs w:val="20"/>
              </w:rPr>
            </w:pPr>
          </w:p>
        </w:tc>
      </w:tr>
      <w:tr w:rsidR="00A97AF1" w:rsidRPr="00F621C0" w14:paraId="6DC72AF9" w14:textId="77777777" w:rsidTr="0075351C">
        <w:tc>
          <w:tcPr>
            <w:tcW w:w="1382" w:type="pct"/>
            <w:tcBorders>
              <w:top w:val="single" w:sz="4" w:space="0" w:color="auto"/>
              <w:bottom w:val="single" w:sz="4" w:space="0" w:color="auto"/>
            </w:tcBorders>
            <w:vAlign w:val="center"/>
          </w:tcPr>
          <w:p w14:paraId="68870C31" w14:textId="77777777" w:rsidR="00A97AF1" w:rsidRPr="00F621C0" w:rsidRDefault="00A97AF1" w:rsidP="00A97AF1">
            <w:pPr>
              <w:pStyle w:val="PargrafodaLista"/>
              <w:numPr>
                <w:ilvl w:val="1"/>
                <w:numId w:val="5"/>
              </w:numPr>
              <w:ind w:left="0" w:firstLine="0"/>
              <w:jc w:val="center"/>
              <w:rPr>
                <w:rFonts w:ascii="Arial" w:hAnsi="Arial" w:cs="Arial"/>
                <w:b/>
                <w:bCs/>
                <w:smallCaps/>
              </w:rPr>
            </w:pPr>
            <w:r w:rsidRPr="00F621C0">
              <w:rPr>
                <w:rFonts w:ascii="Arial" w:hAnsi="Arial" w:cs="Arial"/>
                <w:b/>
                <w:bCs/>
                <w:smallCaps/>
              </w:rPr>
              <w:t>Termos definidos</w:t>
            </w:r>
          </w:p>
        </w:tc>
        <w:tc>
          <w:tcPr>
            <w:tcW w:w="3618" w:type="pct"/>
            <w:gridSpan w:val="2"/>
            <w:tcBorders>
              <w:top w:val="single" w:sz="4" w:space="0" w:color="auto"/>
              <w:bottom w:val="single" w:sz="4" w:space="0" w:color="auto"/>
            </w:tcBorders>
          </w:tcPr>
          <w:p w14:paraId="1FEBA0C0" w14:textId="77777777" w:rsidR="00A97AF1" w:rsidRPr="00F621C0" w:rsidRDefault="00A97AF1" w:rsidP="0075351C">
            <w:pPr>
              <w:spacing w:before="60" w:after="60"/>
              <w:jc w:val="both"/>
              <w:rPr>
                <w:rFonts w:ascii="Arial" w:hAnsi="Arial" w:cs="Arial"/>
                <w:sz w:val="20"/>
                <w:szCs w:val="20"/>
              </w:rPr>
            </w:pPr>
            <w:r w:rsidRPr="00F621C0">
              <w:rPr>
                <w:rFonts w:ascii="Arial" w:hAnsi="Arial" w:cs="Arial"/>
                <w:sz w:val="20"/>
                <w:szCs w:val="20"/>
              </w:rPr>
              <w:t>Exceto se expressamente disposto de forma contrária, os termos utilizados neste Anexo terão o significado atribuído na regulamentação em vigor ou o significado atribuído no Regulamento.</w:t>
            </w:r>
          </w:p>
          <w:p w14:paraId="2D829D46" w14:textId="77777777" w:rsidR="00A97AF1" w:rsidRPr="00F621C0" w:rsidRDefault="00A97AF1" w:rsidP="0075351C">
            <w:pPr>
              <w:spacing w:before="60" w:after="60"/>
              <w:jc w:val="both"/>
              <w:rPr>
                <w:rFonts w:ascii="Arial" w:hAnsi="Arial" w:cs="Arial"/>
                <w:sz w:val="20"/>
                <w:szCs w:val="20"/>
              </w:rPr>
            </w:pPr>
          </w:p>
          <w:p w14:paraId="06D850C3" w14:textId="77777777" w:rsidR="00A97AF1" w:rsidRPr="00F621C0" w:rsidRDefault="00A97AF1" w:rsidP="0075351C">
            <w:pPr>
              <w:spacing w:before="60" w:after="60"/>
              <w:jc w:val="both"/>
              <w:rPr>
                <w:rFonts w:ascii="Arial" w:hAnsi="Arial" w:cs="Arial"/>
                <w:sz w:val="20"/>
                <w:szCs w:val="20"/>
              </w:rPr>
            </w:pPr>
            <w:r w:rsidRPr="00F621C0">
              <w:rPr>
                <w:rFonts w:ascii="Arial" w:hAnsi="Arial" w:cs="Arial"/>
                <w:sz w:val="20"/>
                <w:szCs w:val="20"/>
              </w:rPr>
              <w:t>Todas as palavras, expressões e abreviações utilizadas no Regulamento e neste Anexo com as letras iniciais maiúsculas, referem-se a este Fundo e sua Classe Única, conforme aplicável.</w:t>
            </w:r>
          </w:p>
          <w:p w14:paraId="339F0383" w14:textId="77777777" w:rsidR="00A97AF1" w:rsidRPr="00F621C0" w:rsidRDefault="00A97AF1" w:rsidP="0075351C">
            <w:pPr>
              <w:spacing w:before="60" w:after="60"/>
              <w:jc w:val="both"/>
              <w:rPr>
                <w:rFonts w:ascii="Arial" w:hAnsi="Arial" w:cs="Arial"/>
                <w:sz w:val="20"/>
                <w:szCs w:val="20"/>
              </w:rPr>
            </w:pPr>
          </w:p>
          <w:p w14:paraId="765674AE"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97AF1" w:rsidRPr="00F621C0" w14:paraId="0D8768C7" w14:textId="77777777" w:rsidTr="0075351C">
        <w:tc>
          <w:tcPr>
            <w:tcW w:w="1382" w:type="pct"/>
            <w:tcBorders>
              <w:top w:val="single" w:sz="4" w:space="0" w:color="auto"/>
              <w:bottom w:val="single" w:sz="4" w:space="0" w:color="auto"/>
            </w:tcBorders>
            <w:vAlign w:val="center"/>
          </w:tcPr>
          <w:p w14:paraId="0CC884BA" w14:textId="77777777" w:rsidR="00A97AF1" w:rsidRPr="00F621C0" w:rsidRDefault="00A97AF1" w:rsidP="0075351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988733" w14:textId="77777777" w:rsidR="00A97AF1" w:rsidRPr="00F621C0" w:rsidRDefault="00A97AF1" w:rsidP="0075351C">
            <w:pPr>
              <w:jc w:val="both"/>
              <w:rPr>
                <w:rFonts w:ascii="Arial" w:hAnsi="Arial" w:cs="Arial"/>
                <w:sz w:val="20"/>
                <w:szCs w:val="20"/>
              </w:rPr>
            </w:pPr>
          </w:p>
        </w:tc>
      </w:tr>
      <w:tr w:rsidR="00A97AF1" w:rsidRPr="00F621C0" w14:paraId="018E6712" w14:textId="77777777" w:rsidTr="0075351C">
        <w:tc>
          <w:tcPr>
            <w:tcW w:w="1382" w:type="pct"/>
            <w:tcBorders>
              <w:top w:val="single" w:sz="4" w:space="0" w:color="auto"/>
              <w:bottom w:val="single" w:sz="4" w:space="0" w:color="auto"/>
            </w:tcBorders>
            <w:vAlign w:val="center"/>
          </w:tcPr>
          <w:p w14:paraId="1ECB4514" w14:textId="77777777" w:rsidR="00A97AF1" w:rsidRPr="00F621C0" w:rsidRDefault="00A97AF1" w:rsidP="00A97AF1">
            <w:pPr>
              <w:pStyle w:val="PargrafodaLista"/>
              <w:numPr>
                <w:ilvl w:val="1"/>
                <w:numId w:val="5"/>
              </w:numPr>
              <w:ind w:left="0" w:firstLine="0"/>
              <w:jc w:val="center"/>
              <w:rPr>
                <w:rFonts w:ascii="Arial" w:hAnsi="Arial" w:cs="Arial"/>
                <w:b/>
                <w:bCs/>
                <w:smallCaps/>
              </w:rPr>
            </w:pPr>
            <w:r w:rsidRPr="00F621C0">
              <w:rPr>
                <w:rFonts w:ascii="Arial" w:hAnsi="Arial" w:cs="Arial"/>
                <w:b/>
                <w:bCs/>
                <w:smallCaps/>
              </w:rPr>
              <w:t>Orientações Gerais</w:t>
            </w:r>
          </w:p>
        </w:tc>
        <w:tc>
          <w:tcPr>
            <w:tcW w:w="3618" w:type="pct"/>
            <w:gridSpan w:val="2"/>
            <w:tcBorders>
              <w:top w:val="single" w:sz="4" w:space="0" w:color="auto"/>
              <w:bottom w:val="single" w:sz="4" w:space="0" w:color="auto"/>
            </w:tcBorders>
          </w:tcPr>
          <w:p w14:paraId="7725DF3D"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 Regulamento dispõe sobre informações gerais do Fundo, que conta apenas com a Classe Única.</w:t>
            </w:r>
          </w:p>
          <w:p w14:paraId="02F2123D" w14:textId="77777777" w:rsidR="00A97AF1" w:rsidRPr="00F621C0" w:rsidRDefault="00A97AF1" w:rsidP="0075351C">
            <w:pPr>
              <w:jc w:val="both"/>
              <w:rPr>
                <w:rFonts w:ascii="Arial" w:hAnsi="Arial" w:cs="Arial"/>
                <w:sz w:val="20"/>
                <w:szCs w:val="20"/>
              </w:rPr>
            </w:pPr>
          </w:p>
          <w:p w14:paraId="1BB25101" w14:textId="77777777" w:rsidR="00A97AF1" w:rsidRPr="00F621C0" w:rsidRDefault="00A97AF1" w:rsidP="0075351C">
            <w:pPr>
              <w:jc w:val="both"/>
              <w:rPr>
                <w:rFonts w:ascii="Arial" w:hAnsi="Arial" w:cs="Arial"/>
                <w:sz w:val="20"/>
                <w:szCs w:val="20"/>
              </w:rPr>
            </w:pPr>
            <w:r w:rsidRPr="00F621C0">
              <w:rPr>
                <w:rFonts w:ascii="Arial" w:hAnsi="Arial" w:cs="Arial"/>
                <w:b/>
                <w:bCs/>
                <w:sz w:val="20"/>
                <w:szCs w:val="20"/>
              </w:rPr>
              <w:t>Este Anexo</w:t>
            </w:r>
            <w:r w:rsidRPr="00F621C0">
              <w:rPr>
                <w:rFonts w:ascii="Arial" w:hAnsi="Arial" w:cs="Arial"/>
                <w:sz w:val="20"/>
                <w:szCs w:val="20"/>
              </w:rPr>
              <w:t>, que integra o Regulamento, dispõe sobre informações específicas da Classe Única, que não conta com nenhuma subclasse.</w:t>
            </w:r>
          </w:p>
          <w:p w14:paraId="22DA589A" w14:textId="77777777" w:rsidR="00A97AF1" w:rsidRPr="00F621C0" w:rsidRDefault="00A97AF1" w:rsidP="0075351C">
            <w:pPr>
              <w:jc w:val="both"/>
              <w:rPr>
                <w:rFonts w:ascii="Arial" w:hAnsi="Arial" w:cs="Arial"/>
                <w:sz w:val="20"/>
                <w:szCs w:val="20"/>
              </w:rPr>
            </w:pPr>
          </w:p>
          <w:p w14:paraId="2D85D022"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No caso de criação de Subclasses, suas informações específicas serão revistas em Apêndice respectivo.</w:t>
            </w:r>
          </w:p>
        </w:tc>
      </w:tr>
      <w:tr w:rsidR="00A97AF1" w:rsidRPr="00F621C0" w14:paraId="2425B09F" w14:textId="77777777" w:rsidTr="0075351C">
        <w:tc>
          <w:tcPr>
            <w:tcW w:w="1382" w:type="pct"/>
            <w:tcBorders>
              <w:top w:val="single" w:sz="4" w:space="0" w:color="auto"/>
              <w:bottom w:val="single" w:sz="4" w:space="0" w:color="auto"/>
            </w:tcBorders>
            <w:vAlign w:val="center"/>
          </w:tcPr>
          <w:p w14:paraId="4F14D24A" w14:textId="77777777" w:rsidR="00A97AF1" w:rsidRPr="00F621C0" w:rsidRDefault="00A97AF1" w:rsidP="0075351C">
            <w:pPr>
              <w:pStyle w:val="PargrafodaLista"/>
              <w:ind w:left="0"/>
              <w:rPr>
                <w:rFonts w:ascii="Arial" w:hAnsi="Arial" w:cs="Arial"/>
                <w:b/>
                <w:bCs/>
                <w:smallCaps/>
              </w:rPr>
            </w:pPr>
          </w:p>
        </w:tc>
        <w:tc>
          <w:tcPr>
            <w:tcW w:w="3618" w:type="pct"/>
            <w:gridSpan w:val="2"/>
            <w:tcBorders>
              <w:top w:val="single" w:sz="4" w:space="0" w:color="auto"/>
              <w:bottom w:val="single" w:sz="4" w:space="0" w:color="auto"/>
            </w:tcBorders>
          </w:tcPr>
          <w:p w14:paraId="6CD435ED" w14:textId="77777777" w:rsidR="00A97AF1" w:rsidRPr="00F621C0" w:rsidRDefault="00A97AF1" w:rsidP="0075351C">
            <w:pPr>
              <w:jc w:val="both"/>
              <w:rPr>
                <w:rFonts w:ascii="Arial" w:hAnsi="Arial" w:cs="Arial"/>
                <w:sz w:val="20"/>
                <w:szCs w:val="20"/>
              </w:rPr>
            </w:pPr>
          </w:p>
        </w:tc>
      </w:tr>
      <w:tr w:rsidR="00A97AF1" w:rsidRPr="00F621C0" w14:paraId="6BB20560" w14:textId="77777777" w:rsidTr="0075351C">
        <w:tc>
          <w:tcPr>
            <w:tcW w:w="5000" w:type="pct"/>
            <w:gridSpan w:val="3"/>
            <w:tcBorders>
              <w:top w:val="single" w:sz="4" w:space="0" w:color="auto"/>
              <w:bottom w:val="single" w:sz="4" w:space="0" w:color="auto"/>
            </w:tcBorders>
            <w:shd w:val="clear" w:color="auto" w:fill="C00000"/>
            <w:vAlign w:val="center"/>
          </w:tcPr>
          <w:p w14:paraId="54F5906A" w14:textId="77777777" w:rsidR="00A97AF1" w:rsidRPr="00F621C0" w:rsidRDefault="00A97AF1" w:rsidP="00A97AF1">
            <w:pPr>
              <w:pStyle w:val="PargrafodaLista"/>
              <w:numPr>
                <w:ilvl w:val="0"/>
                <w:numId w:val="5"/>
              </w:numPr>
              <w:ind w:left="0" w:firstLine="0"/>
              <w:jc w:val="center"/>
              <w:rPr>
                <w:rFonts w:ascii="Arial" w:hAnsi="Arial" w:cs="Arial"/>
              </w:rPr>
            </w:pPr>
            <w:r w:rsidRPr="00F621C0">
              <w:rPr>
                <w:rFonts w:ascii="Arial" w:hAnsi="Arial" w:cs="Arial"/>
                <w:b/>
                <w:bCs/>
                <w:color w:val="FFFFFF" w:themeColor="background1"/>
              </w:rPr>
              <w:t>CARACTERÍSTICAS DA CLASSE</w:t>
            </w:r>
          </w:p>
        </w:tc>
      </w:tr>
      <w:tr w:rsidR="00A97AF1" w:rsidRPr="00F621C0" w14:paraId="30F1BE5A" w14:textId="77777777" w:rsidTr="0075351C">
        <w:tc>
          <w:tcPr>
            <w:tcW w:w="1382" w:type="pct"/>
            <w:tcBorders>
              <w:top w:val="single" w:sz="4" w:space="0" w:color="auto"/>
              <w:bottom w:val="single" w:sz="4" w:space="0" w:color="auto"/>
            </w:tcBorders>
            <w:vAlign w:val="center"/>
          </w:tcPr>
          <w:p w14:paraId="27853008" w14:textId="77777777" w:rsidR="00A97AF1" w:rsidRPr="00F621C0" w:rsidRDefault="00A97AF1" w:rsidP="0075351C">
            <w:pPr>
              <w:pStyle w:val="PargrafodaLista"/>
              <w:ind w:left="0"/>
              <w:rPr>
                <w:rFonts w:ascii="Arial" w:hAnsi="Arial" w:cs="Arial"/>
                <w:b/>
                <w:bCs/>
                <w:smallCaps/>
              </w:rPr>
            </w:pPr>
          </w:p>
        </w:tc>
        <w:tc>
          <w:tcPr>
            <w:tcW w:w="3618" w:type="pct"/>
            <w:gridSpan w:val="2"/>
            <w:tcBorders>
              <w:top w:val="single" w:sz="4" w:space="0" w:color="auto"/>
              <w:bottom w:val="single" w:sz="4" w:space="0" w:color="auto"/>
            </w:tcBorders>
          </w:tcPr>
          <w:p w14:paraId="3B907BFF" w14:textId="77777777" w:rsidR="00A97AF1" w:rsidRPr="00F621C0" w:rsidRDefault="00A97AF1" w:rsidP="0075351C">
            <w:pPr>
              <w:jc w:val="both"/>
              <w:rPr>
                <w:rFonts w:ascii="Arial" w:hAnsi="Arial" w:cs="Arial"/>
                <w:sz w:val="20"/>
                <w:szCs w:val="20"/>
              </w:rPr>
            </w:pPr>
          </w:p>
        </w:tc>
      </w:tr>
      <w:tr w:rsidR="00A97AF1" w:rsidRPr="00F621C0" w14:paraId="009295F2" w14:textId="77777777" w:rsidTr="0075351C">
        <w:tc>
          <w:tcPr>
            <w:tcW w:w="1382" w:type="pct"/>
            <w:tcBorders>
              <w:top w:val="single" w:sz="4" w:space="0" w:color="auto"/>
              <w:bottom w:val="single" w:sz="4" w:space="0" w:color="auto"/>
            </w:tcBorders>
            <w:vAlign w:val="center"/>
          </w:tcPr>
          <w:p w14:paraId="45205EEF" w14:textId="77777777" w:rsidR="00A97AF1" w:rsidRPr="00F621C0" w:rsidRDefault="00A97AF1" w:rsidP="00A97AF1">
            <w:pPr>
              <w:pStyle w:val="PargrafodaLista"/>
              <w:numPr>
                <w:ilvl w:val="1"/>
                <w:numId w:val="5"/>
              </w:numPr>
              <w:ind w:left="0" w:firstLine="0"/>
              <w:jc w:val="center"/>
              <w:rPr>
                <w:rFonts w:ascii="Arial" w:hAnsi="Arial" w:cs="Arial"/>
                <w:b/>
                <w:bCs/>
                <w:smallCaps/>
              </w:rPr>
            </w:pPr>
            <w:r w:rsidRPr="00F621C0">
              <w:rPr>
                <w:rFonts w:ascii="Arial" w:hAnsi="Arial" w:cs="Arial"/>
                <w:b/>
                <w:bCs/>
                <w:smallCaps/>
              </w:rPr>
              <w:t>Público-Alvo</w:t>
            </w:r>
          </w:p>
        </w:tc>
        <w:tc>
          <w:tcPr>
            <w:tcW w:w="3618" w:type="pct"/>
            <w:gridSpan w:val="2"/>
            <w:tcBorders>
              <w:top w:val="single" w:sz="4" w:space="0" w:color="auto"/>
              <w:bottom w:val="single" w:sz="4" w:space="0" w:color="auto"/>
            </w:tcBorders>
          </w:tcPr>
          <w:p w14:paraId="05E6C14F"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A Classe Única é destinada a receber aplicações de investidores profissionais integrantes do segmento Private Banking do Santander, que conhecem, entendem e aceitam os termos e a necessidade da Estrutura </w:t>
            </w:r>
            <w:r w:rsidRPr="00F621C0">
              <w:rPr>
                <w:rFonts w:ascii="Arial" w:hAnsi="Arial" w:cs="Arial"/>
                <w:i/>
                <w:iCs/>
                <w:sz w:val="20"/>
                <w:szCs w:val="20"/>
              </w:rPr>
              <w:t>Side By Side</w:t>
            </w:r>
            <w:r w:rsidRPr="00F621C0">
              <w:rPr>
                <w:rFonts w:ascii="Arial" w:hAnsi="Arial" w:cs="Arial"/>
                <w:sz w:val="20"/>
                <w:szCs w:val="20"/>
              </w:rPr>
              <w:t xml:space="preserve"> e do Mecanismo de Aporte Automático, bem como os riscos descritos no Regulamento e neste Anexo, aos quais os investimentos da Classe Única estão expostos em razão do investimento preponderante no FIP Vinci.</w:t>
            </w:r>
          </w:p>
        </w:tc>
      </w:tr>
      <w:tr w:rsidR="00A97AF1" w:rsidRPr="00F621C0" w14:paraId="5B2CA458" w14:textId="77777777" w:rsidTr="0075351C">
        <w:tc>
          <w:tcPr>
            <w:tcW w:w="1382" w:type="pct"/>
            <w:tcBorders>
              <w:top w:val="single" w:sz="4" w:space="0" w:color="auto"/>
              <w:bottom w:val="single" w:sz="4" w:space="0" w:color="auto"/>
            </w:tcBorders>
            <w:vAlign w:val="center"/>
          </w:tcPr>
          <w:p w14:paraId="128F18C4" w14:textId="77777777" w:rsidR="00A97AF1" w:rsidRPr="00F621C0" w:rsidRDefault="00A97AF1" w:rsidP="0075351C">
            <w:pPr>
              <w:pStyle w:val="PargrafodaLista"/>
              <w:ind w:left="0"/>
              <w:rPr>
                <w:rFonts w:ascii="Arial" w:hAnsi="Arial" w:cs="Arial"/>
                <w:b/>
                <w:bCs/>
                <w:smallCaps/>
              </w:rPr>
            </w:pPr>
          </w:p>
        </w:tc>
        <w:tc>
          <w:tcPr>
            <w:tcW w:w="3618" w:type="pct"/>
            <w:gridSpan w:val="2"/>
            <w:tcBorders>
              <w:top w:val="single" w:sz="4" w:space="0" w:color="auto"/>
              <w:bottom w:val="single" w:sz="4" w:space="0" w:color="auto"/>
            </w:tcBorders>
          </w:tcPr>
          <w:p w14:paraId="16B5E55B" w14:textId="77777777" w:rsidR="00A97AF1" w:rsidRPr="00F621C0" w:rsidRDefault="00A97AF1" w:rsidP="0075351C">
            <w:pPr>
              <w:jc w:val="both"/>
              <w:rPr>
                <w:rFonts w:ascii="Arial" w:hAnsi="Arial" w:cs="Arial"/>
                <w:sz w:val="20"/>
                <w:szCs w:val="20"/>
              </w:rPr>
            </w:pPr>
          </w:p>
        </w:tc>
      </w:tr>
      <w:tr w:rsidR="00A97AF1" w:rsidRPr="00F621C0" w14:paraId="3DF9CF2D" w14:textId="77777777" w:rsidTr="0075351C">
        <w:tc>
          <w:tcPr>
            <w:tcW w:w="1382" w:type="pct"/>
            <w:tcBorders>
              <w:top w:val="single" w:sz="4" w:space="0" w:color="auto"/>
              <w:bottom w:val="single" w:sz="4" w:space="0" w:color="auto"/>
            </w:tcBorders>
            <w:vAlign w:val="center"/>
          </w:tcPr>
          <w:p w14:paraId="5AA9A2B7" w14:textId="77777777" w:rsidR="00A97AF1" w:rsidRPr="00F621C0" w:rsidRDefault="00A97AF1" w:rsidP="00A97AF1">
            <w:pPr>
              <w:pStyle w:val="PargrafodaLista"/>
              <w:numPr>
                <w:ilvl w:val="1"/>
                <w:numId w:val="5"/>
              </w:numPr>
              <w:ind w:left="0" w:firstLine="0"/>
              <w:jc w:val="center"/>
              <w:rPr>
                <w:rFonts w:ascii="Arial" w:hAnsi="Arial" w:cs="Arial"/>
                <w:b/>
                <w:bCs/>
                <w:smallCaps/>
              </w:rPr>
            </w:pPr>
            <w:r w:rsidRPr="00F621C0">
              <w:rPr>
                <w:rFonts w:ascii="Arial" w:hAnsi="Arial" w:cs="Arial"/>
                <w:b/>
                <w:bCs/>
                <w:smallCaps/>
              </w:rPr>
              <w:t>Responsabilidade dos Cotistas</w:t>
            </w:r>
          </w:p>
        </w:tc>
        <w:tc>
          <w:tcPr>
            <w:tcW w:w="3618" w:type="pct"/>
            <w:gridSpan w:val="2"/>
            <w:tcBorders>
              <w:top w:val="single" w:sz="4" w:space="0" w:color="auto"/>
              <w:bottom w:val="single" w:sz="4" w:space="0" w:color="auto"/>
            </w:tcBorders>
          </w:tcPr>
          <w:p w14:paraId="38D42770"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 responsabilidade dos Cotistas da Classe Única é limitada ao valor de suas Cotas subscritas. Desta forma, os Cotistas da Classe Única não poderão ser demandados a arcar com quaisquer obrigações assumidas pela Classe Única em valor superior ao por eles subscrito.</w:t>
            </w:r>
          </w:p>
        </w:tc>
      </w:tr>
      <w:tr w:rsidR="00A97AF1" w:rsidRPr="00F621C0" w14:paraId="37739BB3" w14:textId="77777777" w:rsidTr="0075351C">
        <w:tc>
          <w:tcPr>
            <w:tcW w:w="1382" w:type="pct"/>
            <w:tcBorders>
              <w:top w:val="single" w:sz="4" w:space="0" w:color="auto"/>
              <w:bottom w:val="single" w:sz="4" w:space="0" w:color="auto"/>
            </w:tcBorders>
            <w:vAlign w:val="center"/>
          </w:tcPr>
          <w:p w14:paraId="338DC2DF" w14:textId="77777777" w:rsidR="00A97AF1" w:rsidRPr="00F621C0" w:rsidRDefault="00A97AF1" w:rsidP="0075351C">
            <w:pPr>
              <w:pStyle w:val="PargrafodaLista"/>
              <w:ind w:left="0"/>
              <w:rPr>
                <w:rFonts w:ascii="Arial" w:hAnsi="Arial" w:cs="Arial"/>
                <w:b/>
                <w:bCs/>
                <w:smallCaps/>
              </w:rPr>
            </w:pPr>
          </w:p>
        </w:tc>
        <w:tc>
          <w:tcPr>
            <w:tcW w:w="3618" w:type="pct"/>
            <w:gridSpan w:val="2"/>
            <w:tcBorders>
              <w:top w:val="single" w:sz="4" w:space="0" w:color="auto"/>
              <w:bottom w:val="single" w:sz="4" w:space="0" w:color="auto"/>
            </w:tcBorders>
          </w:tcPr>
          <w:p w14:paraId="6079B076" w14:textId="77777777" w:rsidR="00A97AF1" w:rsidRPr="00F621C0" w:rsidRDefault="00A97AF1" w:rsidP="0075351C">
            <w:pPr>
              <w:jc w:val="both"/>
              <w:rPr>
                <w:rFonts w:ascii="Arial" w:hAnsi="Arial" w:cs="Arial"/>
                <w:sz w:val="20"/>
                <w:szCs w:val="20"/>
              </w:rPr>
            </w:pPr>
          </w:p>
        </w:tc>
      </w:tr>
      <w:tr w:rsidR="00A97AF1" w:rsidRPr="00F621C0" w14:paraId="1F214DD4" w14:textId="77777777" w:rsidTr="0075351C">
        <w:tc>
          <w:tcPr>
            <w:tcW w:w="1382" w:type="pct"/>
            <w:tcBorders>
              <w:top w:val="single" w:sz="4" w:space="0" w:color="auto"/>
              <w:bottom w:val="single" w:sz="4" w:space="0" w:color="auto"/>
            </w:tcBorders>
            <w:vAlign w:val="center"/>
          </w:tcPr>
          <w:p w14:paraId="6928ED07" w14:textId="77777777" w:rsidR="00A97AF1" w:rsidRPr="00F621C0" w:rsidRDefault="00A97AF1" w:rsidP="00A97AF1">
            <w:pPr>
              <w:pStyle w:val="PargrafodaLista"/>
              <w:numPr>
                <w:ilvl w:val="1"/>
                <w:numId w:val="5"/>
              </w:numPr>
              <w:ind w:left="0" w:firstLine="0"/>
              <w:jc w:val="center"/>
              <w:rPr>
                <w:rFonts w:ascii="Arial" w:hAnsi="Arial" w:cs="Arial"/>
                <w:b/>
                <w:bCs/>
                <w:smallCaps/>
              </w:rPr>
            </w:pPr>
            <w:r w:rsidRPr="00F621C0">
              <w:rPr>
                <w:rFonts w:ascii="Arial" w:hAnsi="Arial" w:cs="Arial"/>
                <w:b/>
                <w:bCs/>
                <w:smallCaps/>
              </w:rPr>
              <w:t>Regime Condominial</w:t>
            </w:r>
          </w:p>
        </w:tc>
        <w:tc>
          <w:tcPr>
            <w:tcW w:w="3618" w:type="pct"/>
            <w:gridSpan w:val="2"/>
            <w:tcBorders>
              <w:top w:val="single" w:sz="4" w:space="0" w:color="auto"/>
              <w:bottom w:val="single" w:sz="4" w:space="0" w:color="auto"/>
            </w:tcBorders>
          </w:tcPr>
          <w:p w14:paraId="621A1EED"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Fechado.</w:t>
            </w:r>
          </w:p>
        </w:tc>
      </w:tr>
      <w:tr w:rsidR="00A97AF1" w:rsidRPr="00F621C0" w14:paraId="61106A0D" w14:textId="77777777" w:rsidTr="0075351C">
        <w:tc>
          <w:tcPr>
            <w:tcW w:w="1382" w:type="pct"/>
            <w:tcBorders>
              <w:top w:val="single" w:sz="4" w:space="0" w:color="auto"/>
              <w:bottom w:val="single" w:sz="4" w:space="0" w:color="auto"/>
            </w:tcBorders>
            <w:vAlign w:val="center"/>
          </w:tcPr>
          <w:p w14:paraId="5BB38EC9" w14:textId="77777777" w:rsidR="00A97AF1" w:rsidRPr="00F621C0" w:rsidRDefault="00A97AF1" w:rsidP="0075351C">
            <w:pPr>
              <w:pStyle w:val="PargrafodaLista"/>
              <w:ind w:left="0"/>
              <w:rPr>
                <w:rFonts w:ascii="Arial" w:hAnsi="Arial" w:cs="Arial"/>
                <w:b/>
                <w:bCs/>
                <w:smallCaps/>
              </w:rPr>
            </w:pPr>
          </w:p>
        </w:tc>
        <w:tc>
          <w:tcPr>
            <w:tcW w:w="3618" w:type="pct"/>
            <w:gridSpan w:val="2"/>
            <w:tcBorders>
              <w:top w:val="single" w:sz="4" w:space="0" w:color="auto"/>
              <w:bottom w:val="single" w:sz="4" w:space="0" w:color="auto"/>
            </w:tcBorders>
          </w:tcPr>
          <w:p w14:paraId="1279ADE2" w14:textId="77777777" w:rsidR="00A97AF1" w:rsidRPr="00F621C0" w:rsidRDefault="00A97AF1" w:rsidP="0075351C">
            <w:pPr>
              <w:jc w:val="both"/>
              <w:rPr>
                <w:rFonts w:ascii="Arial" w:hAnsi="Arial" w:cs="Arial"/>
                <w:sz w:val="20"/>
                <w:szCs w:val="20"/>
              </w:rPr>
            </w:pPr>
          </w:p>
        </w:tc>
      </w:tr>
      <w:tr w:rsidR="00A97AF1" w:rsidRPr="00F621C0" w14:paraId="3FA8BF12" w14:textId="77777777" w:rsidTr="0075351C">
        <w:tc>
          <w:tcPr>
            <w:tcW w:w="1382" w:type="pct"/>
            <w:tcBorders>
              <w:top w:val="single" w:sz="4" w:space="0" w:color="auto"/>
              <w:bottom w:val="single" w:sz="4" w:space="0" w:color="auto"/>
            </w:tcBorders>
            <w:vAlign w:val="center"/>
          </w:tcPr>
          <w:p w14:paraId="4DC16258" w14:textId="77777777" w:rsidR="00A97AF1" w:rsidRPr="00F621C0" w:rsidRDefault="00A97AF1" w:rsidP="00A97AF1">
            <w:pPr>
              <w:pStyle w:val="PargrafodaLista"/>
              <w:numPr>
                <w:ilvl w:val="1"/>
                <w:numId w:val="5"/>
              </w:numPr>
              <w:ind w:left="0" w:firstLine="0"/>
              <w:jc w:val="center"/>
              <w:rPr>
                <w:rFonts w:ascii="Arial" w:hAnsi="Arial" w:cs="Arial"/>
                <w:b/>
                <w:bCs/>
                <w:smallCaps/>
              </w:rPr>
            </w:pPr>
            <w:r w:rsidRPr="00F621C0">
              <w:rPr>
                <w:rFonts w:ascii="Arial" w:hAnsi="Arial" w:cs="Arial"/>
                <w:b/>
                <w:bCs/>
                <w:smallCaps/>
                <w:color w:val="000000"/>
              </w:rPr>
              <w:t>Prazo de Duração</w:t>
            </w:r>
          </w:p>
        </w:tc>
        <w:tc>
          <w:tcPr>
            <w:tcW w:w="3618" w:type="pct"/>
            <w:gridSpan w:val="2"/>
            <w:tcBorders>
              <w:top w:val="single" w:sz="4" w:space="0" w:color="auto"/>
              <w:bottom w:val="single" w:sz="4" w:space="0" w:color="auto"/>
            </w:tcBorders>
          </w:tcPr>
          <w:p w14:paraId="0EE699D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De até 12 anos, contados a partir da Data de Início do Prazo, sendo admitida a sua liquidação a partir do 10º ano do seu Prazo de Duração, em caso de liquidação do FIP Vinci e do FIP Vinci Master, nos termos deste item 2.4. e do item 6.4 deste Anexo.</w:t>
            </w:r>
          </w:p>
        </w:tc>
      </w:tr>
      <w:tr w:rsidR="00A97AF1" w:rsidRPr="00F621C0" w14:paraId="6E586F9D" w14:textId="77777777" w:rsidTr="0075351C">
        <w:tc>
          <w:tcPr>
            <w:tcW w:w="1382" w:type="pct"/>
            <w:tcBorders>
              <w:top w:val="single" w:sz="4" w:space="0" w:color="auto"/>
              <w:bottom w:val="single" w:sz="4" w:space="0" w:color="auto"/>
            </w:tcBorders>
            <w:vAlign w:val="center"/>
          </w:tcPr>
          <w:p w14:paraId="47B6F9F1" w14:textId="77777777" w:rsidR="00A97AF1" w:rsidRPr="00F621C0" w:rsidRDefault="00A97AF1" w:rsidP="0075351C">
            <w:pPr>
              <w:pStyle w:val="PargrafodaLista"/>
              <w:ind w:left="0"/>
              <w:rPr>
                <w:rFonts w:ascii="Arial" w:hAnsi="Arial" w:cs="Arial"/>
                <w:b/>
                <w:bCs/>
                <w:smallCaps/>
              </w:rPr>
            </w:pPr>
          </w:p>
        </w:tc>
        <w:tc>
          <w:tcPr>
            <w:tcW w:w="3618" w:type="pct"/>
            <w:gridSpan w:val="2"/>
            <w:tcBorders>
              <w:top w:val="single" w:sz="4" w:space="0" w:color="auto"/>
              <w:bottom w:val="single" w:sz="4" w:space="0" w:color="auto"/>
            </w:tcBorders>
          </w:tcPr>
          <w:p w14:paraId="519F7BAD" w14:textId="77777777" w:rsidR="00A97AF1" w:rsidRPr="00F621C0" w:rsidRDefault="00A97AF1" w:rsidP="0075351C">
            <w:pPr>
              <w:jc w:val="both"/>
              <w:rPr>
                <w:rFonts w:ascii="Arial" w:hAnsi="Arial" w:cs="Arial"/>
                <w:sz w:val="20"/>
                <w:szCs w:val="20"/>
              </w:rPr>
            </w:pPr>
          </w:p>
        </w:tc>
      </w:tr>
      <w:tr w:rsidR="00A97AF1" w:rsidRPr="00F621C0" w14:paraId="0A444608" w14:textId="77777777" w:rsidTr="0075351C">
        <w:tc>
          <w:tcPr>
            <w:tcW w:w="5000" w:type="pct"/>
            <w:gridSpan w:val="3"/>
            <w:tcBorders>
              <w:top w:val="single" w:sz="4" w:space="0" w:color="auto"/>
              <w:bottom w:val="single" w:sz="4" w:space="0" w:color="auto"/>
            </w:tcBorders>
            <w:vAlign w:val="center"/>
          </w:tcPr>
          <w:p w14:paraId="51BEDD16"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2.4.1. O Prazo de Duração do Fundo foi estabelecido tendo-se em vista o prazo de duração do FIP Vinci e do FIP Vinci Master. Desta forma, alterações de prazo de duração do FIP Vinci e do FIP Vinci Master, por consequência, impactarão no Prazo de Duração do Fundo.</w:t>
            </w:r>
          </w:p>
          <w:p w14:paraId="223462FF" w14:textId="77777777" w:rsidR="00A97AF1" w:rsidRPr="00F621C0" w:rsidRDefault="00A97AF1" w:rsidP="0075351C">
            <w:pPr>
              <w:jc w:val="both"/>
              <w:rPr>
                <w:rFonts w:ascii="Arial" w:hAnsi="Arial" w:cs="Arial"/>
                <w:b/>
                <w:bCs/>
                <w:sz w:val="20"/>
                <w:szCs w:val="20"/>
              </w:rPr>
            </w:pPr>
          </w:p>
          <w:p w14:paraId="4EC6877C" w14:textId="77777777" w:rsidR="00A97AF1" w:rsidRPr="00F621C0" w:rsidRDefault="00A97AF1" w:rsidP="0075351C">
            <w:pPr>
              <w:jc w:val="both"/>
              <w:rPr>
                <w:rFonts w:ascii="Arial" w:hAnsi="Arial" w:cs="Arial"/>
                <w:b/>
                <w:bCs/>
                <w:sz w:val="20"/>
                <w:szCs w:val="20"/>
              </w:rPr>
            </w:pPr>
            <w:r w:rsidRPr="00F621C0">
              <w:rPr>
                <w:rFonts w:ascii="Arial" w:hAnsi="Arial" w:cs="Arial"/>
                <w:sz w:val="20"/>
                <w:szCs w:val="20"/>
              </w:rPr>
              <w:t xml:space="preserve">O prazo de duração do FIP Vinci Master é de 10 anos, contados de 30 de setembro de 2024, prorrogável por até 2 anos mediante deliberação de sua assembleia geral de cotistas. O prazo de duração do FIP Vinci é de 12 anos, contados da mesma data em que se inicia o prazo do FIP Vinci Master, pois contempla a possibilidade de aprovação das prorrogações de prazo do FIP Vinci Master. </w:t>
            </w:r>
          </w:p>
          <w:p w14:paraId="31487863" w14:textId="77777777" w:rsidR="00A97AF1" w:rsidRPr="00F621C0" w:rsidRDefault="00A97AF1" w:rsidP="0075351C">
            <w:pPr>
              <w:ind w:left="598"/>
              <w:jc w:val="both"/>
              <w:rPr>
                <w:rFonts w:ascii="Arial" w:hAnsi="Arial" w:cs="Arial"/>
                <w:b/>
                <w:bCs/>
                <w:sz w:val="20"/>
                <w:szCs w:val="20"/>
              </w:rPr>
            </w:pPr>
          </w:p>
          <w:p w14:paraId="443F4DB9"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O regulamento do FIP Vinci prevê situações alternativas de redução e prorrogação de prazo e liquidação do FIP Vinci, mediante decisão da assembleia geral de cotistas do FIP Vinci ou dos próprios prestadores de serviço essenciais do FIP Vinci. Em tais hipóteses, o Fundo poderá também ter sua liquidação antecipada ou prorrogada de forma incidental, em decorrência de tais acontecimentos no nível do FIP Vinci ou do FIP Vinci Master. O prazo efetivo do Fundo dependerá do efetivo prazo de duração do FIP Vinci Master e do FIP Vinci. </w:t>
            </w:r>
          </w:p>
          <w:p w14:paraId="4B95914A" w14:textId="77777777" w:rsidR="00A97AF1" w:rsidRPr="00F621C0" w:rsidRDefault="00A97AF1" w:rsidP="0075351C">
            <w:pPr>
              <w:jc w:val="both"/>
              <w:rPr>
                <w:rFonts w:ascii="Arial" w:hAnsi="Arial" w:cs="Arial"/>
                <w:sz w:val="20"/>
                <w:szCs w:val="20"/>
              </w:rPr>
            </w:pPr>
          </w:p>
          <w:p w14:paraId="43F3B0FA" w14:textId="77777777" w:rsidR="00A97AF1" w:rsidRPr="00F621C0" w:rsidRDefault="00A97AF1" w:rsidP="0075351C">
            <w:pPr>
              <w:jc w:val="both"/>
              <w:rPr>
                <w:rFonts w:ascii="Arial" w:hAnsi="Arial" w:cs="Arial"/>
                <w:b/>
                <w:bCs/>
                <w:sz w:val="20"/>
                <w:szCs w:val="20"/>
              </w:rPr>
            </w:pPr>
            <w:r w:rsidRPr="00F621C0">
              <w:rPr>
                <w:rFonts w:ascii="Arial" w:hAnsi="Arial" w:cs="Arial"/>
                <w:sz w:val="20"/>
                <w:szCs w:val="20"/>
              </w:rPr>
              <w:t>Todas as ações e decisões do Administrador e do Gestor em relação ao Prazo de Duração do Fundo previstas neste item 2.4 e seus sub-itens serão pautadas no melhor interesse dos Cotistas do Fundo e, quando tomadas, serão devidamente comunicadas aos Cotistas da Classe Única na forma do item 10.2 deste Anexo.</w:t>
            </w:r>
          </w:p>
          <w:p w14:paraId="76D952A4" w14:textId="77777777" w:rsidR="00A97AF1" w:rsidRPr="00F621C0" w:rsidRDefault="00A97AF1" w:rsidP="0075351C">
            <w:pPr>
              <w:jc w:val="both"/>
              <w:rPr>
                <w:rFonts w:ascii="Arial" w:hAnsi="Arial" w:cs="Arial"/>
                <w:sz w:val="20"/>
                <w:szCs w:val="20"/>
              </w:rPr>
            </w:pPr>
          </w:p>
        </w:tc>
      </w:tr>
      <w:tr w:rsidR="00A97AF1" w:rsidRPr="00F621C0" w14:paraId="31CB774F" w14:textId="77777777" w:rsidTr="0075351C">
        <w:tc>
          <w:tcPr>
            <w:tcW w:w="5000" w:type="pct"/>
            <w:gridSpan w:val="3"/>
            <w:tcBorders>
              <w:top w:val="single" w:sz="4" w:space="0" w:color="auto"/>
              <w:bottom w:val="single" w:sz="4" w:space="0" w:color="auto"/>
            </w:tcBorders>
            <w:vAlign w:val="center"/>
          </w:tcPr>
          <w:p w14:paraId="783F5C79" w14:textId="77777777" w:rsidR="00A97AF1" w:rsidRPr="00F621C0" w:rsidRDefault="00A97AF1" w:rsidP="0075351C">
            <w:pPr>
              <w:jc w:val="both"/>
              <w:rPr>
                <w:rFonts w:ascii="Arial" w:hAnsi="Arial" w:cs="Arial"/>
                <w:sz w:val="20"/>
                <w:szCs w:val="20"/>
              </w:rPr>
            </w:pPr>
          </w:p>
        </w:tc>
      </w:tr>
      <w:tr w:rsidR="00A97AF1" w:rsidRPr="00F621C0" w14:paraId="6E7E06EA" w14:textId="77777777" w:rsidTr="0075351C">
        <w:tc>
          <w:tcPr>
            <w:tcW w:w="5000" w:type="pct"/>
            <w:gridSpan w:val="3"/>
            <w:tcBorders>
              <w:top w:val="single" w:sz="4" w:space="0" w:color="auto"/>
              <w:bottom w:val="single" w:sz="4" w:space="0" w:color="auto"/>
            </w:tcBorders>
            <w:vAlign w:val="center"/>
          </w:tcPr>
          <w:p w14:paraId="65ACD429" w14:textId="77777777" w:rsidR="00A97AF1" w:rsidRPr="00F621C0" w:rsidRDefault="00A97AF1" w:rsidP="0075351C">
            <w:pPr>
              <w:jc w:val="both"/>
              <w:rPr>
                <w:rFonts w:ascii="Arial" w:eastAsia="Arial" w:hAnsi="Arial" w:cs="Arial"/>
                <w:b/>
                <w:bCs/>
                <w:sz w:val="20"/>
                <w:szCs w:val="20"/>
              </w:rPr>
            </w:pPr>
            <w:r w:rsidRPr="00F621C0">
              <w:rPr>
                <w:rFonts w:ascii="Arial" w:hAnsi="Arial" w:cs="Arial"/>
                <w:sz w:val="20"/>
                <w:szCs w:val="20"/>
              </w:rPr>
              <w:t>2.4.1.1. Cumpre destacar que a</w:t>
            </w:r>
            <w:r w:rsidRPr="00F621C0">
              <w:rPr>
                <w:rFonts w:ascii="Arial" w:eastAsia="Arial" w:hAnsi="Arial" w:cs="Arial"/>
                <w:sz w:val="20"/>
                <w:szCs w:val="20"/>
              </w:rPr>
              <w:t xml:space="preserve">o final do prazo de duração do FIP Vinci ou quando da liquidação antecipada da classe única do FIP Vinci, todas as cotas do FIP Vinci deverão ter seu valor amortizado apenas em espécie. </w:t>
            </w:r>
          </w:p>
          <w:p w14:paraId="32540728" w14:textId="77777777" w:rsidR="00A97AF1" w:rsidRPr="00F621C0" w:rsidRDefault="00A97AF1" w:rsidP="0075351C">
            <w:pPr>
              <w:ind w:left="1165"/>
              <w:jc w:val="both"/>
              <w:rPr>
                <w:rFonts w:ascii="Arial" w:eastAsia="Arial" w:hAnsi="Arial" w:cs="Arial"/>
                <w:b/>
                <w:bCs/>
                <w:sz w:val="20"/>
                <w:szCs w:val="20"/>
              </w:rPr>
            </w:pPr>
          </w:p>
          <w:p w14:paraId="5CA35056" w14:textId="77777777" w:rsidR="00A97AF1" w:rsidRPr="00F621C0" w:rsidRDefault="00A97AF1" w:rsidP="0075351C">
            <w:pPr>
              <w:jc w:val="both"/>
              <w:rPr>
                <w:rFonts w:ascii="Arial" w:eastAsia="Arial" w:hAnsi="Arial" w:cs="Arial"/>
                <w:b/>
                <w:bCs/>
                <w:sz w:val="20"/>
                <w:szCs w:val="20"/>
              </w:rPr>
            </w:pPr>
            <w:r w:rsidRPr="00F621C0">
              <w:rPr>
                <w:rFonts w:ascii="Arial" w:eastAsia="Arial" w:hAnsi="Arial" w:cs="Arial"/>
                <w:sz w:val="20"/>
                <w:szCs w:val="20"/>
              </w:rPr>
              <w:t xml:space="preserve">Ao final do prazo de duração do FIP Vinci, caso existam Direitos e Obrigações Sobreviventes, conforme definido no regulamento do FIP Vinci, o FIP Vinci permanecerá em funcionamento até que tais Direitos e Obrigações sobreviventes sejam extintos, situação em que o prazo de duração do FIP Vinci será estendido sem a necessidade de aprovação em assembleia geral de quotistas do FIP Vinci. Neste caso, o Fundo também permanecerá em funcionamento até que o FIP Vinci seja efetivamente liquidado, sem a necessidade de aprovação de prorrogação do Prazo de Duração do Fundo em Assembleia de Cotistas. </w:t>
            </w:r>
          </w:p>
          <w:p w14:paraId="004DE609" w14:textId="77777777" w:rsidR="00A97AF1" w:rsidRPr="00F621C0" w:rsidRDefault="00A97AF1" w:rsidP="0075351C">
            <w:pPr>
              <w:ind w:left="1165"/>
              <w:jc w:val="both"/>
              <w:rPr>
                <w:rFonts w:ascii="Arial" w:eastAsia="Arial" w:hAnsi="Arial" w:cs="Arial"/>
                <w:b/>
                <w:bCs/>
                <w:sz w:val="20"/>
                <w:szCs w:val="20"/>
              </w:rPr>
            </w:pPr>
          </w:p>
          <w:p w14:paraId="477EA53C" w14:textId="77777777" w:rsidR="00A97AF1" w:rsidRPr="00F621C0" w:rsidRDefault="00A97AF1" w:rsidP="0075351C">
            <w:pPr>
              <w:jc w:val="both"/>
              <w:rPr>
                <w:rFonts w:ascii="Arial" w:eastAsia="Arial" w:hAnsi="Arial" w:cs="Arial"/>
                <w:sz w:val="20"/>
                <w:szCs w:val="20"/>
              </w:rPr>
            </w:pPr>
            <w:r w:rsidRPr="00F621C0">
              <w:rPr>
                <w:rFonts w:ascii="Arial" w:eastAsia="Arial" w:hAnsi="Arial" w:cs="Arial"/>
                <w:sz w:val="20"/>
                <w:szCs w:val="20"/>
              </w:rPr>
              <w:t xml:space="preserve">Adicionalmente, o FIP Vinci prevê a possibilidade de liquidação do FIP Vinci com a entrega de ativos integrantes de sua carteira (a “Liquidação com Entrega de Ativos do FIP Vinci”), mediante deliberação da assembleia geral do FIP Vinci. No caso de convocação de assembleia geral de cotistas do FIP Vinci para deliberação de Liquidação com Entrega de Ativos do FIP Vinci, o Fundo convocará Assembleia Geral de Cotistas para que os Cotistas do Fundo deliberem sobre o assunto, e o Fundo votará na respectiva assembleia de Liquidação com Entrega de Ativos do FIP Vinci conforme a decisão da Assembleia de Cotistas do Fundo convocada para este fim, observados os quóruns aplicáveis. </w:t>
            </w:r>
          </w:p>
          <w:p w14:paraId="6095D0F4" w14:textId="77777777" w:rsidR="00A97AF1" w:rsidRPr="00F621C0" w:rsidRDefault="00A97AF1" w:rsidP="0075351C">
            <w:pPr>
              <w:jc w:val="both"/>
              <w:rPr>
                <w:rFonts w:ascii="Arial" w:hAnsi="Arial" w:cs="Arial"/>
                <w:sz w:val="20"/>
                <w:szCs w:val="20"/>
              </w:rPr>
            </w:pPr>
          </w:p>
        </w:tc>
      </w:tr>
      <w:tr w:rsidR="00A97AF1" w:rsidRPr="00F621C0" w14:paraId="6318B04C" w14:textId="77777777" w:rsidTr="0075351C">
        <w:tc>
          <w:tcPr>
            <w:tcW w:w="5000" w:type="pct"/>
            <w:gridSpan w:val="3"/>
            <w:tcBorders>
              <w:top w:val="single" w:sz="4" w:space="0" w:color="auto"/>
              <w:bottom w:val="single" w:sz="4" w:space="0" w:color="auto"/>
            </w:tcBorders>
            <w:vAlign w:val="center"/>
          </w:tcPr>
          <w:p w14:paraId="73DC3CE2" w14:textId="77777777" w:rsidR="00A97AF1" w:rsidRPr="00F621C0" w:rsidRDefault="00A97AF1" w:rsidP="0075351C">
            <w:pPr>
              <w:jc w:val="both"/>
              <w:rPr>
                <w:rFonts w:ascii="Arial" w:hAnsi="Arial" w:cs="Arial"/>
                <w:sz w:val="20"/>
                <w:szCs w:val="20"/>
              </w:rPr>
            </w:pPr>
          </w:p>
        </w:tc>
      </w:tr>
      <w:tr w:rsidR="00A97AF1" w:rsidRPr="00F621C0" w14:paraId="071EF93D" w14:textId="77777777" w:rsidTr="0075351C">
        <w:tc>
          <w:tcPr>
            <w:tcW w:w="1382" w:type="pct"/>
            <w:tcBorders>
              <w:top w:val="single" w:sz="4" w:space="0" w:color="auto"/>
              <w:bottom w:val="single" w:sz="4" w:space="0" w:color="auto"/>
            </w:tcBorders>
            <w:vAlign w:val="center"/>
          </w:tcPr>
          <w:p w14:paraId="453039BD" w14:textId="77777777" w:rsidR="00A97AF1" w:rsidRPr="00F621C0" w:rsidRDefault="00A97AF1" w:rsidP="00A97AF1">
            <w:pPr>
              <w:pStyle w:val="PargrafodaLista"/>
              <w:numPr>
                <w:ilvl w:val="1"/>
                <w:numId w:val="5"/>
              </w:numPr>
              <w:ind w:left="0" w:firstLine="0"/>
              <w:jc w:val="center"/>
              <w:rPr>
                <w:rFonts w:ascii="Arial" w:hAnsi="Arial" w:cs="Arial"/>
              </w:rPr>
            </w:pPr>
            <w:r w:rsidRPr="00F621C0">
              <w:rPr>
                <w:rFonts w:ascii="Arial" w:hAnsi="Arial" w:cs="Arial"/>
                <w:b/>
                <w:bCs/>
                <w:smallCaps/>
                <w:color w:val="000000"/>
              </w:rPr>
              <w:t>Subclasses</w:t>
            </w:r>
          </w:p>
        </w:tc>
        <w:tc>
          <w:tcPr>
            <w:tcW w:w="3618" w:type="pct"/>
            <w:gridSpan w:val="2"/>
            <w:tcBorders>
              <w:top w:val="single" w:sz="4" w:space="0" w:color="auto"/>
              <w:bottom w:val="single" w:sz="4" w:space="0" w:color="auto"/>
            </w:tcBorders>
            <w:vAlign w:val="center"/>
          </w:tcPr>
          <w:p w14:paraId="6623D13D"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 Classe Única não conta com Subclasses.</w:t>
            </w:r>
          </w:p>
        </w:tc>
      </w:tr>
    </w:tbl>
    <w:p w14:paraId="4A4C581A" w14:textId="77777777" w:rsidR="00A97AF1" w:rsidRPr="00F621C0" w:rsidRDefault="00A97AF1" w:rsidP="00F621C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
        <w:gridCol w:w="2957"/>
        <w:gridCol w:w="117"/>
        <w:gridCol w:w="117"/>
        <w:gridCol w:w="184"/>
        <w:gridCol w:w="779"/>
        <w:gridCol w:w="2925"/>
        <w:gridCol w:w="1177"/>
        <w:gridCol w:w="1490"/>
        <w:gridCol w:w="244"/>
      </w:tblGrid>
      <w:tr w:rsidR="00A97AF1" w:rsidRPr="00F621C0" w14:paraId="45035920" w14:textId="77777777" w:rsidTr="0075351C">
        <w:trPr>
          <w:jc w:val="center"/>
        </w:trPr>
        <w:tc>
          <w:tcPr>
            <w:tcW w:w="5000" w:type="pct"/>
            <w:gridSpan w:val="10"/>
            <w:tcBorders>
              <w:top w:val="nil"/>
              <w:left w:val="nil"/>
              <w:bottom w:val="single" w:sz="4" w:space="0" w:color="auto"/>
              <w:right w:val="nil"/>
            </w:tcBorders>
            <w:shd w:val="clear" w:color="auto" w:fill="C00000"/>
            <w:vAlign w:val="center"/>
          </w:tcPr>
          <w:p w14:paraId="6DDCA719" w14:textId="77777777" w:rsidR="00A97AF1" w:rsidRPr="00F621C0" w:rsidRDefault="00A97AF1" w:rsidP="00A97AF1">
            <w:pPr>
              <w:pStyle w:val="PargrafodaLista"/>
              <w:numPr>
                <w:ilvl w:val="0"/>
                <w:numId w:val="5"/>
              </w:numPr>
              <w:ind w:left="0" w:firstLine="0"/>
              <w:jc w:val="center"/>
              <w:rPr>
                <w:rFonts w:ascii="Arial" w:hAnsi="Arial" w:cs="Arial"/>
                <w:b/>
                <w:bCs/>
                <w:color w:val="FFFFFF" w:themeColor="background1"/>
              </w:rPr>
            </w:pPr>
            <w:bookmarkStart w:id="5" w:name="_Hlk129700376"/>
            <w:r w:rsidRPr="00F621C0">
              <w:rPr>
                <w:rFonts w:ascii="Arial" w:hAnsi="Arial" w:cs="Arial"/>
                <w:b/>
                <w:bCs/>
                <w:color w:val="FFFFFF" w:themeColor="background1"/>
              </w:rPr>
              <w:t>POLÍTICA DE INVESTIMENTOS</w:t>
            </w:r>
          </w:p>
        </w:tc>
      </w:tr>
      <w:tr w:rsidR="00A97AF1" w:rsidRPr="00F621C0" w14:paraId="49BB6C60" w14:textId="77777777" w:rsidTr="0075351C">
        <w:trPr>
          <w:jc w:val="center"/>
        </w:trPr>
        <w:tc>
          <w:tcPr>
            <w:tcW w:w="1632" w:type="pct"/>
            <w:gridSpan w:val="4"/>
            <w:tcBorders>
              <w:top w:val="nil"/>
              <w:left w:val="nil"/>
              <w:bottom w:val="single" w:sz="4" w:space="0" w:color="auto"/>
              <w:right w:val="nil"/>
            </w:tcBorders>
            <w:vAlign w:val="center"/>
          </w:tcPr>
          <w:p w14:paraId="2C7F01F5" w14:textId="77777777" w:rsidR="00A97AF1" w:rsidRPr="00F621C0" w:rsidRDefault="00A97AF1" w:rsidP="0075351C">
            <w:pPr>
              <w:jc w:val="center"/>
              <w:rPr>
                <w:rFonts w:ascii="Arial" w:hAnsi="Arial" w:cs="Arial"/>
                <w:b/>
                <w:bCs/>
                <w:sz w:val="20"/>
                <w:szCs w:val="20"/>
              </w:rPr>
            </w:pPr>
          </w:p>
        </w:tc>
        <w:tc>
          <w:tcPr>
            <w:tcW w:w="3368" w:type="pct"/>
            <w:gridSpan w:val="6"/>
            <w:tcBorders>
              <w:top w:val="nil"/>
              <w:left w:val="nil"/>
              <w:bottom w:val="single" w:sz="4" w:space="0" w:color="auto"/>
              <w:right w:val="nil"/>
            </w:tcBorders>
          </w:tcPr>
          <w:p w14:paraId="1F7AEBF9" w14:textId="77777777" w:rsidR="00A97AF1" w:rsidRPr="00F621C0" w:rsidRDefault="00A97AF1" w:rsidP="0075351C">
            <w:pPr>
              <w:rPr>
                <w:rFonts w:ascii="Arial" w:hAnsi="Arial" w:cs="Arial"/>
                <w:sz w:val="20"/>
                <w:szCs w:val="20"/>
              </w:rPr>
            </w:pPr>
          </w:p>
        </w:tc>
      </w:tr>
      <w:tr w:rsidR="00A97AF1" w:rsidRPr="00F621C0" w14:paraId="420F2F47" w14:textId="77777777" w:rsidTr="0075351C">
        <w:trPr>
          <w:jc w:val="center"/>
        </w:trPr>
        <w:tc>
          <w:tcPr>
            <w:tcW w:w="1574" w:type="pct"/>
            <w:gridSpan w:val="3"/>
            <w:tcBorders>
              <w:top w:val="single" w:sz="4" w:space="0" w:color="auto"/>
              <w:left w:val="nil"/>
              <w:bottom w:val="single" w:sz="4" w:space="0" w:color="auto"/>
              <w:right w:val="nil"/>
            </w:tcBorders>
            <w:vAlign w:val="center"/>
            <w:hideMark/>
          </w:tcPr>
          <w:p w14:paraId="36396C34" w14:textId="77777777" w:rsidR="00A97AF1" w:rsidRPr="00F621C0" w:rsidRDefault="00A97AF1" w:rsidP="00A97AF1">
            <w:pPr>
              <w:pStyle w:val="PargrafodaLista"/>
              <w:numPr>
                <w:ilvl w:val="1"/>
                <w:numId w:val="5"/>
              </w:numPr>
              <w:ind w:left="0" w:firstLine="0"/>
              <w:jc w:val="center"/>
              <w:rPr>
                <w:rFonts w:ascii="Arial" w:hAnsi="Arial" w:cs="Arial"/>
                <w:smallCaps/>
              </w:rPr>
            </w:pPr>
            <w:r w:rsidRPr="00F621C0">
              <w:rPr>
                <w:rFonts w:ascii="Arial" w:hAnsi="Arial" w:cs="Arial"/>
                <w:b/>
                <w:bCs/>
                <w:smallCaps/>
              </w:rPr>
              <w:t>Objetivo da Classe Única</w:t>
            </w:r>
          </w:p>
        </w:tc>
        <w:tc>
          <w:tcPr>
            <w:tcW w:w="3426" w:type="pct"/>
            <w:gridSpan w:val="7"/>
            <w:tcBorders>
              <w:top w:val="single" w:sz="4" w:space="0" w:color="auto"/>
              <w:left w:val="nil"/>
              <w:bottom w:val="single" w:sz="4" w:space="0" w:color="auto"/>
              <w:right w:val="nil"/>
            </w:tcBorders>
            <w:hideMark/>
          </w:tcPr>
          <w:p w14:paraId="53F8CBC0"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Investir no mínimo 95% do seu patrimônio líquido em cotas do FIP Vinci.</w:t>
            </w:r>
          </w:p>
          <w:p w14:paraId="0AAD5BD2" w14:textId="77777777" w:rsidR="00A97AF1" w:rsidRPr="00F621C0" w:rsidRDefault="00A97AF1" w:rsidP="0075351C">
            <w:pPr>
              <w:jc w:val="both"/>
              <w:rPr>
                <w:rFonts w:ascii="Arial" w:hAnsi="Arial" w:cs="Arial"/>
                <w:b/>
                <w:bCs/>
                <w:sz w:val="20"/>
                <w:szCs w:val="20"/>
              </w:rPr>
            </w:pPr>
          </w:p>
          <w:p w14:paraId="37A83D50"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 Fundo investirá na subclasse A1 de cotas do FIP Vinci, observadas, ainda, as demais regras previstas neste Anexo e nos documentos do FIP Vinci e FIP Vinci Master.</w:t>
            </w:r>
          </w:p>
          <w:p w14:paraId="4C44FE7A" w14:textId="77777777" w:rsidR="00A97AF1" w:rsidRPr="00F621C0" w:rsidRDefault="00A97AF1" w:rsidP="0075351C">
            <w:pPr>
              <w:jc w:val="both"/>
              <w:rPr>
                <w:rFonts w:ascii="Arial" w:hAnsi="Arial" w:cs="Arial"/>
                <w:sz w:val="20"/>
                <w:szCs w:val="20"/>
              </w:rPr>
            </w:pPr>
          </w:p>
          <w:p w14:paraId="0DE3750D"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A política de investimento do FIP Vinci Master busca expor seu patrimônio a empresas que atuem diretamente na implantação, ampliação, manutenção, recuperação, adequação ou modernização de empreendimentos em infraestrutura em um dos setores que adotem iniciativas sustentáveis fundadas em bases de economia circular e de baixo carbono e promovam medidas de transição energética, de redução das emissões de gases de efeito estufa (GEEs), e do uso eficiente dos recursos naturais, prioritariamente em setores de geração de energia elétrica a partir de fontes renováveis, água e saneamento, reciclagem, gestão de resíduos líquidos e sólidos e outros correlacionados que possuam um modelo de negócio que, no entendimento do gestor do FIP Vinci, seja capaz de mitigar os efeitos das mudanças climáticas e alinhar práticas socioambientais a um potencial de crescimento rentável, observadas, ainda, todas as demais regras previstas na regulamento do FIP Vinci Master.</w:t>
            </w:r>
          </w:p>
          <w:p w14:paraId="6A0E2852" w14:textId="77777777" w:rsidR="00A97AF1" w:rsidRPr="00F621C0" w:rsidRDefault="00A97AF1" w:rsidP="0075351C">
            <w:pPr>
              <w:jc w:val="both"/>
              <w:rPr>
                <w:rFonts w:ascii="Arial" w:hAnsi="Arial" w:cs="Arial"/>
                <w:sz w:val="20"/>
                <w:szCs w:val="20"/>
              </w:rPr>
            </w:pPr>
          </w:p>
          <w:p w14:paraId="3C2DBF43"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 objetivo de investimento do Fundo não constitui garantia ou promessa de rentabilidade pelo Administrador e pelo Gestor.</w:t>
            </w:r>
          </w:p>
        </w:tc>
      </w:tr>
      <w:tr w:rsidR="00A97AF1" w:rsidRPr="00F621C0" w14:paraId="46E79ED1" w14:textId="77777777" w:rsidTr="0075351C">
        <w:trPr>
          <w:jc w:val="center"/>
        </w:trPr>
        <w:tc>
          <w:tcPr>
            <w:tcW w:w="1574" w:type="pct"/>
            <w:gridSpan w:val="3"/>
            <w:tcBorders>
              <w:top w:val="single" w:sz="4" w:space="0" w:color="auto"/>
              <w:left w:val="nil"/>
              <w:bottom w:val="single" w:sz="4" w:space="0" w:color="auto"/>
              <w:right w:val="nil"/>
            </w:tcBorders>
            <w:vAlign w:val="center"/>
          </w:tcPr>
          <w:p w14:paraId="5B958AA3" w14:textId="77777777" w:rsidR="00A97AF1" w:rsidRPr="00F621C0" w:rsidRDefault="00A97AF1" w:rsidP="0075351C">
            <w:pPr>
              <w:jc w:val="center"/>
              <w:rPr>
                <w:rFonts w:ascii="Arial" w:hAnsi="Arial" w:cs="Arial"/>
                <w:b/>
                <w:bCs/>
                <w:smallCaps/>
                <w:sz w:val="20"/>
                <w:szCs w:val="20"/>
              </w:rPr>
            </w:pPr>
          </w:p>
        </w:tc>
        <w:tc>
          <w:tcPr>
            <w:tcW w:w="3426" w:type="pct"/>
            <w:gridSpan w:val="7"/>
            <w:tcBorders>
              <w:top w:val="single" w:sz="4" w:space="0" w:color="auto"/>
              <w:left w:val="nil"/>
              <w:bottom w:val="single" w:sz="4" w:space="0" w:color="auto"/>
              <w:right w:val="nil"/>
            </w:tcBorders>
          </w:tcPr>
          <w:p w14:paraId="12F472DF" w14:textId="77777777" w:rsidR="00A97AF1" w:rsidRPr="00F621C0" w:rsidRDefault="00A97AF1" w:rsidP="0075351C">
            <w:pPr>
              <w:jc w:val="both"/>
              <w:rPr>
                <w:rFonts w:ascii="Arial" w:hAnsi="Arial" w:cs="Arial"/>
                <w:sz w:val="20"/>
                <w:szCs w:val="20"/>
              </w:rPr>
            </w:pPr>
          </w:p>
        </w:tc>
      </w:tr>
      <w:tr w:rsidR="00A97AF1" w:rsidRPr="00F621C0" w14:paraId="2D2DF649" w14:textId="77777777" w:rsidTr="0075351C">
        <w:trPr>
          <w:jc w:val="center"/>
        </w:trPr>
        <w:tc>
          <w:tcPr>
            <w:tcW w:w="1574" w:type="pct"/>
            <w:gridSpan w:val="3"/>
            <w:tcBorders>
              <w:top w:val="single" w:sz="4" w:space="0" w:color="auto"/>
              <w:left w:val="nil"/>
              <w:bottom w:val="single" w:sz="4" w:space="0" w:color="auto"/>
              <w:right w:val="nil"/>
            </w:tcBorders>
            <w:vAlign w:val="center"/>
          </w:tcPr>
          <w:p w14:paraId="3EC48E8B" w14:textId="77777777" w:rsidR="00A97AF1" w:rsidRPr="00F621C0" w:rsidRDefault="00A97AF1" w:rsidP="0075351C">
            <w:pPr>
              <w:pStyle w:val="PargrafodaLista"/>
              <w:ind w:left="0"/>
              <w:rPr>
                <w:rFonts w:ascii="Arial" w:hAnsi="Arial" w:cs="Arial"/>
                <w:b/>
                <w:bCs/>
                <w:smallCaps/>
              </w:rPr>
            </w:pPr>
            <w:r w:rsidRPr="00F621C0">
              <w:rPr>
                <w:rFonts w:ascii="Arial" w:hAnsi="Arial" w:cs="Arial"/>
                <w:b/>
                <w:bCs/>
                <w:smallCaps/>
              </w:rPr>
              <w:t>3.1.1. Metodologia ESG</w:t>
            </w:r>
          </w:p>
        </w:tc>
        <w:tc>
          <w:tcPr>
            <w:tcW w:w="3426" w:type="pct"/>
            <w:gridSpan w:val="7"/>
            <w:tcBorders>
              <w:top w:val="single" w:sz="4" w:space="0" w:color="auto"/>
              <w:left w:val="nil"/>
              <w:bottom w:val="single" w:sz="4" w:space="0" w:color="auto"/>
              <w:right w:val="nil"/>
            </w:tcBorders>
          </w:tcPr>
          <w:p w14:paraId="159D4370"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Considerando as práticas socioambientais existentes ou que venham a existir no âmbito do FIP Vinci Master e das empresas que investe, a Classe Única, por sua vez, se enquadra como um fundo de investimento que atende aos critérios estabelecidos para fundos de Investimento Sustentável.</w:t>
            </w:r>
          </w:p>
          <w:p w14:paraId="4D30EA77" w14:textId="77777777" w:rsidR="00A97AF1" w:rsidRPr="00F621C0" w:rsidRDefault="00A97AF1" w:rsidP="0075351C">
            <w:pPr>
              <w:jc w:val="both"/>
              <w:rPr>
                <w:rFonts w:ascii="Arial" w:hAnsi="Arial" w:cs="Arial"/>
                <w:color w:val="000000"/>
                <w:sz w:val="20"/>
                <w:szCs w:val="20"/>
              </w:rPr>
            </w:pPr>
          </w:p>
          <w:p w14:paraId="689FBBB5" w14:textId="77777777" w:rsidR="00A97AF1" w:rsidRPr="00F621C0" w:rsidRDefault="00A97AF1" w:rsidP="0075351C">
            <w:pPr>
              <w:jc w:val="both"/>
              <w:rPr>
                <w:rFonts w:ascii="Arial" w:hAnsi="Arial" w:cs="Arial"/>
                <w:color w:val="000000"/>
                <w:sz w:val="20"/>
                <w:szCs w:val="20"/>
              </w:rPr>
            </w:pPr>
            <w:r w:rsidRPr="00F621C0">
              <w:rPr>
                <w:rFonts w:ascii="Arial" w:eastAsia="Arial" w:hAnsi="Arial" w:cs="Arial"/>
                <w:sz w:val="20"/>
                <w:szCs w:val="20"/>
              </w:rPr>
              <w:t xml:space="preserve">O regulamento do FIP Vinci Master prevê: </w:t>
            </w:r>
            <w:r w:rsidRPr="00F621C0">
              <w:rPr>
                <w:rFonts w:ascii="Arial" w:eastAsia="Arial" w:hAnsi="Arial" w:cs="Arial"/>
                <w:b/>
                <w:bCs/>
                <w:sz w:val="20"/>
                <w:szCs w:val="20"/>
              </w:rPr>
              <w:t>(i)</w:t>
            </w:r>
            <w:r w:rsidRPr="00F621C0">
              <w:rPr>
                <w:rFonts w:ascii="Arial" w:eastAsia="Arial" w:hAnsi="Arial" w:cs="Arial"/>
                <w:sz w:val="20"/>
                <w:szCs w:val="20"/>
              </w:rPr>
              <w:t xml:space="preserve">  os benefícios ambientais, sociais ou de governança esperados e como a política de investimento do FIP Vinci Master busca originá-los; </w:t>
            </w:r>
            <w:r w:rsidRPr="00F621C0">
              <w:rPr>
                <w:rFonts w:ascii="Arial" w:eastAsia="Arial" w:hAnsi="Arial" w:cs="Arial"/>
                <w:b/>
                <w:bCs/>
                <w:sz w:val="20"/>
                <w:szCs w:val="20"/>
              </w:rPr>
              <w:t>(ii)</w:t>
            </w:r>
            <w:r w:rsidRPr="00F621C0">
              <w:rPr>
                <w:rFonts w:ascii="Arial" w:eastAsia="Arial" w:hAnsi="Arial" w:cs="Arial"/>
                <w:sz w:val="20"/>
                <w:szCs w:val="20"/>
              </w:rPr>
              <w:t xml:space="preserve"> quais metodologias, princípios ou diretrizes são seguidas para a qualificação do fundo ou da classe, conforme sua denominação; </w:t>
            </w:r>
            <w:r w:rsidRPr="00F621C0">
              <w:rPr>
                <w:rFonts w:ascii="Arial" w:eastAsia="Arial" w:hAnsi="Arial" w:cs="Arial"/>
                <w:b/>
                <w:bCs/>
                <w:sz w:val="20"/>
                <w:szCs w:val="20"/>
              </w:rPr>
              <w:t>(iii)</w:t>
            </w:r>
            <w:r w:rsidRPr="00F621C0">
              <w:rPr>
                <w:rFonts w:ascii="Arial" w:eastAsia="Arial" w:hAnsi="Arial" w:cs="Arial"/>
                <w:sz w:val="20"/>
                <w:szCs w:val="20"/>
              </w:rPr>
              <w:t> especificação sobre a forma, o conteúdo e a periodicidade de divulgação de relatório sobre os resultados ambientais, sociais e de governança alcançados pela política de investimento do respectivo fundo no período, assim como a identificação do agente responsável pela elaboração do relatório. Dessa maneira, ao investir no FIP Vinci, que, por sua vez, investe no FIP Vinci Master, a Classe Única está aderente às Regras e Procedimentos Anbima como “Fundo Espelho IS”.</w:t>
            </w:r>
          </w:p>
          <w:p w14:paraId="52F0FED9" w14:textId="77777777" w:rsidR="00A97AF1" w:rsidRPr="00F621C0" w:rsidRDefault="00A97AF1" w:rsidP="0075351C">
            <w:pPr>
              <w:jc w:val="both"/>
              <w:rPr>
                <w:rFonts w:ascii="Arial" w:hAnsi="Arial" w:cs="Arial"/>
                <w:color w:val="000000"/>
                <w:sz w:val="20"/>
                <w:szCs w:val="20"/>
              </w:rPr>
            </w:pPr>
          </w:p>
          <w:p w14:paraId="026D9A7C"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 xml:space="preserve">Em relação aos objetivos do FIP Vinci Master acima descritos, o Gestor busca avaliar e monitorar a gestão do FIP Vinci Master, através de processos de análise proprietários e métodos quantitativos e qualitativos. </w:t>
            </w:r>
          </w:p>
          <w:p w14:paraId="41CC3DBF" w14:textId="77777777" w:rsidR="00A97AF1" w:rsidRPr="00F621C0" w:rsidRDefault="00A97AF1" w:rsidP="0075351C">
            <w:pPr>
              <w:jc w:val="both"/>
              <w:rPr>
                <w:rFonts w:ascii="Arial" w:hAnsi="Arial" w:cs="Arial"/>
                <w:color w:val="000000"/>
                <w:sz w:val="20"/>
                <w:szCs w:val="20"/>
              </w:rPr>
            </w:pPr>
          </w:p>
          <w:p w14:paraId="536992CB" w14:textId="77777777" w:rsidR="00A97AF1" w:rsidRPr="00F621C0" w:rsidRDefault="00A97AF1" w:rsidP="0075351C">
            <w:pPr>
              <w:jc w:val="both"/>
              <w:rPr>
                <w:rFonts w:ascii="Arial" w:hAnsi="Arial" w:cs="Arial"/>
                <w:sz w:val="20"/>
                <w:szCs w:val="20"/>
              </w:rPr>
            </w:pPr>
            <w:r w:rsidRPr="00F621C0">
              <w:rPr>
                <w:rFonts w:ascii="Arial" w:hAnsi="Arial" w:cs="Arial"/>
                <w:color w:val="000000"/>
                <w:sz w:val="20"/>
                <w:szCs w:val="20"/>
              </w:rPr>
              <w:t xml:space="preserve">Para consultar o Formulário de Metodologia ESG e a Política de Investimentos ESG do gestor do FIP Vinci Master, acesse </w:t>
            </w:r>
            <w:r w:rsidRPr="00F621C0">
              <w:rPr>
                <w:rFonts w:ascii="Arial" w:hAnsi="Arial" w:cs="Arial"/>
                <w:sz w:val="20"/>
                <w:szCs w:val="20"/>
              </w:rPr>
              <w:t>https://www.vincipartners.com/negocios/infraestrutura.</w:t>
            </w:r>
          </w:p>
          <w:p w14:paraId="14314E64" w14:textId="77777777" w:rsidR="00A97AF1" w:rsidRPr="00F621C0" w:rsidRDefault="00A97AF1" w:rsidP="0075351C">
            <w:pPr>
              <w:jc w:val="both"/>
              <w:rPr>
                <w:rFonts w:ascii="Arial" w:hAnsi="Arial" w:cs="Arial"/>
                <w:sz w:val="20"/>
                <w:szCs w:val="20"/>
              </w:rPr>
            </w:pPr>
          </w:p>
          <w:p w14:paraId="4299013C" w14:textId="77777777" w:rsidR="00A97AF1" w:rsidRPr="00F621C0" w:rsidRDefault="00A97AF1" w:rsidP="0075351C">
            <w:pPr>
              <w:jc w:val="both"/>
              <w:rPr>
                <w:rFonts w:ascii="Arial" w:hAnsi="Arial" w:cs="Arial"/>
                <w:sz w:val="20"/>
                <w:szCs w:val="20"/>
              </w:rPr>
            </w:pPr>
            <w:r w:rsidRPr="00F621C0">
              <w:rPr>
                <w:rFonts w:ascii="Arial" w:hAnsi="Arial" w:cs="Arial"/>
                <w:color w:val="000000"/>
                <w:sz w:val="20"/>
                <w:szCs w:val="20"/>
              </w:rPr>
              <w:t xml:space="preserve">O relatório de reporte ESG do Fundo será aquele do FIP Vinci Master, que estará disponível no seguinte link: </w:t>
            </w:r>
            <w:hyperlink r:id="rId14" w:history="1">
              <w:r w:rsidRPr="00F621C0">
                <w:rPr>
                  <w:rStyle w:val="Hyperlink"/>
                  <w:rFonts w:ascii="Arial" w:hAnsi="Arial" w:cs="Arial"/>
                  <w:sz w:val="20"/>
                </w:rPr>
                <w:t>https://www.vincipartners.com/negocios/infraestrutura</w:t>
              </w:r>
            </w:hyperlink>
            <w:r w:rsidRPr="00F621C0">
              <w:rPr>
                <w:rFonts w:ascii="Arial" w:hAnsi="Arial" w:cs="Arial"/>
                <w:sz w:val="20"/>
                <w:szCs w:val="20"/>
              </w:rPr>
              <w:t>.</w:t>
            </w:r>
          </w:p>
          <w:p w14:paraId="02D12967" w14:textId="77777777" w:rsidR="00A97AF1" w:rsidRPr="00F621C0" w:rsidRDefault="00A97AF1" w:rsidP="0075351C">
            <w:pPr>
              <w:jc w:val="both"/>
              <w:rPr>
                <w:rFonts w:ascii="Arial" w:hAnsi="Arial" w:cs="Arial"/>
                <w:sz w:val="20"/>
                <w:szCs w:val="20"/>
              </w:rPr>
            </w:pPr>
          </w:p>
        </w:tc>
      </w:tr>
      <w:tr w:rsidR="00A97AF1" w:rsidRPr="00F621C0" w14:paraId="00103340" w14:textId="77777777" w:rsidTr="0075351C">
        <w:trPr>
          <w:jc w:val="center"/>
        </w:trPr>
        <w:tc>
          <w:tcPr>
            <w:tcW w:w="1574" w:type="pct"/>
            <w:gridSpan w:val="3"/>
            <w:tcBorders>
              <w:top w:val="single" w:sz="4" w:space="0" w:color="auto"/>
              <w:left w:val="nil"/>
              <w:bottom w:val="single" w:sz="4" w:space="0" w:color="auto"/>
              <w:right w:val="nil"/>
            </w:tcBorders>
            <w:vAlign w:val="center"/>
          </w:tcPr>
          <w:p w14:paraId="574E2C42" w14:textId="77777777" w:rsidR="00A97AF1" w:rsidRPr="00F621C0" w:rsidRDefault="00A97AF1" w:rsidP="0075351C">
            <w:pPr>
              <w:pStyle w:val="PargrafodaLista"/>
              <w:ind w:left="0"/>
              <w:rPr>
                <w:rFonts w:ascii="Arial" w:hAnsi="Arial" w:cs="Arial"/>
                <w:b/>
                <w:bCs/>
                <w:smallCaps/>
              </w:rPr>
            </w:pPr>
            <w:r w:rsidRPr="00F621C0">
              <w:rPr>
                <w:rFonts w:ascii="Arial" w:hAnsi="Arial" w:cs="Arial"/>
                <w:b/>
                <w:bCs/>
                <w:smallCaps/>
              </w:rPr>
              <w:t>3.1.2. Utilização de Capital do FIP Vinci e do Fundo</w:t>
            </w:r>
          </w:p>
        </w:tc>
        <w:tc>
          <w:tcPr>
            <w:tcW w:w="3426" w:type="pct"/>
            <w:gridSpan w:val="7"/>
            <w:tcBorders>
              <w:top w:val="single" w:sz="4" w:space="0" w:color="auto"/>
              <w:left w:val="nil"/>
              <w:bottom w:val="single" w:sz="4" w:space="0" w:color="auto"/>
              <w:right w:val="nil"/>
            </w:tcBorders>
          </w:tcPr>
          <w:p w14:paraId="6D04B35F"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 FIP Vinci realizará seus investimentos durante seu respectivo período de investimentos, prazo no qual realizará chamadas de capital (o “</w:t>
            </w:r>
            <w:r w:rsidRPr="00F621C0">
              <w:rPr>
                <w:rFonts w:ascii="Arial" w:hAnsi="Arial" w:cs="Arial"/>
                <w:b/>
                <w:bCs/>
                <w:sz w:val="20"/>
                <w:szCs w:val="20"/>
              </w:rPr>
              <w:t>Período de Investimento do FIP Vinci</w:t>
            </w:r>
            <w:r w:rsidRPr="00F621C0">
              <w:rPr>
                <w:rFonts w:ascii="Arial" w:hAnsi="Arial" w:cs="Arial"/>
                <w:sz w:val="20"/>
                <w:szCs w:val="20"/>
              </w:rPr>
              <w:t>”). Tal prazo está devidamente descrito no seu regulamento, tendo sido iniciado em 31 de março de 2023 e com encerramento, a princípio, em 5 anos (o “</w:t>
            </w:r>
            <w:r w:rsidRPr="00F621C0">
              <w:rPr>
                <w:rFonts w:ascii="Arial" w:hAnsi="Arial" w:cs="Arial"/>
                <w:b/>
                <w:bCs/>
                <w:sz w:val="20"/>
                <w:szCs w:val="20"/>
              </w:rPr>
              <w:t>Prazo Original do Período de Investimento do FIP Vinci</w:t>
            </w:r>
            <w:r w:rsidRPr="00F621C0">
              <w:rPr>
                <w:rFonts w:ascii="Arial" w:hAnsi="Arial" w:cs="Arial"/>
                <w:sz w:val="20"/>
                <w:szCs w:val="20"/>
              </w:rPr>
              <w:t xml:space="preserve">”), podendo ser prorrogado ou antecipado nos cenários descritos no regulamento do FIP Vinci, situação que, caso ocorra, será devidamente informada aos Cotistas do Fundo nos termos do item 10.2 deste Anexo. </w:t>
            </w:r>
          </w:p>
          <w:p w14:paraId="686223B8" w14:textId="77777777" w:rsidR="00A97AF1" w:rsidRPr="00F621C0" w:rsidRDefault="00A97AF1" w:rsidP="0075351C">
            <w:pPr>
              <w:jc w:val="both"/>
              <w:rPr>
                <w:rFonts w:ascii="Arial" w:hAnsi="Arial" w:cs="Arial"/>
                <w:sz w:val="20"/>
                <w:szCs w:val="20"/>
              </w:rPr>
            </w:pPr>
          </w:p>
          <w:p w14:paraId="18012C61" w14:textId="77777777" w:rsidR="00A97AF1" w:rsidRPr="00F621C0" w:rsidRDefault="00A97AF1" w:rsidP="0075351C">
            <w:pPr>
              <w:jc w:val="both"/>
              <w:rPr>
                <w:rFonts w:ascii="Arial" w:hAnsi="Arial" w:cs="Arial"/>
                <w:color w:val="000000"/>
                <w:sz w:val="20"/>
                <w:szCs w:val="20"/>
              </w:rPr>
            </w:pPr>
            <w:r w:rsidRPr="00F621C0">
              <w:rPr>
                <w:rFonts w:ascii="Arial" w:hAnsi="Arial" w:cs="Arial"/>
                <w:sz w:val="20"/>
                <w:szCs w:val="20"/>
              </w:rPr>
              <w:t xml:space="preserve">O regulamento do FIP Vinci prevê situações excepcionais em que o FIP Vinci poderá chamar capital após o encerramento do Período de Investimentos do FIP Vinci. O Fundo poderá realizar chamadas de capital, seja para aporte no FIP Vinci ou para arcar com seus próprios custos e despesas, durante todo o seu Prazo de Duração. O saldo de Capital Comprometido dos Cotistas do Fundo permanecerá investido no Acesso FIRF durante todo o Prazo de Duração do Fundo ou até que seja integralmente chamado pelo Fundo. </w:t>
            </w:r>
          </w:p>
        </w:tc>
      </w:tr>
      <w:tr w:rsidR="00A97AF1" w:rsidRPr="00F621C0" w14:paraId="64DF7E07" w14:textId="77777777" w:rsidTr="0075351C">
        <w:trPr>
          <w:jc w:val="center"/>
        </w:trPr>
        <w:tc>
          <w:tcPr>
            <w:tcW w:w="1574" w:type="pct"/>
            <w:gridSpan w:val="3"/>
            <w:tcBorders>
              <w:top w:val="single" w:sz="4" w:space="0" w:color="auto"/>
              <w:left w:val="nil"/>
              <w:bottom w:val="single" w:sz="4" w:space="0" w:color="auto"/>
              <w:right w:val="nil"/>
            </w:tcBorders>
            <w:vAlign w:val="center"/>
          </w:tcPr>
          <w:p w14:paraId="088ABF99" w14:textId="77777777" w:rsidR="00A97AF1" w:rsidRPr="00F621C0" w:rsidRDefault="00A97AF1" w:rsidP="0075351C">
            <w:pPr>
              <w:jc w:val="center"/>
              <w:rPr>
                <w:rFonts w:ascii="Arial" w:hAnsi="Arial" w:cs="Arial"/>
                <w:b/>
                <w:bCs/>
                <w:smallCaps/>
                <w:sz w:val="20"/>
                <w:szCs w:val="20"/>
              </w:rPr>
            </w:pPr>
          </w:p>
        </w:tc>
        <w:tc>
          <w:tcPr>
            <w:tcW w:w="3426" w:type="pct"/>
            <w:gridSpan w:val="7"/>
            <w:tcBorders>
              <w:top w:val="single" w:sz="4" w:space="0" w:color="auto"/>
              <w:left w:val="nil"/>
              <w:bottom w:val="single" w:sz="4" w:space="0" w:color="auto"/>
              <w:right w:val="nil"/>
            </w:tcBorders>
          </w:tcPr>
          <w:p w14:paraId="4DE4FD8A" w14:textId="77777777" w:rsidR="00A97AF1" w:rsidRPr="00F621C0" w:rsidRDefault="00A97AF1" w:rsidP="0075351C">
            <w:pPr>
              <w:jc w:val="both"/>
              <w:rPr>
                <w:rFonts w:ascii="Arial" w:hAnsi="Arial" w:cs="Arial"/>
                <w:sz w:val="20"/>
                <w:szCs w:val="20"/>
              </w:rPr>
            </w:pPr>
          </w:p>
        </w:tc>
      </w:tr>
      <w:tr w:rsidR="00A97AF1" w:rsidRPr="00F621C0" w14:paraId="6B27F578" w14:textId="77777777" w:rsidTr="0075351C">
        <w:trPr>
          <w:jc w:val="center"/>
        </w:trPr>
        <w:tc>
          <w:tcPr>
            <w:tcW w:w="1574" w:type="pct"/>
            <w:gridSpan w:val="3"/>
            <w:vMerge w:val="restart"/>
            <w:tcBorders>
              <w:top w:val="single" w:sz="4" w:space="0" w:color="auto"/>
              <w:left w:val="nil"/>
              <w:right w:val="single" w:sz="4" w:space="0" w:color="auto"/>
            </w:tcBorders>
            <w:vAlign w:val="center"/>
          </w:tcPr>
          <w:p w14:paraId="6CF2B393" w14:textId="77777777" w:rsidR="00A97AF1" w:rsidRPr="00F621C0" w:rsidRDefault="00A97AF1" w:rsidP="0075351C">
            <w:pPr>
              <w:jc w:val="center"/>
              <w:rPr>
                <w:rFonts w:ascii="Arial" w:hAnsi="Arial" w:cs="Arial"/>
                <w:b/>
                <w:bCs/>
                <w:smallCaps/>
                <w:sz w:val="20"/>
                <w:szCs w:val="20"/>
              </w:rPr>
            </w:pPr>
            <w:r w:rsidRPr="00F621C0">
              <w:rPr>
                <w:rFonts w:ascii="Arial" w:hAnsi="Arial" w:cs="Arial"/>
                <w:b/>
                <w:bCs/>
                <w:smallCaps/>
                <w:sz w:val="20"/>
                <w:szCs w:val="20"/>
              </w:rPr>
              <w:t xml:space="preserve">3.2 Composição da Carteira da Classe Única (“Carteira”)  </w:t>
            </w:r>
          </w:p>
        </w:tc>
        <w:tc>
          <w:tcPr>
            <w:tcW w:w="342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5DFF0DC"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Percentual do Patrimônio Líquido</w:t>
            </w:r>
          </w:p>
        </w:tc>
      </w:tr>
      <w:tr w:rsidR="00A97AF1" w:rsidRPr="00F621C0" w14:paraId="3B99D80B" w14:textId="77777777" w:rsidTr="0075351C">
        <w:trPr>
          <w:jc w:val="center"/>
        </w:trPr>
        <w:tc>
          <w:tcPr>
            <w:tcW w:w="1574" w:type="pct"/>
            <w:gridSpan w:val="3"/>
            <w:vMerge/>
            <w:tcBorders>
              <w:left w:val="nil"/>
              <w:right w:val="single" w:sz="4" w:space="0" w:color="auto"/>
            </w:tcBorders>
            <w:vAlign w:val="center"/>
          </w:tcPr>
          <w:p w14:paraId="7700FCB8" w14:textId="77777777" w:rsidR="00A97AF1" w:rsidRPr="00F621C0" w:rsidRDefault="00A97AF1" w:rsidP="0075351C">
            <w:pPr>
              <w:jc w:val="center"/>
              <w:rPr>
                <w:rFonts w:ascii="Arial" w:hAnsi="Arial" w:cs="Arial"/>
                <w:b/>
                <w:bCs/>
                <w:smallCaps/>
                <w:sz w:val="20"/>
                <w:szCs w:val="20"/>
              </w:rPr>
            </w:pPr>
          </w:p>
        </w:tc>
        <w:tc>
          <w:tcPr>
            <w:tcW w:w="1984"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BEC100F" w14:textId="77777777" w:rsidR="00A97AF1" w:rsidRPr="00F621C0" w:rsidRDefault="00A97AF1" w:rsidP="0075351C">
            <w:pPr>
              <w:jc w:val="both"/>
              <w:rPr>
                <w:rFonts w:ascii="Arial" w:hAnsi="Arial" w:cs="Arial"/>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A30FAF9"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Mínimo</w:t>
            </w:r>
          </w:p>
        </w:tc>
        <w:tc>
          <w:tcPr>
            <w:tcW w:w="8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18EF1C"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Máximo</w:t>
            </w:r>
          </w:p>
        </w:tc>
      </w:tr>
      <w:tr w:rsidR="00A97AF1" w:rsidRPr="00F621C0" w14:paraId="147950A3" w14:textId="77777777" w:rsidTr="0075351C">
        <w:trPr>
          <w:jc w:val="center"/>
        </w:trPr>
        <w:tc>
          <w:tcPr>
            <w:tcW w:w="1574" w:type="pct"/>
            <w:gridSpan w:val="3"/>
            <w:vMerge/>
            <w:tcBorders>
              <w:left w:val="nil"/>
              <w:right w:val="single" w:sz="4" w:space="0" w:color="auto"/>
            </w:tcBorders>
            <w:vAlign w:val="center"/>
          </w:tcPr>
          <w:p w14:paraId="1801F3CB" w14:textId="77777777" w:rsidR="00A97AF1" w:rsidRPr="00F621C0" w:rsidRDefault="00A97AF1" w:rsidP="0075351C">
            <w:pPr>
              <w:jc w:val="center"/>
              <w:rPr>
                <w:rFonts w:ascii="Arial" w:hAnsi="Arial" w:cs="Arial"/>
                <w:b/>
                <w:bCs/>
                <w:smallCaps/>
                <w:sz w:val="20"/>
                <w:szCs w:val="20"/>
              </w:rPr>
            </w:pPr>
          </w:p>
        </w:tc>
        <w:tc>
          <w:tcPr>
            <w:tcW w:w="1984" w:type="pct"/>
            <w:gridSpan w:val="4"/>
            <w:tcBorders>
              <w:top w:val="single" w:sz="4" w:space="0" w:color="auto"/>
              <w:left w:val="single" w:sz="4" w:space="0" w:color="auto"/>
              <w:bottom w:val="single" w:sz="4" w:space="0" w:color="auto"/>
              <w:right w:val="single" w:sz="4" w:space="0" w:color="auto"/>
            </w:tcBorders>
          </w:tcPr>
          <w:p w14:paraId="1DF26566" w14:textId="77777777" w:rsidR="00A97AF1" w:rsidRPr="00F621C0" w:rsidRDefault="00A97AF1" w:rsidP="0075351C">
            <w:pPr>
              <w:jc w:val="both"/>
              <w:rPr>
                <w:rFonts w:ascii="Arial" w:hAnsi="Arial" w:cs="Arial"/>
                <w:sz w:val="20"/>
                <w:szCs w:val="20"/>
              </w:rPr>
            </w:pPr>
            <w:r w:rsidRPr="00F621C0">
              <w:rPr>
                <w:rFonts w:ascii="Arial" w:hAnsi="Arial" w:cs="Arial"/>
                <w:color w:val="000000"/>
                <w:sz w:val="20"/>
                <w:szCs w:val="20"/>
              </w:rPr>
              <w:t>C</w:t>
            </w:r>
            <w:r w:rsidRPr="00F621C0">
              <w:rPr>
                <w:rFonts w:ascii="Arial" w:hAnsi="Arial" w:cs="Arial"/>
                <w:sz w:val="20"/>
                <w:szCs w:val="20"/>
              </w:rPr>
              <w:t>otas do FIP Vinci</w:t>
            </w:r>
          </w:p>
        </w:tc>
        <w:tc>
          <w:tcPr>
            <w:tcW w:w="582" w:type="pct"/>
            <w:tcBorders>
              <w:top w:val="single" w:sz="4" w:space="0" w:color="auto"/>
              <w:left w:val="single" w:sz="4" w:space="0" w:color="auto"/>
              <w:bottom w:val="single" w:sz="4" w:space="0" w:color="auto"/>
              <w:right w:val="single" w:sz="4" w:space="0" w:color="auto"/>
            </w:tcBorders>
            <w:vAlign w:val="center"/>
          </w:tcPr>
          <w:p w14:paraId="7728CBCC"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95%</w:t>
            </w: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731F57D4"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100%</w:t>
            </w:r>
          </w:p>
        </w:tc>
      </w:tr>
      <w:tr w:rsidR="00A97AF1" w:rsidRPr="00F621C0" w14:paraId="45FDA3AD" w14:textId="77777777" w:rsidTr="0075351C">
        <w:trPr>
          <w:jc w:val="center"/>
        </w:trPr>
        <w:tc>
          <w:tcPr>
            <w:tcW w:w="1574" w:type="pct"/>
            <w:gridSpan w:val="3"/>
            <w:vMerge/>
            <w:tcBorders>
              <w:left w:val="nil"/>
              <w:right w:val="single" w:sz="4" w:space="0" w:color="auto"/>
            </w:tcBorders>
            <w:vAlign w:val="center"/>
          </w:tcPr>
          <w:p w14:paraId="0D1730FE" w14:textId="77777777" w:rsidR="00A97AF1" w:rsidRPr="00F621C0" w:rsidRDefault="00A97AF1" w:rsidP="0075351C">
            <w:pPr>
              <w:jc w:val="center"/>
              <w:rPr>
                <w:rFonts w:ascii="Arial" w:hAnsi="Arial" w:cs="Arial"/>
                <w:b/>
                <w:bCs/>
                <w:smallCaps/>
                <w:sz w:val="20"/>
                <w:szCs w:val="20"/>
              </w:rPr>
            </w:pPr>
          </w:p>
        </w:tc>
        <w:tc>
          <w:tcPr>
            <w:tcW w:w="1984" w:type="pct"/>
            <w:gridSpan w:val="4"/>
            <w:tcBorders>
              <w:top w:val="single" w:sz="4" w:space="0" w:color="auto"/>
              <w:left w:val="single" w:sz="4" w:space="0" w:color="auto"/>
              <w:bottom w:val="single" w:sz="4" w:space="0" w:color="auto"/>
              <w:right w:val="single" w:sz="4" w:space="0" w:color="auto"/>
            </w:tcBorders>
          </w:tcPr>
          <w:p w14:paraId="4DBF4774"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Títulos públicos federais</w:t>
            </w:r>
          </w:p>
        </w:tc>
        <w:tc>
          <w:tcPr>
            <w:tcW w:w="582" w:type="pct"/>
            <w:vMerge w:val="restart"/>
            <w:tcBorders>
              <w:top w:val="single" w:sz="4" w:space="0" w:color="auto"/>
              <w:left w:val="single" w:sz="4" w:space="0" w:color="auto"/>
              <w:bottom w:val="single" w:sz="4" w:space="0" w:color="auto"/>
              <w:right w:val="single" w:sz="4" w:space="0" w:color="auto"/>
            </w:tcBorders>
            <w:vAlign w:val="center"/>
          </w:tcPr>
          <w:p w14:paraId="3E251C69"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0%</w:t>
            </w:r>
          </w:p>
        </w:tc>
        <w:tc>
          <w:tcPr>
            <w:tcW w:w="859" w:type="pct"/>
            <w:gridSpan w:val="2"/>
            <w:vMerge w:val="restart"/>
            <w:tcBorders>
              <w:top w:val="single" w:sz="4" w:space="0" w:color="auto"/>
              <w:left w:val="single" w:sz="4" w:space="0" w:color="auto"/>
              <w:bottom w:val="single" w:sz="4" w:space="0" w:color="auto"/>
              <w:right w:val="single" w:sz="4" w:space="0" w:color="auto"/>
            </w:tcBorders>
            <w:vAlign w:val="center"/>
          </w:tcPr>
          <w:p w14:paraId="30BFB7DF"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5%</w:t>
            </w:r>
          </w:p>
        </w:tc>
      </w:tr>
      <w:tr w:rsidR="00A97AF1" w:rsidRPr="00F621C0" w14:paraId="6C246513" w14:textId="77777777" w:rsidTr="0075351C">
        <w:trPr>
          <w:jc w:val="center"/>
        </w:trPr>
        <w:tc>
          <w:tcPr>
            <w:tcW w:w="1574" w:type="pct"/>
            <w:gridSpan w:val="3"/>
            <w:vMerge/>
            <w:tcBorders>
              <w:left w:val="nil"/>
              <w:right w:val="single" w:sz="4" w:space="0" w:color="auto"/>
            </w:tcBorders>
            <w:vAlign w:val="center"/>
          </w:tcPr>
          <w:p w14:paraId="2E7D107F" w14:textId="77777777" w:rsidR="00A97AF1" w:rsidRPr="00F621C0" w:rsidRDefault="00A97AF1" w:rsidP="0075351C">
            <w:pPr>
              <w:jc w:val="center"/>
              <w:rPr>
                <w:rFonts w:ascii="Arial" w:hAnsi="Arial" w:cs="Arial"/>
                <w:b/>
                <w:bCs/>
                <w:smallCaps/>
                <w:sz w:val="20"/>
                <w:szCs w:val="20"/>
              </w:rPr>
            </w:pPr>
          </w:p>
        </w:tc>
        <w:tc>
          <w:tcPr>
            <w:tcW w:w="1984" w:type="pct"/>
            <w:gridSpan w:val="4"/>
            <w:tcBorders>
              <w:top w:val="single" w:sz="4" w:space="0" w:color="auto"/>
              <w:left w:val="single" w:sz="4" w:space="0" w:color="auto"/>
              <w:bottom w:val="single" w:sz="4" w:space="0" w:color="auto"/>
              <w:right w:val="single" w:sz="4" w:space="0" w:color="auto"/>
            </w:tcBorders>
          </w:tcPr>
          <w:p w14:paraId="0EEE9A27"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Cotas de classes de fundos de investimento financeiro (“FIF”) ou de classes de fundos de investimento em cotas de FIF (“FIC-FIF”) (“Classe Investida”)</w:t>
            </w:r>
          </w:p>
        </w:tc>
        <w:tc>
          <w:tcPr>
            <w:tcW w:w="582" w:type="pct"/>
            <w:vMerge/>
            <w:tcBorders>
              <w:top w:val="single" w:sz="4" w:space="0" w:color="auto"/>
              <w:left w:val="single" w:sz="4" w:space="0" w:color="auto"/>
              <w:bottom w:val="single" w:sz="4" w:space="0" w:color="auto"/>
              <w:right w:val="single" w:sz="4" w:space="0" w:color="auto"/>
            </w:tcBorders>
            <w:vAlign w:val="center"/>
          </w:tcPr>
          <w:p w14:paraId="729C7E9D" w14:textId="77777777" w:rsidR="00A97AF1" w:rsidRPr="00F621C0" w:rsidRDefault="00A97AF1" w:rsidP="0075351C">
            <w:pPr>
              <w:jc w:val="both"/>
              <w:rPr>
                <w:rFonts w:ascii="Arial" w:hAnsi="Arial" w:cs="Arial"/>
                <w:sz w:val="20"/>
                <w:szCs w:val="20"/>
              </w:rPr>
            </w:pPr>
          </w:p>
        </w:tc>
        <w:tc>
          <w:tcPr>
            <w:tcW w:w="859" w:type="pct"/>
            <w:gridSpan w:val="2"/>
            <w:vMerge/>
            <w:tcBorders>
              <w:top w:val="single" w:sz="4" w:space="0" w:color="auto"/>
              <w:left w:val="single" w:sz="4" w:space="0" w:color="auto"/>
              <w:bottom w:val="single" w:sz="4" w:space="0" w:color="auto"/>
              <w:right w:val="single" w:sz="4" w:space="0" w:color="auto"/>
            </w:tcBorders>
            <w:vAlign w:val="center"/>
          </w:tcPr>
          <w:p w14:paraId="78B252EE" w14:textId="77777777" w:rsidR="00A97AF1" w:rsidRPr="00F621C0" w:rsidRDefault="00A97AF1" w:rsidP="0075351C">
            <w:pPr>
              <w:jc w:val="both"/>
              <w:rPr>
                <w:rFonts w:ascii="Arial" w:hAnsi="Arial" w:cs="Arial"/>
                <w:sz w:val="20"/>
                <w:szCs w:val="20"/>
              </w:rPr>
            </w:pPr>
          </w:p>
        </w:tc>
      </w:tr>
      <w:tr w:rsidR="00A97AF1" w:rsidRPr="00F621C0" w14:paraId="4E6E7281" w14:textId="77777777" w:rsidTr="0075351C">
        <w:trPr>
          <w:jc w:val="center"/>
        </w:trPr>
        <w:tc>
          <w:tcPr>
            <w:tcW w:w="1574" w:type="pct"/>
            <w:gridSpan w:val="3"/>
            <w:vMerge/>
            <w:tcBorders>
              <w:left w:val="nil"/>
              <w:bottom w:val="single" w:sz="4" w:space="0" w:color="auto"/>
              <w:right w:val="single" w:sz="4" w:space="0" w:color="auto"/>
            </w:tcBorders>
            <w:vAlign w:val="center"/>
          </w:tcPr>
          <w:p w14:paraId="4B468A67" w14:textId="77777777" w:rsidR="00A97AF1" w:rsidRPr="00F621C0" w:rsidRDefault="00A97AF1" w:rsidP="0075351C">
            <w:pPr>
              <w:pStyle w:val="PargrafodaLista"/>
              <w:ind w:left="0"/>
              <w:rPr>
                <w:rFonts w:ascii="Arial" w:hAnsi="Arial" w:cs="Arial"/>
                <w:b/>
                <w:bCs/>
                <w:smallCaps/>
              </w:rPr>
            </w:pPr>
          </w:p>
        </w:tc>
        <w:tc>
          <w:tcPr>
            <w:tcW w:w="3426" w:type="pct"/>
            <w:gridSpan w:val="7"/>
            <w:tcBorders>
              <w:top w:val="single" w:sz="4" w:space="0" w:color="auto"/>
              <w:left w:val="single" w:sz="4" w:space="0" w:color="auto"/>
              <w:bottom w:val="single" w:sz="4" w:space="0" w:color="auto"/>
              <w:right w:val="single" w:sz="4" w:space="0" w:color="auto"/>
            </w:tcBorders>
          </w:tcPr>
          <w:p w14:paraId="6C387F09" w14:textId="77777777" w:rsidR="00A97AF1" w:rsidRPr="00F621C0" w:rsidRDefault="00A97AF1" w:rsidP="0075351C">
            <w:pPr>
              <w:jc w:val="both"/>
              <w:rPr>
                <w:rFonts w:ascii="Arial" w:hAnsi="Arial" w:cs="Arial"/>
                <w:b/>
                <w:bCs/>
                <w:sz w:val="20"/>
                <w:szCs w:val="20"/>
              </w:rPr>
            </w:pPr>
            <w:r w:rsidRPr="00F621C0">
              <w:rPr>
                <w:rFonts w:ascii="Arial" w:hAnsi="Arial" w:cs="Arial"/>
                <w:color w:val="000000"/>
                <w:sz w:val="20"/>
                <w:szCs w:val="20"/>
              </w:rPr>
              <w:t>Cada Classe Investida observará os limites por emissor e por modalidade de ativo previstos na regulamentação aplicável.</w:t>
            </w:r>
          </w:p>
        </w:tc>
      </w:tr>
      <w:tr w:rsidR="00A97AF1" w:rsidRPr="00F621C0" w14:paraId="19365AEE" w14:textId="77777777" w:rsidTr="0075351C">
        <w:trPr>
          <w:jc w:val="center"/>
        </w:trPr>
        <w:tc>
          <w:tcPr>
            <w:tcW w:w="1574" w:type="pct"/>
            <w:gridSpan w:val="3"/>
            <w:tcBorders>
              <w:top w:val="single" w:sz="4" w:space="0" w:color="auto"/>
              <w:left w:val="nil"/>
              <w:bottom w:val="single" w:sz="4" w:space="0" w:color="auto"/>
              <w:right w:val="nil"/>
            </w:tcBorders>
            <w:vAlign w:val="center"/>
          </w:tcPr>
          <w:p w14:paraId="7E2BB0FA" w14:textId="77777777" w:rsidR="00A97AF1" w:rsidRPr="00F621C0" w:rsidRDefault="00A97AF1" w:rsidP="0075351C">
            <w:pPr>
              <w:jc w:val="center"/>
              <w:rPr>
                <w:rFonts w:ascii="Arial" w:hAnsi="Arial" w:cs="Arial"/>
                <w:b/>
                <w:bCs/>
                <w:smallCaps/>
                <w:sz w:val="20"/>
                <w:szCs w:val="20"/>
              </w:rPr>
            </w:pPr>
          </w:p>
        </w:tc>
        <w:tc>
          <w:tcPr>
            <w:tcW w:w="3426" w:type="pct"/>
            <w:gridSpan w:val="7"/>
            <w:tcBorders>
              <w:top w:val="single" w:sz="4" w:space="0" w:color="auto"/>
              <w:left w:val="nil"/>
              <w:bottom w:val="single" w:sz="4" w:space="0" w:color="auto"/>
              <w:right w:val="nil"/>
            </w:tcBorders>
          </w:tcPr>
          <w:p w14:paraId="6D315929" w14:textId="77777777" w:rsidR="00A97AF1" w:rsidRPr="00F621C0" w:rsidRDefault="00A97AF1" w:rsidP="0075351C">
            <w:pPr>
              <w:jc w:val="both"/>
              <w:rPr>
                <w:rFonts w:ascii="Arial" w:hAnsi="Arial" w:cs="Arial"/>
                <w:sz w:val="20"/>
                <w:szCs w:val="20"/>
              </w:rPr>
            </w:pPr>
          </w:p>
        </w:tc>
      </w:tr>
      <w:tr w:rsidR="00A97AF1" w:rsidRPr="00F621C0" w14:paraId="44803BA1" w14:textId="77777777" w:rsidTr="0075351C">
        <w:trPr>
          <w:jc w:val="center"/>
        </w:trPr>
        <w:tc>
          <w:tcPr>
            <w:tcW w:w="1574" w:type="pct"/>
            <w:gridSpan w:val="3"/>
            <w:tcBorders>
              <w:top w:val="single" w:sz="4" w:space="0" w:color="auto"/>
              <w:left w:val="nil"/>
              <w:bottom w:val="single" w:sz="4" w:space="0" w:color="auto"/>
              <w:right w:val="nil"/>
            </w:tcBorders>
            <w:vAlign w:val="center"/>
            <w:hideMark/>
          </w:tcPr>
          <w:p w14:paraId="554B18A1" w14:textId="77777777" w:rsidR="00A97AF1" w:rsidRPr="00F621C0" w:rsidRDefault="00A97AF1" w:rsidP="0075351C">
            <w:pPr>
              <w:pStyle w:val="PargrafodaLista"/>
              <w:ind w:left="0"/>
              <w:rPr>
                <w:rFonts w:ascii="Arial" w:hAnsi="Arial" w:cs="Arial"/>
                <w:b/>
                <w:bCs/>
                <w:smallCaps/>
              </w:rPr>
            </w:pPr>
            <w:r w:rsidRPr="00F621C0">
              <w:rPr>
                <w:rFonts w:ascii="Arial" w:hAnsi="Arial" w:cs="Arial"/>
                <w:b/>
                <w:bCs/>
                <w:smallCaps/>
              </w:rPr>
              <w:t>3.3. Compromisso de Tratamento Tributário de Longo Prazo</w:t>
            </w:r>
          </w:p>
        </w:tc>
        <w:tc>
          <w:tcPr>
            <w:tcW w:w="3426" w:type="pct"/>
            <w:gridSpan w:val="7"/>
            <w:tcBorders>
              <w:top w:val="single" w:sz="4" w:space="0" w:color="auto"/>
              <w:left w:val="nil"/>
              <w:bottom w:val="single" w:sz="4" w:space="0" w:color="auto"/>
              <w:right w:val="nil"/>
            </w:tcBorders>
            <w:vAlign w:val="center"/>
            <w:hideMark/>
          </w:tcPr>
          <w:p w14:paraId="3CFCACDC" w14:textId="77777777" w:rsidR="00A97AF1" w:rsidRPr="00F621C0" w:rsidRDefault="00A97AF1" w:rsidP="0075351C">
            <w:pPr>
              <w:rPr>
                <w:rFonts w:ascii="Arial" w:hAnsi="Arial" w:cs="Arial"/>
                <w:sz w:val="20"/>
                <w:szCs w:val="20"/>
                <w:highlight w:val="yellow"/>
              </w:rPr>
            </w:pPr>
            <w:r w:rsidRPr="00F621C0">
              <w:rPr>
                <w:rFonts w:ascii="Arial" w:hAnsi="Arial" w:cs="Arial"/>
                <w:sz w:val="20"/>
                <w:szCs w:val="20"/>
              </w:rPr>
              <w:t>Não.</w:t>
            </w:r>
          </w:p>
        </w:tc>
      </w:tr>
      <w:tr w:rsidR="00A97AF1" w:rsidRPr="00F621C0" w14:paraId="07044758" w14:textId="77777777" w:rsidTr="0075351C">
        <w:trPr>
          <w:trHeight w:val="288"/>
          <w:jc w:val="center"/>
        </w:trPr>
        <w:tc>
          <w:tcPr>
            <w:tcW w:w="1574" w:type="pct"/>
            <w:gridSpan w:val="3"/>
            <w:tcBorders>
              <w:top w:val="single" w:sz="4" w:space="0" w:color="auto"/>
              <w:left w:val="nil"/>
              <w:bottom w:val="single" w:sz="4" w:space="0" w:color="auto"/>
              <w:right w:val="nil"/>
            </w:tcBorders>
            <w:vAlign w:val="center"/>
          </w:tcPr>
          <w:p w14:paraId="067C62D0" w14:textId="77777777" w:rsidR="00A97AF1" w:rsidRPr="00F621C0" w:rsidRDefault="00A97AF1" w:rsidP="0075351C">
            <w:pPr>
              <w:pStyle w:val="PargrafodaLista"/>
              <w:ind w:left="0"/>
              <w:rPr>
                <w:rFonts w:ascii="Arial" w:hAnsi="Arial" w:cs="Arial"/>
                <w:b/>
                <w:bCs/>
                <w:smallCaps/>
              </w:rPr>
            </w:pPr>
          </w:p>
        </w:tc>
        <w:tc>
          <w:tcPr>
            <w:tcW w:w="3426" w:type="pct"/>
            <w:gridSpan w:val="7"/>
            <w:tcBorders>
              <w:top w:val="single" w:sz="4" w:space="0" w:color="auto"/>
              <w:left w:val="nil"/>
              <w:bottom w:val="single" w:sz="4" w:space="0" w:color="auto"/>
              <w:right w:val="nil"/>
            </w:tcBorders>
          </w:tcPr>
          <w:p w14:paraId="6CE77870" w14:textId="77777777" w:rsidR="00A97AF1" w:rsidRPr="00F621C0" w:rsidRDefault="00A97AF1" w:rsidP="0075351C">
            <w:pPr>
              <w:jc w:val="both"/>
              <w:rPr>
                <w:rFonts w:ascii="Arial" w:hAnsi="Arial" w:cs="Arial"/>
                <w:sz w:val="20"/>
                <w:szCs w:val="20"/>
              </w:rPr>
            </w:pPr>
          </w:p>
        </w:tc>
      </w:tr>
      <w:tr w:rsidR="00A97AF1" w:rsidRPr="00F621C0" w14:paraId="68C73EB0" w14:textId="77777777" w:rsidTr="0075351C">
        <w:trPr>
          <w:jc w:val="center"/>
        </w:trPr>
        <w:tc>
          <w:tcPr>
            <w:tcW w:w="1574" w:type="pct"/>
            <w:gridSpan w:val="3"/>
            <w:tcBorders>
              <w:top w:val="single" w:sz="4" w:space="0" w:color="auto"/>
              <w:left w:val="nil"/>
              <w:bottom w:val="single" w:sz="4" w:space="0" w:color="auto"/>
              <w:right w:val="nil"/>
            </w:tcBorders>
            <w:vAlign w:val="center"/>
            <w:hideMark/>
          </w:tcPr>
          <w:p w14:paraId="4A31A8C0" w14:textId="77777777" w:rsidR="00A97AF1" w:rsidRPr="00F621C0" w:rsidRDefault="00A97AF1" w:rsidP="0075351C">
            <w:pPr>
              <w:pStyle w:val="PargrafodaLista"/>
              <w:ind w:left="0"/>
              <w:rPr>
                <w:rFonts w:ascii="Arial" w:hAnsi="Arial" w:cs="Arial"/>
                <w:b/>
                <w:bCs/>
                <w:smallCaps/>
              </w:rPr>
            </w:pPr>
            <w:r w:rsidRPr="00F621C0">
              <w:rPr>
                <w:rFonts w:ascii="Arial" w:hAnsi="Arial" w:cs="Arial"/>
                <w:b/>
                <w:bCs/>
                <w:smallCaps/>
              </w:rPr>
              <w:t>3.4. Rentabilidade</w:t>
            </w:r>
          </w:p>
        </w:tc>
        <w:tc>
          <w:tcPr>
            <w:tcW w:w="3426" w:type="pct"/>
            <w:gridSpan w:val="7"/>
            <w:tcBorders>
              <w:top w:val="single" w:sz="4" w:space="0" w:color="auto"/>
              <w:left w:val="nil"/>
              <w:bottom w:val="single" w:sz="4" w:space="0" w:color="auto"/>
              <w:right w:val="nil"/>
            </w:tcBorders>
            <w:hideMark/>
          </w:tcPr>
          <w:p w14:paraId="6E23A6EA" w14:textId="77777777" w:rsidR="00A97AF1" w:rsidRPr="00F621C0" w:rsidRDefault="00A97AF1" w:rsidP="0075351C">
            <w:pPr>
              <w:rPr>
                <w:rFonts w:ascii="Arial" w:hAnsi="Arial" w:cs="Arial"/>
                <w:sz w:val="20"/>
                <w:szCs w:val="20"/>
              </w:rPr>
            </w:pPr>
            <w:r w:rsidRPr="00F621C0">
              <w:rPr>
                <w:rFonts w:ascii="Arial" w:hAnsi="Arial" w:cs="Arial"/>
                <w:sz w:val="20"/>
                <w:szCs w:val="20"/>
              </w:rPr>
              <w:t>A rentabilidade da Classe Única será impactada pelos impostos, custos e despesas que incidam, respectivamente, sobre ela, bem como pela Taxa Global Máxima prevista neste Anexo.</w:t>
            </w:r>
          </w:p>
        </w:tc>
      </w:tr>
      <w:bookmarkEnd w:id="5"/>
      <w:tr w:rsidR="00A97AF1" w:rsidRPr="00F621C0" w14:paraId="7CDCB98B" w14:textId="77777777" w:rsidTr="0075351C">
        <w:trPr>
          <w:gridBefore w:val="1"/>
          <w:wBefore w:w="51" w:type="pct"/>
          <w:jc w:val="center"/>
        </w:trPr>
        <w:tc>
          <w:tcPr>
            <w:tcW w:w="1465" w:type="pct"/>
            <w:tcBorders>
              <w:top w:val="single" w:sz="4" w:space="0" w:color="auto"/>
              <w:left w:val="nil"/>
              <w:bottom w:val="single" w:sz="4" w:space="0" w:color="auto"/>
              <w:right w:val="nil"/>
            </w:tcBorders>
            <w:vAlign w:val="center"/>
          </w:tcPr>
          <w:p w14:paraId="3EBCE47E" w14:textId="77777777" w:rsidR="00A97AF1" w:rsidRPr="00F621C0" w:rsidRDefault="00A97AF1" w:rsidP="0075351C">
            <w:pPr>
              <w:pStyle w:val="PargrafodaLista"/>
              <w:ind w:left="0"/>
              <w:rPr>
                <w:rFonts w:ascii="Arial" w:hAnsi="Arial" w:cs="Arial"/>
                <w:b/>
                <w:bCs/>
                <w:smallCaps/>
              </w:rPr>
            </w:pPr>
          </w:p>
        </w:tc>
        <w:tc>
          <w:tcPr>
            <w:tcW w:w="3485" w:type="pct"/>
            <w:gridSpan w:val="8"/>
            <w:tcBorders>
              <w:top w:val="single" w:sz="4" w:space="0" w:color="auto"/>
              <w:left w:val="nil"/>
              <w:bottom w:val="single" w:sz="4" w:space="0" w:color="auto"/>
              <w:right w:val="nil"/>
            </w:tcBorders>
          </w:tcPr>
          <w:p w14:paraId="6F968798" w14:textId="77777777" w:rsidR="00A97AF1" w:rsidRPr="00F621C0" w:rsidRDefault="00A97AF1" w:rsidP="0075351C">
            <w:pPr>
              <w:rPr>
                <w:rFonts w:ascii="Arial" w:hAnsi="Arial" w:cs="Arial"/>
                <w:sz w:val="20"/>
                <w:szCs w:val="20"/>
              </w:rPr>
            </w:pPr>
          </w:p>
        </w:tc>
      </w:tr>
      <w:tr w:rsidR="00A97AF1" w:rsidRPr="00F621C0" w14:paraId="7136FE26" w14:textId="77777777" w:rsidTr="0075351C">
        <w:trPr>
          <w:jc w:val="center"/>
        </w:trPr>
        <w:tc>
          <w:tcPr>
            <w:tcW w:w="4879" w:type="pct"/>
            <w:gridSpan w:val="9"/>
            <w:tcBorders>
              <w:top w:val="single" w:sz="4" w:space="0" w:color="auto"/>
              <w:left w:val="nil"/>
              <w:bottom w:val="single" w:sz="4" w:space="0" w:color="auto"/>
              <w:right w:val="nil"/>
            </w:tcBorders>
          </w:tcPr>
          <w:p w14:paraId="3AC6F5EB" w14:textId="77777777" w:rsidR="00A97AF1" w:rsidRPr="00F621C0" w:rsidRDefault="00A97AF1" w:rsidP="0075351C">
            <w:pPr>
              <w:rPr>
                <w:rFonts w:ascii="Arial" w:hAnsi="Arial" w:cs="Arial"/>
                <w:color w:val="000000"/>
                <w:sz w:val="20"/>
                <w:szCs w:val="20"/>
              </w:rPr>
            </w:pPr>
            <w:bookmarkStart w:id="6" w:name="_Hlk150352048"/>
          </w:p>
        </w:tc>
        <w:tc>
          <w:tcPr>
            <w:tcW w:w="121" w:type="pct"/>
            <w:tcBorders>
              <w:top w:val="single" w:sz="4" w:space="0" w:color="auto"/>
              <w:left w:val="nil"/>
              <w:bottom w:val="nil"/>
              <w:right w:val="nil"/>
            </w:tcBorders>
          </w:tcPr>
          <w:p w14:paraId="7DD50BEA" w14:textId="77777777" w:rsidR="00A97AF1" w:rsidRPr="00F621C0" w:rsidRDefault="00A97AF1" w:rsidP="0075351C">
            <w:pPr>
              <w:jc w:val="both"/>
              <w:rPr>
                <w:rFonts w:ascii="Arial" w:hAnsi="Arial" w:cs="Arial"/>
                <w:color w:val="000000"/>
                <w:sz w:val="20"/>
                <w:szCs w:val="20"/>
              </w:rPr>
            </w:pPr>
          </w:p>
        </w:tc>
      </w:tr>
      <w:tr w:rsidR="00A97AF1" w:rsidRPr="00F621C0" w14:paraId="370E3571" w14:textId="77777777" w:rsidTr="0075351C">
        <w:trPr>
          <w:gridAfter w:val="1"/>
          <w:wAfter w:w="121" w:type="pct"/>
          <w:jc w:val="center"/>
        </w:trPr>
        <w:tc>
          <w:tcPr>
            <w:tcW w:w="4879" w:type="pct"/>
            <w:gridSpan w:val="9"/>
            <w:tcBorders>
              <w:top w:val="single" w:sz="4" w:space="0" w:color="auto"/>
              <w:bottom w:val="single" w:sz="4" w:space="0" w:color="auto"/>
            </w:tcBorders>
            <w:shd w:val="clear" w:color="auto" w:fill="D9D9D9" w:themeFill="background1" w:themeFillShade="D9"/>
            <w:vAlign w:val="center"/>
            <w:hideMark/>
          </w:tcPr>
          <w:p w14:paraId="65C0F89B" w14:textId="77777777" w:rsidR="00A97AF1" w:rsidRPr="00F621C0" w:rsidRDefault="00A97AF1" w:rsidP="0075351C">
            <w:pPr>
              <w:jc w:val="center"/>
              <w:rPr>
                <w:rFonts w:ascii="Arial" w:hAnsi="Arial" w:cs="Arial"/>
                <w:sz w:val="20"/>
                <w:szCs w:val="20"/>
              </w:rPr>
            </w:pPr>
            <w:r w:rsidRPr="00F621C0">
              <w:rPr>
                <w:rFonts w:ascii="Arial" w:hAnsi="Arial" w:cs="Arial"/>
                <w:b/>
                <w:bCs/>
                <w:smallCaps/>
                <w:sz w:val="20"/>
                <w:szCs w:val="20"/>
              </w:rPr>
              <w:t>3.5. Limites de Concentração por Ativo e por Emissor (percentual do patrimônio líquido da Classe Única)</w:t>
            </w:r>
          </w:p>
        </w:tc>
      </w:tr>
      <w:tr w:rsidR="00A97AF1" w:rsidRPr="00F621C0" w14:paraId="1F028F28" w14:textId="77777777" w:rsidTr="0075351C">
        <w:trPr>
          <w:gridAfter w:val="1"/>
          <w:wAfter w:w="121" w:type="pct"/>
          <w:jc w:val="center"/>
        </w:trPr>
        <w:tc>
          <w:tcPr>
            <w:tcW w:w="4879" w:type="pct"/>
            <w:gridSpan w:val="9"/>
            <w:tcBorders>
              <w:top w:val="single" w:sz="4" w:space="0" w:color="auto"/>
              <w:bottom w:val="single" w:sz="4" w:space="0" w:color="auto"/>
            </w:tcBorders>
            <w:vAlign w:val="center"/>
          </w:tcPr>
          <w:p w14:paraId="3724EF71" w14:textId="77777777" w:rsidR="00A97AF1" w:rsidRPr="00F621C0" w:rsidRDefault="00A97AF1" w:rsidP="0075351C">
            <w:pPr>
              <w:jc w:val="both"/>
              <w:rPr>
                <w:rFonts w:ascii="Arial" w:hAnsi="Arial" w:cs="Arial"/>
                <w:b/>
                <w:bCs/>
                <w:smallCaps/>
                <w:sz w:val="20"/>
                <w:szCs w:val="20"/>
              </w:rPr>
            </w:pPr>
            <w:r w:rsidRPr="00F621C0">
              <w:rPr>
                <w:rFonts w:ascii="Arial" w:hAnsi="Arial" w:cs="Arial"/>
                <w:b/>
                <w:bCs/>
                <w:color w:val="000000"/>
                <w:sz w:val="20"/>
                <w:szCs w:val="20"/>
              </w:rPr>
              <w:t>3.5.1.</w:t>
            </w:r>
            <w:r w:rsidRPr="00F621C0">
              <w:rPr>
                <w:rFonts w:ascii="Arial" w:hAnsi="Arial" w:cs="Arial"/>
                <w:color w:val="000000"/>
                <w:sz w:val="20"/>
                <w:szCs w:val="20"/>
              </w:rPr>
              <w:t xml:space="preserve"> A Classe</w:t>
            </w:r>
            <w:r w:rsidRPr="00F621C0">
              <w:rPr>
                <w:rFonts w:ascii="Arial" w:hAnsi="Arial" w:cs="Arial"/>
                <w:sz w:val="20"/>
                <w:szCs w:val="20"/>
              </w:rPr>
              <w:t xml:space="preserve"> Única</w:t>
            </w:r>
            <w:r w:rsidRPr="00F621C0">
              <w:rPr>
                <w:rFonts w:ascii="Arial" w:hAnsi="Arial" w:cs="Arial"/>
                <w:color w:val="000000"/>
                <w:sz w:val="20"/>
                <w:szCs w:val="20"/>
              </w:rPr>
              <w:t xml:space="preserv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inclusive e especialmente no FIP Vinci, com os riscos daí decorrentes, nos termos dos fatores de riscos dispostos no Regulamento e nesse Anexo.</w:t>
            </w:r>
          </w:p>
        </w:tc>
      </w:tr>
      <w:tr w:rsidR="00A97AF1" w:rsidRPr="00F621C0" w14:paraId="2451F57B"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403AA17C" w14:textId="77777777" w:rsidR="00A97AF1" w:rsidRPr="00F621C0" w:rsidRDefault="00A97AF1" w:rsidP="0075351C">
            <w:pPr>
              <w:jc w:val="both"/>
              <w:rPr>
                <w:rFonts w:ascii="Arial" w:hAnsi="Arial" w:cs="Arial"/>
                <w:sz w:val="20"/>
                <w:szCs w:val="20"/>
                <w:highlight w:val="green"/>
              </w:rPr>
            </w:pPr>
          </w:p>
        </w:tc>
      </w:tr>
      <w:tr w:rsidR="00A97AF1" w:rsidRPr="00F621C0" w14:paraId="65DF4B1B" w14:textId="77777777" w:rsidTr="0075351C">
        <w:trPr>
          <w:gridAfter w:val="1"/>
          <w:wAfter w:w="121" w:type="pct"/>
          <w:jc w:val="center"/>
        </w:trPr>
        <w:tc>
          <w:tcPr>
            <w:tcW w:w="4879" w:type="pct"/>
            <w:gridSpan w:val="9"/>
            <w:tcBorders>
              <w:top w:val="single" w:sz="4" w:space="0" w:color="auto"/>
              <w:bottom w:val="single" w:sz="4" w:space="0" w:color="auto"/>
            </w:tcBorders>
            <w:shd w:val="clear" w:color="auto" w:fill="D9D9D9" w:themeFill="background1" w:themeFillShade="D9"/>
            <w:vAlign w:val="center"/>
            <w:hideMark/>
          </w:tcPr>
          <w:p w14:paraId="77432494" w14:textId="77777777" w:rsidR="00A97AF1" w:rsidRPr="00F621C0" w:rsidRDefault="00A97AF1" w:rsidP="0075351C">
            <w:pPr>
              <w:jc w:val="center"/>
              <w:rPr>
                <w:rFonts w:ascii="Arial" w:hAnsi="Arial" w:cs="Arial"/>
                <w:sz w:val="20"/>
                <w:szCs w:val="20"/>
              </w:rPr>
            </w:pPr>
            <w:r w:rsidRPr="00F621C0">
              <w:rPr>
                <w:rFonts w:ascii="Arial" w:hAnsi="Arial" w:cs="Arial"/>
                <w:b/>
                <w:bCs/>
                <w:smallCaps/>
                <w:sz w:val="20"/>
                <w:szCs w:val="20"/>
              </w:rPr>
              <w:t>3.6. Outros Limites (percentual do patrimônio líquido da Classe Única)</w:t>
            </w:r>
          </w:p>
        </w:tc>
      </w:tr>
      <w:tr w:rsidR="00A97AF1" w:rsidRPr="00F621C0" w14:paraId="436CC720"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42514910" w14:textId="77777777" w:rsidR="00A97AF1" w:rsidRPr="00F621C0" w:rsidRDefault="00A97AF1" w:rsidP="0075351C">
            <w:pPr>
              <w:jc w:val="center"/>
              <w:rPr>
                <w:rFonts w:ascii="Arial" w:hAnsi="Arial" w:cs="Arial"/>
                <w:b/>
                <w:bCs/>
                <w:smallCaps/>
                <w:sz w:val="20"/>
                <w:szCs w:val="20"/>
              </w:rPr>
            </w:pPr>
          </w:p>
        </w:tc>
      </w:tr>
      <w:tr w:rsidR="00A97AF1" w:rsidRPr="00F621C0" w14:paraId="776AE18D"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3F1FE813" w14:textId="77777777" w:rsidR="00A97AF1" w:rsidRPr="00F621C0" w:rsidRDefault="00A97AF1" w:rsidP="00A97AF1">
            <w:pPr>
              <w:pStyle w:val="PargrafodaLista"/>
              <w:numPr>
                <w:ilvl w:val="0"/>
                <w:numId w:val="15"/>
              </w:numPr>
              <w:ind w:left="38" w:firstLine="0"/>
              <w:jc w:val="center"/>
              <w:rPr>
                <w:rFonts w:ascii="Arial" w:hAnsi="Arial" w:cs="Arial"/>
                <w:b/>
                <w:bCs/>
                <w:smallCaps/>
              </w:rPr>
            </w:pPr>
            <w:r w:rsidRPr="00F621C0">
              <w:rPr>
                <w:rFonts w:ascii="Arial" w:hAnsi="Arial" w:cs="Arial"/>
                <w:b/>
                <w:bCs/>
                <w:smallCaps/>
              </w:rPr>
              <w:t>Crédito Privado</w:t>
            </w:r>
          </w:p>
        </w:tc>
        <w:tc>
          <w:tcPr>
            <w:tcW w:w="3156" w:type="pct"/>
            <w:gridSpan w:val="4"/>
            <w:tcBorders>
              <w:top w:val="single" w:sz="4" w:space="0" w:color="auto"/>
              <w:left w:val="nil"/>
              <w:bottom w:val="single" w:sz="4" w:space="0" w:color="auto"/>
              <w:right w:val="nil"/>
            </w:tcBorders>
            <w:vAlign w:val="center"/>
            <w:hideMark/>
          </w:tcPr>
          <w:p w14:paraId="4616E563" w14:textId="77777777" w:rsidR="00A97AF1" w:rsidRPr="00F621C0" w:rsidRDefault="00A97AF1" w:rsidP="0075351C">
            <w:pPr>
              <w:rPr>
                <w:rFonts w:ascii="Arial" w:hAnsi="Arial" w:cs="Arial"/>
                <w:sz w:val="20"/>
                <w:szCs w:val="20"/>
              </w:rPr>
            </w:pPr>
            <w:r w:rsidRPr="00F621C0">
              <w:rPr>
                <w:rFonts w:ascii="Arial" w:hAnsi="Arial" w:cs="Arial"/>
                <w:sz w:val="20"/>
                <w:szCs w:val="20"/>
              </w:rPr>
              <w:t xml:space="preserve">Até 10% </w:t>
            </w:r>
          </w:p>
        </w:tc>
      </w:tr>
      <w:tr w:rsidR="00A97AF1" w:rsidRPr="00F621C0" w14:paraId="3DA9B1A7"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5A5BCF37" w14:textId="77777777" w:rsidR="00A97AF1" w:rsidRPr="00F621C0" w:rsidRDefault="00A97AF1" w:rsidP="0075351C">
            <w:pPr>
              <w:ind w:left="38"/>
              <w:jc w:val="center"/>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vAlign w:val="center"/>
          </w:tcPr>
          <w:p w14:paraId="0F294787" w14:textId="77777777" w:rsidR="00A97AF1" w:rsidRPr="00F621C0" w:rsidRDefault="00A97AF1" w:rsidP="0075351C">
            <w:pPr>
              <w:jc w:val="center"/>
              <w:rPr>
                <w:rFonts w:ascii="Arial" w:hAnsi="Arial" w:cs="Arial"/>
                <w:sz w:val="20"/>
                <w:szCs w:val="20"/>
              </w:rPr>
            </w:pPr>
          </w:p>
        </w:tc>
      </w:tr>
      <w:tr w:rsidR="00A97AF1" w:rsidRPr="00F621C0" w14:paraId="6DBFDDE8"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32112292" w14:textId="77777777" w:rsidR="00A97AF1" w:rsidRPr="00F621C0" w:rsidRDefault="00A97AF1" w:rsidP="00A97AF1">
            <w:pPr>
              <w:pStyle w:val="PargrafodaLista"/>
              <w:numPr>
                <w:ilvl w:val="0"/>
                <w:numId w:val="15"/>
              </w:numPr>
              <w:ind w:left="38" w:firstLine="0"/>
              <w:jc w:val="center"/>
              <w:rPr>
                <w:rFonts w:ascii="Arial" w:hAnsi="Arial" w:cs="Arial"/>
                <w:b/>
                <w:bCs/>
                <w:smallCaps/>
              </w:rPr>
            </w:pPr>
            <w:r w:rsidRPr="00F621C0">
              <w:rPr>
                <w:rFonts w:ascii="Arial" w:hAnsi="Arial" w:cs="Arial"/>
                <w:b/>
                <w:bCs/>
                <w:smallCaps/>
              </w:rPr>
              <w:t>Investimento no Exterior</w:t>
            </w:r>
          </w:p>
        </w:tc>
        <w:tc>
          <w:tcPr>
            <w:tcW w:w="3156" w:type="pct"/>
            <w:gridSpan w:val="4"/>
            <w:tcBorders>
              <w:top w:val="single" w:sz="4" w:space="0" w:color="auto"/>
              <w:left w:val="nil"/>
              <w:bottom w:val="single" w:sz="4" w:space="0" w:color="auto"/>
              <w:right w:val="nil"/>
            </w:tcBorders>
            <w:vAlign w:val="center"/>
            <w:hideMark/>
          </w:tcPr>
          <w:p w14:paraId="5667F8C7"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0%</w:t>
            </w:r>
          </w:p>
        </w:tc>
      </w:tr>
      <w:tr w:rsidR="00A97AF1" w:rsidRPr="00F621C0" w14:paraId="7ABE25D4"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74B0F188" w14:textId="77777777" w:rsidR="00A97AF1" w:rsidRPr="00F621C0" w:rsidRDefault="00A97AF1" w:rsidP="0075351C">
            <w:pPr>
              <w:ind w:left="38"/>
              <w:jc w:val="center"/>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vAlign w:val="center"/>
          </w:tcPr>
          <w:p w14:paraId="432EF01B" w14:textId="77777777" w:rsidR="00A97AF1" w:rsidRPr="00F621C0" w:rsidRDefault="00A97AF1" w:rsidP="0075351C">
            <w:pPr>
              <w:jc w:val="both"/>
              <w:rPr>
                <w:rFonts w:ascii="Arial" w:hAnsi="Arial" w:cs="Arial"/>
                <w:sz w:val="20"/>
                <w:szCs w:val="20"/>
              </w:rPr>
            </w:pPr>
          </w:p>
        </w:tc>
      </w:tr>
      <w:tr w:rsidR="00A97AF1" w:rsidRPr="00F621C0" w14:paraId="7F3A45A4"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6BBE370A" w14:textId="77777777" w:rsidR="00A97AF1" w:rsidRPr="00F621C0" w:rsidRDefault="00A97AF1" w:rsidP="00A97AF1">
            <w:pPr>
              <w:pStyle w:val="PargrafodaLista"/>
              <w:numPr>
                <w:ilvl w:val="0"/>
                <w:numId w:val="15"/>
              </w:numPr>
              <w:ind w:left="38" w:firstLine="0"/>
              <w:jc w:val="center"/>
              <w:rPr>
                <w:rFonts w:ascii="Arial" w:hAnsi="Arial" w:cs="Arial"/>
                <w:b/>
                <w:bCs/>
                <w:smallCaps/>
              </w:rPr>
            </w:pPr>
            <w:r w:rsidRPr="00F621C0">
              <w:rPr>
                <w:rFonts w:ascii="Arial" w:hAnsi="Arial" w:cs="Arial"/>
                <w:b/>
                <w:bCs/>
                <w:smallCaps/>
              </w:rPr>
              <w:t>Exposição ao Risco de Capital</w:t>
            </w:r>
          </w:p>
        </w:tc>
        <w:tc>
          <w:tcPr>
            <w:tcW w:w="3156" w:type="pct"/>
            <w:gridSpan w:val="4"/>
            <w:tcBorders>
              <w:top w:val="single" w:sz="4" w:space="0" w:color="auto"/>
              <w:left w:val="nil"/>
              <w:bottom w:val="single" w:sz="4" w:space="0" w:color="auto"/>
              <w:right w:val="nil"/>
            </w:tcBorders>
            <w:vAlign w:val="center"/>
            <w:hideMark/>
          </w:tcPr>
          <w:p w14:paraId="7B5272BD"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Operações com </w:t>
            </w:r>
            <w:r w:rsidRPr="00F621C0">
              <w:rPr>
                <w:rFonts w:ascii="Arial" w:hAnsi="Arial" w:cs="Arial"/>
                <w:color w:val="000000"/>
                <w:sz w:val="20"/>
                <w:szCs w:val="20"/>
              </w:rPr>
              <w:t>derivativos</w:t>
            </w:r>
            <w:r w:rsidRPr="00F621C0">
              <w:rPr>
                <w:rFonts w:ascii="Arial" w:hAnsi="Arial" w:cs="Arial"/>
                <w:sz w:val="20"/>
                <w:szCs w:val="20"/>
              </w:rPr>
              <w:t>: Permitido</w:t>
            </w:r>
          </w:p>
          <w:p w14:paraId="2508C375"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Derivativos apenas para Proteção/Hedge? Sim</w:t>
            </w:r>
          </w:p>
          <w:p w14:paraId="5C3F30A6"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Margem bruta máxima, conforme disposto na Resolução CVM 175: </w:t>
            </w:r>
            <w:r w:rsidRPr="00F621C0">
              <w:rPr>
                <w:rFonts w:ascii="Arial" w:hAnsi="Arial" w:cs="Arial"/>
                <w:color w:val="000000"/>
                <w:sz w:val="20"/>
                <w:szCs w:val="20"/>
              </w:rPr>
              <w:t>Ilimitada</w:t>
            </w:r>
          </w:p>
        </w:tc>
      </w:tr>
      <w:tr w:rsidR="00A97AF1" w:rsidRPr="00F621C0" w14:paraId="6D29C2D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798E8FA6" w14:textId="77777777" w:rsidR="00A97AF1" w:rsidRPr="00F621C0" w:rsidRDefault="00A97AF1" w:rsidP="0075351C">
            <w:pPr>
              <w:pStyle w:val="PargrafodaLista"/>
              <w:ind w:left="0"/>
              <w:jc w:val="both"/>
              <w:rPr>
                <w:rFonts w:ascii="Arial" w:hAnsi="Arial" w:cs="Arial"/>
              </w:rPr>
            </w:pPr>
          </w:p>
        </w:tc>
      </w:tr>
      <w:tr w:rsidR="00A97AF1" w:rsidRPr="00F621C0" w14:paraId="23C3A42A"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7625D0AE" w14:textId="77777777" w:rsidR="00A97AF1" w:rsidRPr="00F621C0" w:rsidRDefault="00A97AF1" w:rsidP="0075351C">
            <w:pPr>
              <w:jc w:val="both"/>
              <w:rPr>
                <w:rFonts w:ascii="Arial" w:hAnsi="Arial" w:cs="Arial"/>
                <w:sz w:val="20"/>
                <w:szCs w:val="20"/>
              </w:rPr>
            </w:pPr>
            <w:r w:rsidRPr="00F621C0">
              <w:rPr>
                <w:rFonts w:ascii="Arial" w:eastAsia="Arial" w:hAnsi="Arial" w:cs="Arial"/>
                <w:b/>
                <w:bCs/>
                <w:sz w:val="20"/>
                <w:szCs w:val="20"/>
              </w:rPr>
              <w:t>3.6.1.</w:t>
            </w:r>
            <w:r w:rsidRPr="00F621C0">
              <w:rPr>
                <w:rFonts w:ascii="Arial" w:eastAsia="Arial" w:hAnsi="Arial" w:cs="Arial"/>
                <w:sz w:val="20"/>
                <w:szCs w:val="20"/>
              </w:rPr>
              <w:t xml:space="preserve"> A exposição a ativos de crédito privado pela Classe</w:t>
            </w:r>
            <w:r w:rsidRPr="00F621C0">
              <w:rPr>
                <w:rFonts w:ascii="Arial" w:hAnsi="Arial" w:cs="Arial"/>
                <w:sz w:val="20"/>
                <w:szCs w:val="20"/>
              </w:rPr>
              <w:t xml:space="preserve"> Única</w:t>
            </w:r>
            <w:r w:rsidRPr="00F621C0">
              <w:rPr>
                <w:rFonts w:ascii="Arial" w:eastAsia="Arial" w:hAnsi="Arial" w:cs="Arial"/>
                <w:sz w:val="20"/>
                <w:szCs w:val="20"/>
              </w:rPr>
              <w:t xml:space="preserve"> será exclusivamente por meio dos fundos de investimento em que a Classe </w:t>
            </w:r>
            <w:r w:rsidRPr="00F621C0">
              <w:rPr>
                <w:rFonts w:ascii="Arial" w:hAnsi="Arial" w:cs="Arial"/>
                <w:sz w:val="20"/>
                <w:szCs w:val="20"/>
              </w:rPr>
              <w:t>Única</w:t>
            </w:r>
            <w:r w:rsidRPr="00F621C0">
              <w:rPr>
                <w:rFonts w:ascii="Arial" w:eastAsia="Arial" w:hAnsi="Arial" w:cs="Arial"/>
                <w:sz w:val="20"/>
                <w:szCs w:val="20"/>
              </w:rPr>
              <w:t xml:space="preserve"> investe.</w:t>
            </w:r>
          </w:p>
        </w:tc>
      </w:tr>
      <w:tr w:rsidR="00A97AF1" w:rsidRPr="00F621C0" w14:paraId="26EE1FE1"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237DA9F7" w14:textId="77777777" w:rsidR="00A97AF1" w:rsidRPr="00F621C0" w:rsidRDefault="00A97AF1" w:rsidP="0075351C">
            <w:pPr>
              <w:pStyle w:val="PargrafodaLista"/>
              <w:ind w:left="0"/>
              <w:jc w:val="both"/>
              <w:rPr>
                <w:rFonts w:ascii="Arial" w:hAnsi="Arial" w:cs="Arial"/>
              </w:rPr>
            </w:pPr>
          </w:p>
        </w:tc>
      </w:tr>
      <w:tr w:rsidR="00A97AF1" w:rsidRPr="00F621C0" w14:paraId="61A11821"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D9D9D9" w:themeFill="background1" w:themeFillShade="D9"/>
            <w:hideMark/>
          </w:tcPr>
          <w:p w14:paraId="1849C897" w14:textId="77777777" w:rsidR="00A97AF1" w:rsidRPr="00F621C0" w:rsidRDefault="00A97AF1" w:rsidP="00A97AF1">
            <w:pPr>
              <w:pStyle w:val="PargrafodaLista"/>
              <w:numPr>
                <w:ilvl w:val="1"/>
                <w:numId w:val="34"/>
              </w:numPr>
              <w:ind w:left="0" w:firstLine="0"/>
              <w:jc w:val="center"/>
              <w:rPr>
                <w:rFonts w:ascii="Arial" w:hAnsi="Arial" w:cs="Arial"/>
                <w:b/>
                <w:bCs/>
                <w:smallCaps/>
              </w:rPr>
            </w:pPr>
            <w:r w:rsidRPr="00F621C0">
              <w:rPr>
                <w:rFonts w:ascii="Arial" w:hAnsi="Arial" w:cs="Arial"/>
                <w:b/>
                <w:bCs/>
                <w:smallCaps/>
              </w:rPr>
              <w:t>Vedações</w:t>
            </w:r>
          </w:p>
        </w:tc>
      </w:tr>
      <w:tr w:rsidR="00A97AF1" w:rsidRPr="00F621C0" w14:paraId="13FBE20D"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tcPr>
          <w:p w14:paraId="7C278A91" w14:textId="77777777" w:rsidR="00A97AF1" w:rsidRPr="00F621C0" w:rsidRDefault="00A97AF1" w:rsidP="0075351C">
            <w:pPr>
              <w:jc w:val="center"/>
              <w:rPr>
                <w:rFonts w:ascii="Arial" w:hAnsi="Arial" w:cs="Arial"/>
                <w:b/>
                <w:bCs/>
                <w:smallCaps/>
                <w:sz w:val="20"/>
                <w:szCs w:val="20"/>
              </w:rPr>
            </w:pPr>
          </w:p>
        </w:tc>
      </w:tr>
      <w:tr w:rsidR="00A97AF1" w:rsidRPr="00F621C0" w14:paraId="6280A0FD"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411BCC7D" w14:textId="77777777" w:rsidR="00A97AF1" w:rsidRPr="00F621C0" w:rsidRDefault="00A97AF1" w:rsidP="00A97AF1">
            <w:pPr>
              <w:pStyle w:val="PargrafodaLista"/>
              <w:numPr>
                <w:ilvl w:val="2"/>
                <w:numId w:val="34"/>
              </w:numPr>
              <w:ind w:left="0" w:firstLine="0"/>
              <w:jc w:val="both"/>
              <w:rPr>
                <w:rFonts w:ascii="Arial" w:hAnsi="Arial" w:cs="Arial"/>
              </w:rPr>
            </w:pPr>
            <w:r w:rsidRPr="00F621C0">
              <w:rPr>
                <w:rFonts w:ascii="Arial" w:hAnsi="Arial" w:cs="Arial"/>
              </w:rPr>
              <w:t>Aplicar em ações de emissão do Gestor ou de companhias integrantes de seu grupo econômico.</w:t>
            </w:r>
          </w:p>
        </w:tc>
      </w:tr>
      <w:tr w:rsidR="00A97AF1" w:rsidRPr="00F621C0" w14:paraId="34CC35DA"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7BACF1FB" w14:textId="77777777" w:rsidR="00A97AF1" w:rsidRPr="00F621C0" w:rsidRDefault="00A97AF1" w:rsidP="0075351C">
            <w:pPr>
              <w:pStyle w:val="PargrafodaLista"/>
              <w:ind w:left="0"/>
              <w:jc w:val="both"/>
              <w:rPr>
                <w:rFonts w:ascii="Arial" w:hAnsi="Arial" w:cs="Arial"/>
              </w:rPr>
            </w:pPr>
          </w:p>
        </w:tc>
      </w:tr>
      <w:tr w:rsidR="00A97AF1" w:rsidRPr="00F621C0" w14:paraId="7C5F34D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193AB5DA" w14:textId="77777777" w:rsidR="00A97AF1" w:rsidRPr="00F621C0" w:rsidRDefault="00A97AF1" w:rsidP="00A97AF1">
            <w:pPr>
              <w:pStyle w:val="PargrafodaLista"/>
              <w:numPr>
                <w:ilvl w:val="2"/>
                <w:numId w:val="34"/>
              </w:numPr>
              <w:ind w:left="0" w:firstLine="0"/>
              <w:jc w:val="both"/>
              <w:rPr>
                <w:rFonts w:ascii="Arial" w:hAnsi="Arial" w:cs="Arial"/>
              </w:rPr>
            </w:pPr>
            <w:r w:rsidRPr="00F621C0">
              <w:rPr>
                <w:rFonts w:ascii="Arial" w:hAnsi="Arial" w:cs="Arial"/>
              </w:rPr>
              <w:t>Aplicar em classes de fundos de investimento que nela invistam, assim como aplicar em outra(s) classe(s) do Fundo.</w:t>
            </w:r>
          </w:p>
        </w:tc>
      </w:tr>
      <w:tr w:rsidR="00A97AF1" w:rsidRPr="00F621C0" w14:paraId="1C11760E"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6B7C568E" w14:textId="77777777" w:rsidR="00A97AF1" w:rsidRPr="00F621C0" w:rsidRDefault="00A97AF1" w:rsidP="0075351C">
            <w:pPr>
              <w:jc w:val="both"/>
              <w:rPr>
                <w:rFonts w:ascii="Arial" w:hAnsi="Arial" w:cs="Arial"/>
                <w:sz w:val="20"/>
                <w:szCs w:val="20"/>
                <w:highlight w:val="yellow"/>
              </w:rPr>
            </w:pPr>
          </w:p>
        </w:tc>
      </w:tr>
      <w:tr w:rsidR="00A97AF1" w:rsidRPr="00F621C0" w14:paraId="1D52BD4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D9D9D9" w:themeFill="background1" w:themeFillShade="D9"/>
            <w:hideMark/>
          </w:tcPr>
          <w:p w14:paraId="64EAC349" w14:textId="77777777" w:rsidR="00A97AF1" w:rsidRPr="00F621C0" w:rsidRDefault="00A97AF1" w:rsidP="00A97AF1">
            <w:pPr>
              <w:pStyle w:val="PargrafodaLista"/>
              <w:numPr>
                <w:ilvl w:val="1"/>
                <w:numId w:val="34"/>
              </w:numPr>
              <w:ind w:left="0" w:firstLine="0"/>
              <w:jc w:val="center"/>
              <w:rPr>
                <w:rFonts w:ascii="Arial" w:hAnsi="Arial" w:cs="Arial"/>
              </w:rPr>
            </w:pPr>
            <w:r w:rsidRPr="00F621C0">
              <w:rPr>
                <w:rFonts w:ascii="Arial" w:hAnsi="Arial" w:cs="Arial"/>
                <w:b/>
                <w:bCs/>
                <w:smallCaps/>
              </w:rPr>
              <w:t>Operações com o Gestor e Grupo Econômico</w:t>
            </w:r>
          </w:p>
        </w:tc>
      </w:tr>
      <w:tr w:rsidR="00A97AF1" w:rsidRPr="00F621C0" w14:paraId="718FDB71"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0A3547DC" w14:textId="77777777" w:rsidR="00A97AF1" w:rsidRPr="00F621C0" w:rsidRDefault="00A97AF1" w:rsidP="0075351C">
            <w:pPr>
              <w:jc w:val="both"/>
              <w:rPr>
                <w:rFonts w:ascii="Arial" w:hAnsi="Arial" w:cs="Arial"/>
                <w:sz w:val="20"/>
                <w:szCs w:val="20"/>
                <w:highlight w:val="yellow"/>
              </w:rPr>
            </w:pPr>
          </w:p>
        </w:tc>
        <w:tc>
          <w:tcPr>
            <w:tcW w:w="2032" w:type="pct"/>
            <w:gridSpan w:val="2"/>
            <w:tcBorders>
              <w:top w:val="single" w:sz="4" w:space="0" w:color="auto"/>
              <w:left w:val="nil"/>
              <w:bottom w:val="single" w:sz="4" w:space="0" w:color="auto"/>
              <w:right w:val="nil"/>
            </w:tcBorders>
            <w:vAlign w:val="center"/>
          </w:tcPr>
          <w:p w14:paraId="39127354" w14:textId="77777777" w:rsidR="00A97AF1" w:rsidRPr="00F621C0" w:rsidRDefault="00A97AF1" w:rsidP="0075351C">
            <w:pPr>
              <w:jc w:val="both"/>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13DF1E08" w14:textId="77777777" w:rsidR="00A97AF1" w:rsidRPr="00F621C0" w:rsidRDefault="00A97AF1" w:rsidP="0075351C">
            <w:pPr>
              <w:jc w:val="both"/>
              <w:rPr>
                <w:rFonts w:ascii="Arial" w:hAnsi="Arial" w:cs="Arial"/>
                <w:sz w:val="20"/>
                <w:szCs w:val="20"/>
                <w:highlight w:val="yellow"/>
              </w:rPr>
            </w:pPr>
          </w:p>
        </w:tc>
      </w:tr>
      <w:tr w:rsidR="00A97AF1" w:rsidRPr="00F621C0" w14:paraId="41C51BC4" w14:textId="77777777" w:rsidTr="0075351C">
        <w:trPr>
          <w:gridAfter w:val="1"/>
          <w:wAfter w:w="121" w:type="pct"/>
          <w:trHeight w:val="768"/>
          <w:jc w:val="center"/>
        </w:trPr>
        <w:tc>
          <w:tcPr>
            <w:tcW w:w="2109"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6E26348" w14:textId="77777777" w:rsidR="00A97AF1" w:rsidRPr="00F621C0" w:rsidRDefault="00A97AF1" w:rsidP="0075351C">
            <w:pPr>
              <w:jc w:val="center"/>
              <w:rPr>
                <w:rFonts w:ascii="Arial" w:hAnsi="Arial" w:cs="Arial"/>
                <w:b/>
                <w:bCs/>
                <w:sz w:val="20"/>
                <w:szCs w:val="20"/>
              </w:rPr>
            </w:pPr>
            <w:bookmarkStart w:id="7" w:name="_Hlk138236914"/>
            <w:r w:rsidRPr="00F621C0">
              <w:rPr>
                <w:rFonts w:ascii="Arial" w:hAnsi="Arial" w:cs="Arial"/>
                <w:b/>
                <w:bCs/>
                <w:sz w:val="20"/>
                <w:szCs w:val="20"/>
              </w:rPr>
              <w:t>Operação</w:t>
            </w:r>
          </w:p>
        </w:tc>
        <w:tc>
          <w:tcPr>
            <w:tcW w:w="203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60783EB" w14:textId="77777777" w:rsidR="00A97AF1" w:rsidRPr="00F621C0" w:rsidRDefault="00A97AF1" w:rsidP="0075351C">
            <w:pPr>
              <w:jc w:val="center"/>
              <w:rPr>
                <w:rFonts w:ascii="Arial" w:hAnsi="Arial" w:cs="Arial"/>
                <w:b/>
                <w:bCs/>
                <w:sz w:val="20"/>
                <w:szCs w:val="20"/>
                <w:highlight w:val="yellow"/>
              </w:rPr>
            </w:pPr>
            <w:r w:rsidRPr="00F621C0">
              <w:rPr>
                <w:rFonts w:ascii="Arial" w:hAnsi="Arial" w:cs="Arial"/>
                <w:b/>
                <w:bCs/>
                <w:sz w:val="20"/>
                <w:szCs w:val="20"/>
              </w:rPr>
              <w:t>Permitido / Vedado</w:t>
            </w:r>
          </w:p>
        </w:tc>
        <w:tc>
          <w:tcPr>
            <w:tcW w:w="738" w:type="pct"/>
            <w:tcBorders>
              <w:top w:val="single" w:sz="4" w:space="0" w:color="auto"/>
              <w:left w:val="nil"/>
              <w:bottom w:val="single" w:sz="4" w:space="0" w:color="auto"/>
              <w:right w:val="nil"/>
            </w:tcBorders>
            <w:shd w:val="clear" w:color="auto" w:fill="D9D9D9" w:themeFill="background1" w:themeFillShade="D9"/>
            <w:vAlign w:val="center"/>
            <w:hideMark/>
          </w:tcPr>
          <w:p w14:paraId="095CA225" w14:textId="77777777" w:rsidR="00A97AF1" w:rsidRPr="00F621C0" w:rsidRDefault="00A97AF1" w:rsidP="0075351C">
            <w:pPr>
              <w:jc w:val="center"/>
              <w:rPr>
                <w:rFonts w:ascii="Arial" w:hAnsi="Arial" w:cs="Arial"/>
                <w:b/>
                <w:bCs/>
                <w:sz w:val="20"/>
                <w:szCs w:val="20"/>
                <w:highlight w:val="yellow"/>
              </w:rPr>
            </w:pPr>
            <w:r w:rsidRPr="00F621C0">
              <w:rPr>
                <w:rFonts w:ascii="Arial" w:hAnsi="Arial" w:cs="Arial"/>
                <w:b/>
                <w:bCs/>
                <w:sz w:val="20"/>
                <w:szCs w:val="20"/>
              </w:rPr>
              <w:t>Limite Aplicável (percentual do patrimônio líquido da Classe</w:t>
            </w:r>
            <w:r w:rsidRPr="00F621C0">
              <w:rPr>
                <w:rFonts w:ascii="Arial" w:hAnsi="Arial" w:cs="Arial"/>
                <w:sz w:val="20"/>
                <w:szCs w:val="20"/>
              </w:rPr>
              <w:t xml:space="preserve"> </w:t>
            </w:r>
            <w:r w:rsidRPr="00F621C0">
              <w:rPr>
                <w:rFonts w:ascii="Arial" w:hAnsi="Arial" w:cs="Arial"/>
                <w:b/>
                <w:bCs/>
                <w:sz w:val="20"/>
                <w:szCs w:val="20"/>
              </w:rPr>
              <w:t>Única)</w:t>
            </w:r>
          </w:p>
        </w:tc>
      </w:tr>
      <w:tr w:rsidR="00A97AF1" w:rsidRPr="00F621C0" w14:paraId="36042B93"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41C6FC21" w14:textId="77777777" w:rsidR="00A97AF1" w:rsidRPr="00F621C0" w:rsidRDefault="00A97AF1" w:rsidP="0075351C">
            <w:pPr>
              <w:pStyle w:val="PargrafodaLista"/>
              <w:ind w:left="0"/>
              <w:jc w:val="both"/>
              <w:rPr>
                <w:rFonts w:ascii="Arial" w:hAnsi="Arial" w:cs="Arial"/>
              </w:rPr>
            </w:pPr>
          </w:p>
        </w:tc>
        <w:tc>
          <w:tcPr>
            <w:tcW w:w="2032" w:type="pct"/>
            <w:gridSpan w:val="2"/>
            <w:tcBorders>
              <w:top w:val="single" w:sz="4" w:space="0" w:color="auto"/>
              <w:left w:val="nil"/>
              <w:bottom w:val="single" w:sz="4" w:space="0" w:color="auto"/>
              <w:right w:val="nil"/>
            </w:tcBorders>
            <w:vAlign w:val="center"/>
          </w:tcPr>
          <w:p w14:paraId="09C3543C" w14:textId="77777777" w:rsidR="00A97AF1" w:rsidRPr="00F621C0"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258337E6" w14:textId="77777777" w:rsidR="00A97AF1" w:rsidRPr="00F621C0" w:rsidRDefault="00A97AF1" w:rsidP="0075351C">
            <w:pPr>
              <w:jc w:val="both"/>
              <w:rPr>
                <w:rFonts w:ascii="Arial" w:hAnsi="Arial" w:cs="Arial"/>
                <w:sz w:val="20"/>
                <w:szCs w:val="20"/>
                <w:highlight w:val="yellow"/>
              </w:rPr>
            </w:pPr>
          </w:p>
        </w:tc>
      </w:tr>
      <w:bookmarkEnd w:id="7"/>
      <w:tr w:rsidR="00A97AF1" w:rsidRPr="00F621C0" w14:paraId="5482D489"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hideMark/>
          </w:tcPr>
          <w:p w14:paraId="59088902" w14:textId="77777777" w:rsidR="00A97AF1" w:rsidRPr="00F621C0" w:rsidRDefault="00A97AF1" w:rsidP="00A97AF1">
            <w:pPr>
              <w:pStyle w:val="PargrafodaLista"/>
              <w:numPr>
                <w:ilvl w:val="0"/>
                <w:numId w:val="16"/>
              </w:numPr>
              <w:ind w:left="0" w:firstLine="0"/>
              <w:jc w:val="both"/>
              <w:rPr>
                <w:rFonts w:ascii="Arial" w:hAnsi="Arial" w:cs="Arial"/>
              </w:rPr>
            </w:pPr>
            <w:r w:rsidRPr="00F621C0">
              <w:rPr>
                <w:rFonts w:ascii="Arial" w:hAnsi="Arial" w:cs="Arial"/>
              </w:rPr>
              <w:t>Títulos ou valores mobiliários de emissão do Gestor ou de empresas de seu grupo econômico.</w:t>
            </w:r>
          </w:p>
        </w:tc>
        <w:tc>
          <w:tcPr>
            <w:tcW w:w="2032" w:type="pct"/>
            <w:gridSpan w:val="2"/>
            <w:tcBorders>
              <w:top w:val="single" w:sz="4" w:space="0" w:color="auto"/>
              <w:left w:val="nil"/>
              <w:bottom w:val="single" w:sz="4" w:space="0" w:color="auto"/>
              <w:right w:val="nil"/>
            </w:tcBorders>
            <w:vAlign w:val="center"/>
            <w:hideMark/>
          </w:tcPr>
          <w:p w14:paraId="377CED11" w14:textId="77777777" w:rsidR="00A97AF1" w:rsidRPr="00F621C0" w:rsidRDefault="00A97AF1" w:rsidP="0075351C">
            <w:pPr>
              <w:jc w:val="center"/>
              <w:rPr>
                <w:rFonts w:ascii="Arial" w:hAnsi="Arial" w:cs="Arial"/>
                <w:sz w:val="20"/>
                <w:szCs w:val="20"/>
                <w:highlight w:val="yellow"/>
              </w:rPr>
            </w:pPr>
            <w:r w:rsidRPr="00F621C0">
              <w:rPr>
                <w:rFonts w:ascii="Arial" w:hAnsi="Arial" w:cs="Arial"/>
                <w:sz w:val="20"/>
                <w:szCs w:val="20"/>
              </w:rPr>
              <w:t>Permitido</w:t>
            </w:r>
          </w:p>
        </w:tc>
        <w:tc>
          <w:tcPr>
            <w:tcW w:w="738" w:type="pct"/>
            <w:tcBorders>
              <w:top w:val="single" w:sz="4" w:space="0" w:color="auto"/>
              <w:left w:val="nil"/>
              <w:bottom w:val="single" w:sz="4" w:space="0" w:color="auto"/>
              <w:right w:val="nil"/>
            </w:tcBorders>
            <w:vAlign w:val="center"/>
            <w:hideMark/>
          </w:tcPr>
          <w:p w14:paraId="4E9F68C3"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5%</w:t>
            </w:r>
          </w:p>
        </w:tc>
      </w:tr>
      <w:tr w:rsidR="00A97AF1" w:rsidRPr="00F621C0" w14:paraId="225FDC7F"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3A20617D" w14:textId="77777777" w:rsidR="00A97AF1" w:rsidRPr="00F621C0" w:rsidRDefault="00A97AF1" w:rsidP="0075351C">
            <w:pPr>
              <w:jc w:val="both"/>
              <w:rPr>
                <w:rFonts w:ascii="Arial" w:hAnsi="Arial" w:cs="Arial"/>
                <w:sz w:val="20"/>
                <w:szCs w:val="20"/>
                <w:highlight w:val="yellow"/>
              </w:rPr>
            </w:pPr>
          </w:p>
        </w:tc>
        <w:tc>
          <w:tcPr>
            <w:tcW w:w="2032" w:type="pct"/>
            <w:gridSpan w:val="2"/>
            <w:tcBorders>
              <w:top w:val="single" w:sz="4" w:space="0" w:color="auto"/>
              <w:left w:val="nil"/>
              <w:bottom w:val="single" w:sz="4" w:space="0" w:color="auto"/>
              <w:right w:val="nil"/>
            </w:tcBorders>
            <w:vAlign w:val="center"/>
          </w:tcPr>
          <w:p w14:paraId="0748CA76" w14:textId="77777777" w:rsidR="00A97AF1" w:rsidRPr="00F621C0"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0E8BC060" w14:textId="77777777" w:rsidR="00A97AF1" w:rsidRPr="00F621C0" w:rsidRDefault="00A97AF1" w:rsidP="0075351C">
            <w:pPr>
              <w:jc w:val="center"/>
              <w:rPr>
                <w:rFonts w:ascii="Arial" w:hAnsi="Arial" w:cs="Arial"/>
                <w:sz w:val="20"/>
                <w:szCs w:val="20"/>
              </w:rPr>
            </w:pPr>
          </w:p>
        </w:tc>
      </w:tr>
      <w:tr w:rsidR="00A97AF1" w:rsidRPr="00F621C0" w14:paraId="4795806F"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hideMark/>
          </w:tcPr>
          <w:p w14:paraId="529AC1C3" w14:textId="77777777" w:rsidR="00A97AF1" w:rsidRPr="00F621C0" w:rsidRDefault="00A97AF1" w:rsidP="00A97AF1">
            <w:pPr>
              <w:pStyle w:val="PargrafodaLista"/>
              <w:numPr>
                <w:ilvl w:val="0"/>
                <w:numId w:val="16"/>
              </w:numPr>
              <w:ind w:left="0" w:firstLine="0"/>
              <w:jc w:val="both"/>
              <w:rPr>
                <w:rFonts w:ascii="Arial" w:hAnsi="Arial" w:cs="Arial"/>
              </w:rPr>
            </w:pPr>
            <w:r w:rsidRPr="00F621C0">
              <w:rPr>
                <w:rFonts w:ascii="Arial" w:hAnsi="Arial" w:cs="Arial"/>
              </w:rPr>
              <w:t>Cotas de classes de fundos de investimento geridas pelo Gestor ou empresas de seu grupo econômico.</w:t>
            </w:r>
          </w:p>
        </w:tc>
        <w:tc>
          <w:tcPr>
            <w:tcW w:w="2032" w:type="pct"/>
            <w:gridSpan w:val="2"/>
            <w:tcBorders>
              <w:top w:val="single" w:sz="4" w:space="0" w:color="auto"/>
              <w:left w:val="nil"/>
              <w:bottom w:val="single" w:sz="4" w:space="0" w:color="auto"/>
              <w:right w:val="nil"/>
            </w:tcBorders>
            <w:vAlign w:val="center"/>
            <w:hideMark/>
          </w:tcPr>
          <w:p w14:paraId="16083693" w14:textId="77777777" w:rsidR="00A97AF1" w:rsidRPr="00F621C0" w:rsidRDefault="00A97AF1" w:rsidP="0075351C">
            <w:pPr>
              <w:jc w:val="center"/>
              <w:rPr>
                <w:rFonts w:ascii="Arial" w:hAnsi="Arial" w:cs="Arial"/>
                <w:sz w:val="20"/>
                <w:szCs w:val="20"/>
                <w:highlight w:val="yellow"/>
              </w:rPr>
            </w:pPr>
            <w:r w:rsidRPr="00F621C0">
              <w:rPr>
                <w:rFonts w:ascii="Arial" w:hAnsi="Arial" w:cs="Arial"/>
                <w:sz w:val="20"/>
                <w:szCs w:val="20"/>
              </w:rPr>
              <w:t>Permitido</w:t>
            </w:r>
          </w:p>
        </w:tc>
        <w:tc>
          <w:tcPr>
            <w:tcW w:w="738" w:type="pct"/>
            <w:tcBorders>
              <w:top w:val="single" w:sz="4" w:space="0" w:color="auto"/>
              <w:left w:val="nil"/>
              <w:bottom w:val="single" w:sz="4" w:space="0" w:color="auto"/>
              <w:right w:val="nil"/>
            </w:tcBorders>
            <w:vAlign w:val="center"/>
            <w:hideMark/>
          </w:tcPr>
          <w:p w14:paraId="54226BFC"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5%</w:t>
            </w:r>
          </w:p>
        </w:tc>
      </w:tr>
      <w:tr w:rsidR="00A97AF1" w:rsidRPr="00F621C0" w14:paraId="22381E73"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4D6CECA7" w14:textId="77777777" w:rsidR="00A97AF1" w:rsidRPr="00F621C0" w:rsidRDefault="00A97AF1" w:rsidP="0075351C">
            <w:pPr>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66BFA3B3" w14:textId="77777777" w:rsidR="00A97AF1" w:rsidRPr="00F621C0"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60F7EC7B" w14:textId="77777777" w:rsidR="00A97AF1" w:rsidRPr="00F621C0" w:rsidRDefault="00A97AF1" w:rsidP="0075351C">
            <w:pPr>
              <w:jc w:val="center"/>
              <w:rPr>
                <w:rFonts w:ascii="Arial" w:hAnsi="Arial" w:cs="Arial"/>
                <w:sz w:val="20"/>
                <w:szCs w:val="20"/>
              </w:rPr>
            </w:pPr>
          </w:p>
        </w:tc>
      </w:tr>
      <w:tr w:rsidR="00A97AF1" w:rsidRPr="00F621C0" w14:paraId="7304FFC4"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hideMark/>
          </w:tcPr>
          <w:p w14:paraId="5DF4ED9A" w14:textId="77777777" w:rsidR="00A97AF1" w:rsidRPr="00F621C0" w:rsidRDefault="00A97AF1" w:rsidP="00A97AF1">
            <w:pPr>
              <w:pStyle w:val="PargrafodaLista"/>
              <w:numPr>
                <w:ilvl w:val="0"/>
                <w:numId w:val="16"/>
              </w:numPr>
              <w:ind w:left="0" w:firstLine="0"/>
              <w:jc w:val="both"/>
              <w:rPr>
                <w:rFonts w:ascii="Arial" w:hAnsi="Arial" w:cs="Arial"/>
              </w:rPr>
            </w:pPr>
            <w:r w:rsidRPr="00F621C0">
              <w:rPr>
                <w:rFonts w:ascii="Arial" w:hAnsi="Arial" w:cs="Arial"/>
              </w:rPr>
              <w:t>Operações tendo como contraparte o Gestor e empresas de seu grupo econômico, bem como classes de fundos de investimento, clubes de investimento e/ou carteiras administradas geridas pelo Gestor</w:t>
            </w:r>
            <w:r w:rsidRPr="00F621C0">
              <w:rPr>
                <w:rFonts w:ascii="Arial" w:hAnsi="Arial" w:cs="Arial"/>
                <w:smallCaps/>
              </w:rPr>
              <w:t xml:space="preserve"> </w:t>
            </w:r>
            <w:r w:rsidRPr="00F621C0">
              <w:rPr>
                <w:rFonts w:ascii="Arial" w:hAnsi="Arial" w:cs="Arial"/>
              </w:rPr>
              <w:t>ou por empresas de seu grupo econômico.</w:t>
            </w:r>
          </w:p>
        </w:tc>
        <w:tc>
          <w:tcPr>
            <w:tcW w:w="2032" w:type="pct"/>
            <w:gridSpan w:val="2"/>
            <w:tcBorders>
              <w:top w:val="single" w:sz="4" w:space="0" w:color="auto"/>
              <w:left w:val="nil"/>
              <w:bottom w:val="single" w:sz="4" w:space="0" w:color="auto"/>
              <w:right w:val="nil"/>
            </w:tcBorders>
            <w:vAlign w:val="center"/>
            <w:hideMark/>
          </w:tcPr>
          <w:p w14:paraId="184C2642" w14:textId="77777777" w:rsidR="00A97AF1" w:rsidRPr="00F621C0" w:rsidRDefault="00A97AF1" w:rsidP="0075351C">
            <w:pPr>
              <w:jc w:val="center"/>
              <w:rPr>
                <w:rFonts w:ascii="Arial" w:hAnsi="Arial" w:cs="Arial"/>
                <w:sz w:val="20"/>
                <w:szCs w:val="20"/>
                <w:highlight w:val="yellow"/>
              </w:rPr>
            </w:pPr>
            <w:r w:rsidRPr="00F621C0">
              <w:rPr>
                <w:rFonts w:ascii="Arial" w:hAnsi="Arial" w:cs="Arial"/>
                <w:sz w:val="20"/>
                <w:szCs w:val="20"/>
              </w:rPr>
              <w:t>Permitido</w:t>
            </w:r>
          </w:p>
        </w:tc>
        <w:tc>
          <w:tcPr>
            <w:tcW w:w="738" w:type="pct"/>
            <w:tcBorders>
              <w:top w:val="single" w:sz="4" w:space="0" w:color="auto"/>
              <w:left w:val="nil"/>
              <w:bottom w:val="single" w:sz="4" w:space="0" w:color="auto"/>
              <w:right w:val="nil"/>
            </w:tcBorders>
            <w:vAlign w:val="center"/>
            <w:hideMark/>
          </w:tcPr>
          <w:p w14:paraId="3C646860" w14:textId="77777777" w:rsidR="00A97AF1" w:rsidRPr="00F621C0" w:rsidRDefault="00A97AF1" w:rsidP="0075351C">
            <w:pPr>
              <w:jc w:val="center"/>
              <w:rPr>
                <w:rFonts w:ascii="Arial" w:hAnsi="Arial" w:cs="Arial"/>
                <w:sz w:val="20"/>
                <w:szCs w:val="20"/>
              </w:rPr>
            </w:pPr>
            <w:r w:rsidRPr="00F621C0">
              <w:rPr>
                <w:rFonts w:ascii="Arial" w:hAnsi="Arial" w:cs="Arial"/>
                <w:sz w:val="20"/>
                <w:szCs w:val="20"/>
              </w:rPr>
              <w:t>5%</w:t>
            </w:r>
          </w:p>
        </w:tc>
      </w:tr>
      <w:tr w:rsidR="00A97AF1" w:rsidRPr="00F621C0" w14:paraId="713B42BF"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21D4FAB1" w14:textId="77777777" w:rsidR="00A97AF1" w:rsidRPr="00F621C0" w:rsidRDefault="00A97AF1" w:rsidP="0075351C">
            <w:pPr>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02A20EC7" w14:textId="77777777" w:rsidR="00A97AF1" w:rsidRPr="00F621C0"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1E1D9DCB" w14:textId="77777777" w:rsidR="00A97AF1" w:rsidRPr="00F621C0" w:rsidRDefault="00A97AF1" w:rsidP="0075351C">
            <w:pPr>
              <w:jc w:val="both"/>
              <w:rPr>
                <w:rFonts w:ascii="Arial" w:hAnsi="Arial" w:cs="Arial"/>
                <w:sz w:val="20"/>
                <w:szCs w:val="20"/>
                <w:highlight w:val="yellow"/>
              </w:rPr>
            </w:pPr>
          </w:p>
        </w:tc>
      </w:tr>
      <w:tr w:rsidR="00A97AF1" w:rsidRPr="00F621C0" w14:paraId="0A511C4C"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D9D9D9" w:themeFill="background1" w:themeFillShade="D9"/>
            <w:vAlign w:val="center"/>
          </w:tcPr>
          <w:p w14:paraId="097C8D9B" w14:textId="77777777" w:rsidR="00A97AF1" w:rsidRPr="00F621C0" w:rsidRDefault="00A97AF1" w:rsidP="00A97AF1">
            <w:pPr>
              <w:pStyle w:val="PargrafodaLista"/>
              <w:numPr>
                <w:ilvl w:val="1"/>
                <w:numId w:val="34"/>
              </w:numPr>
              <w:ind w:left="0" w:firstLine="0"/>
              <w:jc w:val="center"/>
              <w:rPr>
                <w:rFonts w:ascii="Arial" w:hAnsi="Arial" w:cs="Arial"/>
              </w:rPr>
            </w:pPr>
            <w:r w:rsidRPr="00F621C0">
              <w:rPr>
                <w:rFonts w:ascii="Arial" w:hAnsi="Arial" w:cs="Arial"/>
                <w:b/>
                <w:bCs/>
                <w:smallCaps/>
              </w:rPr>
              <w:t>Condições Gerais das Operações</w:t>
            </w:r>
            <w:r w:rsidRPr="00F621C0">
              <w:rPr>
                <w:rFonts w:ascii="Arial" w:hAnsi="Arial" w:cs="Arial"/>
              </w:rPr>
              <w:t xml:space="preserve"> </w:t>
            </w:r>
            <w:r w:rsidRPr="00F621C0">
              <w:rPr>
                <w:rFonts w:ascii="Arial" w:hAnsi="Arial" w:cs="Arial"/>
                <w:b/>
                <w:bCs/>
                <w:smallCaps/>
              </w:rPr>
              <w:t xml:space="preserve"> </w:t>
            </w:r>
          </w:p>
        </w:tc>
      </w:tr>
      <w:tr w:rsidR="00A97AF1" w:rsidRPr="00F621C0" w14:paraId="28DA1023"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64B750CC" w14:textId="77777777" w:rsidR="00A97AF1" w:rsidRPr="00F621C0" w:rsidRDefault="00A97AF1" w:rsidP="0075351C">
            <w:pPr>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67A37CFF" w14:textId="77777777" w:rsidR="00A97AF1" w:rsidRPr="00F621C0"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05FF2924" w14:textId="77777777" w:rsidR="00A97AF1" w:rsidRPr="00F621C0" w:rsidRDefault="00A97AF1" w:rsidP="0075351C">
            <w:pPr>
              <w:jc w:val="both"/>
              <w:rPr>
                <w:rFonts w:ascii="Arial" w:hAnsi="Arial" w:cs="Arial"/>
                <w:sz w:val="20"/>
                <w:szCs w:val="20"/>
                <w:highlight w:val="yellow"/>
              </w:rPr>
            </w:pPr>
          </w:p>
        </w:tc>
      </w:tr>
      <w:tr w:rsidR="00A97AF1" w:rsidRPr="00F621C0" w14:paraId="20570C41"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50A9E22F" w14:textId="77777777" w:rsidR="00A97AF1" w:rsidRPr="00F621C0" w:rsidRDefault="00A97AF1" w:rsidP="00A97AF1">
            <w:pPr>
              <w:pStyle w:val="PargrafodaLista"/>
              <w:numPr>
                <w:ilvl w:val="2"/>
                <w:numId w:val="34"/>
              </w:numPr>
              <w:ind w:left="0" w:firstLine="0"/>
              <w:jc w:val="both"/>
              <w:rPr>
                <w:rFonts w:ascii="Arial" w:hAnsi="Arial" w:cs="Arial"/>
              </w:rPr>
            </w:pPr>
            <w:r w:rsidRPr="00F621C0">
              <w:rPr>
                <w:rFonts w:ascii="Arial" w:hAnsi="Arial" w:cs="Arial"/>
              </w:rPr>
              <w:t>A Classe Única e as classes de fundos de investimento investidas, incluindo o FIP Vinci e o FIP Vinci Master, poderão:</w:t>
            </w:r>
          </w:p>
        </w:tc>
      </w:tr>
      <w:tr w:rsidR="00A97AF1" w:rsidRPr="00F621C0" w14:paraId="63E11523"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467DD1A9" w14:textId="77777777" w:rsidR="00A97AF1" w:rsidRPr="00F621C0" w:rsidRDefault="00A97AF1" w:rsidP="0075351C">
            <w:pPr>
              <w:pStyle w:val="PargrafodaLista"/>
              <w:ind w:left="0"/>
              <w:jc w:val="both"/>
              <w:rPr>
                <w:rFonts w:ascii="Arial" w:hAnsi="Arial" w:cs="Arial"/>
              </w:rPr>
            </w:pPr>
          </w:p>
        </w:tc>
      </w:tr>
      <w:tr w:rsidR="00A97AF1" w:rsidRPr="00F621C0" w14:paraId="6600516B"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4CF4CA43" w14:textId="77777777" w:rsidR="00A97AF1" w:rsidRPr="00F621C0" w:rsidRDefault="00A97AF1" w:rsidP="00A97AF1">
            <w:pPr>
              <w:pStyle w:val="PargrafodaLista"/>
              <w:numPr>
                <w:ilvl w:val="0"/>
                <w:numId w:val="17"/>
              </w:numPr>
              <w:ind w:left="0" w:firstLine="0"/>
              <w:jc w:val="both"/>
              <w:rPr>
                <w:rFonts w:ascii="Arial" w:hAnsi="Arial" w:cs="Arial"/>
              </w:rPr>
            </w:pPr>
            <w:r w:rsidRPr="00F621C0">
              <w:rPr>
                <w:rFonts w:ascii="Arial" w:hAnsi="Arial" w:cs="Arial"/>
              </w:rPr>
              <w:t>realizar operações compromissadas de acordo com a regulamentação do Conselho Monetário Nacional utilizando como objeto os ativos financeiros que possam integrar suas carteiras.</w:t>
            </w:r>
          </w:p>
        </w:tc>
      </w:tr>
      <w:tr w:rsidR="00A97AF1" w:rsidRPr="00F621C0" w14:paraId="11C84DC1" w14:textId="77777777" w:rsidTr="0075351C">
        <w:trPr>
          <w:gridAfter w:val="1"/>
          <w:wAfter w:w="121" w:type="pct"/>
          <w:jc w:val="center"/>
        </w:trPr>
        <w:tc>
          <w:tcPr>
            <w:tcW w:w="2109" w:type="pct"/>
            <w:gridSpan w:val="6"/>
            <w:tcBorders>
              <w:top w:val="single" w:sz="4" w:space="0" w:color="auto"/>
              <w:left w:val="nil"/>
              <w:bottom w:val="single" w:sz="4" w:space="0" w:color="auto"/>
              <w:right w:val="nil"/>
            </w:tcBorders>
            <w:vAlign w:val="center"/>
          </w:tcPr>
          <w:p w14:paraId="354050FC" w14:textId="77777777" w:rsidR="00A97AF1" w:rsidRPr="00F621C0" w:rsidRDefault="00A97AF1" w:rsidP="0075351C">
            <w:pPr>
              <w:jc w:val="both"/>
              <w:rPr>
                <w:rFonts w:ascii="Arial" w:hAnsi="Arial" w:cs="Arial"/>
                <w:sz w:val="20"/>
                <w:szCs w:val="20"/>
              </w:rPr>
            </w:pPr>
          </w:p>
        </w:tc>
        <w:tc>
          <w:tcPr>
            <w:tcW w:w="2032" w:type="pct"/>
            <w:gridSpan w:val="2"/>
            <w:tcBorders>
              <w:top w:val="single" w:sz="4" w:space="0" w:color="auto"/>
              <w:left w:val="nil"/>
              <w:bottom w:val="single" w:sz="4" w:space="0" w:color="auto"/>
              <w:right w:val="nil"/>
            </w:tcBorders>
            <w:vAlign w:val="center"/>
          </w:tcPr>
          <w:p w14:paraId="7F6FA896" w14:textId="77777777" w:rsidR="00A97AF1" w:rsidRPr="00F621C0" w:rsidRDefault="00A97AF1" w:rsidP="0075351C">
            <w:pPr>
              <w:jc w:val="center"/>
              <w:rPr>
                <w:rFonts w:ascii="Arial" w:hAnsi="Arial" w:cs="Arial"/>
                <w:sz w:val="20"/>
                <w:szCs w:val="20"/>
                <w:highlight w:val="yellow"/>
              </w:rPr>
            </w:pPr>
          </w:p>
        </w:tc>
        <w:tc>
          <w:tcPr>
            <w:tcW w:w="738" w:type="pct"/>
            <w:tcBorders>
              <w:top w:val="single" w:sz="4" w:space="0" w:color="auto"/>
              <w:left w:val="nil"/>
              <w:bottom w:val="single" w:sz="4" w:space="0" w:color="auto"/>
              <w:right w:val="nil"/>
            </w:tcBorders>
            <w:vAlign w:val="center"/>
          </w:tcPr>
          <w:p w14:paraId="79A388E9" w14:textId="77777777" w:rsidR="00A97AF1" w:rsidRPr="00F621C0" w:rsidRDefault="00A97AF1" w:rsidP="0075351C">
            <w:pPr>
              <w:jc w:val="center"/>
              <w:rPr>
                <w:rFonts w:ascii="Arial" w:hAnsi="Arial" w:cs="Arial"/>
                <w:sz w:val="20"/>
                <w:szCs w:val="20"/>
                <w:highlight w:val="yellow"/>
              </w:rPr>
            </w:pPr>
          </w:p>
        </w:tc>
      </w:tr>
      <w:tr w:rsidR="00A97AF1" w:rsidRPr="00F621C0" w14:paraId="737D8D8E"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4C5BA95F" w14:textId="77777777" w:rsidR="00A97AF1" w:rsidRPr="00F621C0" w:rsidRDefault="00A97AF1" w:rsidP="00A97AF1">
            <w:pPr>
              <w:pStyle w:val="PargrafodaLista"/>
              <w:numPr>
                <w:ilvl w:val="0"/>
                <w:numId w:val="17"/>
              </w:numPr>
              <w:ind w:left="0" w:firstLine="0"/>
              <w:jc w:val="both"/>
              <w:rPr>
                <w:rFonts w:ascii="Arial" w:hAnsi="Arial" w:cs="Arial"/>
              </w:rPr>
            </w:pPr>
            <w:r w:rsidRPr="00F621C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97AF1" w:rsidRPr="00F621C0" w14:paraId="1E685C0C"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32AC7DF1" w14:textId="77777777" w:rsidR="00A97AF1" w:rsidRPr="00F621C0" w:rsidRDefault="00A97AF1" w:rsidP="0075351C">
            <w:pPr>
              <w:pStyle w:val="PargrafodaLista"/>
              <w:ind w:left="0"/>
              <w:jc w:val="both"/>
              <w:rPr>
                <w:rFonts w:ascii="Arial" w:hAnsi="Arial" w:cs="Arial"/>
              </w:rPr>
            </w:pPr>
          </w:p>
        </w:tc>
      </w:tr>
      <w:tr w:rsidR="00A97AF1" w:rsidRPr="00F621C0" w14:paraId="279A11BC"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249FF581" w14:textId="77777777" w:rsidR="00A97AF1" w:rsidRPr="00F621C0" w:rsidRDefault="00A97AF1" w:rsidP="00A97AF1">
            <w:pPr>
              <w:pStyle w:val="PargrafodaLista"/>
              <w:numPr>
                <w:ilvl w:val="0"/>
                <w:numId w:val="17"/>
              </w:numPr>
              <w:ind w:left="0" w:firstLine="0"/>
              <w:jc w:val="both"/>
              <w:rPr>
                <w:rFonts w:ascii="Arial" w:hAnsi="Arial" w:cs="Arial"/>
              </w:rPr>
            </w:pPr>
            <w:r w:rsidRPr="00F621C0">
              <w:rPr>
                <w:rFonts w:ascii="Arial" w:hAnsi="Arial" w:cs="Arial"/>
                <w:color w:val="000000"/>
              </w:rPr>
              <w:t>utilizar ativos de suas carteiras para a prestação de fiança, aval, aceite ou qualquer outra forma de retenção de risco pelo respectivo gestor, relativamente a operações relacionadas à carteira de ativos do FIP Vinci ou do FIP Vinci Master.</w:t>
            </w:r>
          </w:p>
        </w:tc>
      </w:tr>
      <w:tr w:rsidR="00A97AF1" w:rsidRPr="00F621C0" w14:paraId="5396290D" w14:textId="77777777" w:rsidTr="0075351C">
        <w:trPr>
          <w:gridAfter w:val="2"/>
          <w:wAfter w:w="859" w:type="pct"/>
          <w:jc w:val="center"/>
        </w:trPr>
        <w:tc>
          <w:tcPr>
            <w:tcW w:w="2109" w:type="pct"/>
            <w:gridSpan w:val="6"/>
            <w:tcBorders>
              <w:top w:val="single" w:sz="4" w:space="0" w:color="auto"/>
              <w:left w:val="nil"/>
              <w:bottom w:val="single" w:sz="4" w:space="0" w:color="auto"/>
              <w:right w:val="nil"/>
            </w:tcBorders>
            <w:vAlign w:val="center"/>
          </w:tcPr>
          <w:p w14:paraId="5CA711CB" w14:textId="77777777" w:rsidR="00A97AF1" w:rsidRPr="00F621C0" w:rsidRDefault="00A97AF1" w:rsidP="0075351C">
            <w:pPr>
              <w:pStyle w:val="PargrafodaLista"/>
              <w:ind w:left="0"/>
              <w:jc w:val="both"/>
              <w:rPr>
                <w:rFonts w:ascii="Arial" w:hAnsi="Arial" w:cs="Arial"/>
              </w:rPr>
            </w:pPr>
          </w:p>
        </w:tc>
        <w:tc>
          <w:tcPr>
            <w:tcW w:w="1449" w:type="pct"/>
            <w:tcBorders>
              <w:top w:val="single" w:sz="4" w:space="0" w:color="auto"/>
              <w:left w:val="nil"/>
              <w:bottom w:val="single" w:sz="4" w:space="0" w:color="auto"/>
              <w:right w:val="nil"/>
            </w:tcBorders>
            <w:vAlign w:val="center"/>
          </w:tcPr>
          <w:p w14:paraId="106270F1" w14:textId="77777777" w:rsidR="00A97AF1" w:rsidRPr="00F621C0" w:rsidRDefault="00A97AF1" w:rsidP="0075351C">
            <w:pPr>
              <w:jc w:val="center"/>
              <w:rPr>
                <w:rFonts w:ascii="Arial" w:hAnsi="Arial" w:cs="Arial"/>
                <w:sz w:val="20"/>
                <w:szCs w:val="20"/>
                <w:highlight w:val="yellow"/>
              </w:rPr>
            </w:pPr>
          </w:p>
        </w:tc>
        <w:tc>
          <w:tcPr>
            <w:tcW w:w="582" w:type="pct"/>
            <w:tcBorders>
              <w:top w:val="single" w:sz="4" w:space="0" w:color="auto"/>
              <w:left w:val="nil"/>
              <w:bottom w:val="single" w:sz="4" w:space="0" w:color="auto"/>
              <w:right w:val="nil"/>
            </w:tcBorders>
            <w:vAlign w:val="center"/>
          </w:tcPr>
          <w:p w14:paraId="2B937903" w14:textId="77777777" w:rsidR="00A97AF1" w:rsidRPr="00F621C0" w:rsidRDefault="00A97AF1" w:rsidP="0075351C">
            <w:pPr>
              <w:jc w:val="center"/>
              <w:rPr>
                <w:rFonts w:ascii="Arial" w:hAnsi="Arial" w:cs="Arial"/>
                <w:sz w:val="20"/>
                <w:szCs w:val="20"/>
              </w:rPr>
            </w:pPr>
          </w:p>
        </w:tc>
      </w:tr>
      <w:tr w:rsidR="00A97AF1" w:rsidRPr="00F621C0" w14:paraId="38BBB30B"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42B1C412" w14:textId="77777777" w:rsidR="00A97AF1" w:rsidRPr="00F621C0" w:rsidRDefault="00A97AF1" w:rsidP="0075351C">
            <w:pPr>
              <w:pStyle w:val="PargrafodaLista"/>
              <w:ind w:left="0"/>
              <w:jc w:val="both"/>
              <w:rPr>
                <w:rFonts w:ascii="Arial" w:hAnsi="Arial" w:cs="Arial"/>
              </w:rPr>
            </w:pPr>
            <w:r w:rsidRPr="00F621C0">
              <w:rPr>
                <w:rFonts w:ascii="Arial" w:hAnsi="Arial" w:cs="Arial"/>
              </w:rPr>
              <w:t>d) realizar suas operações por meio de instituições autorizadas a operar no mercado de títulos e/ou valores mobiliários, ligadas ou não ao respectivo gestor</w:t>
            </w:r>
            <w:r w:rsidRPr="00F621C0">
              <w:rPr>
                <w:rFonts w:ascii="Arial" w:hAnsi="Arial" w:cs="Arial"/>
                <w:smallCaps/>
              </w:rPr>
              <w:t xml:space="preserve"> </w:t>
            </w:r>
            <w:r w:rsidRPr="00F621C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97AF1" w:rsidRPr="00F621C0" w14:paraId="3EAF957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13D071EF" w14:textId="77777777" w:rsidR="00A97AF1" w:rsidRPr="00F621C0" w:rsidRDefault="00A97AF1" w:rsidP="0075351C">
            <w:pPr>
              <w:pStyle w:val="PargrafodaLista"/>
              <w:ind w:left="0"/>
              <w:jc w:val="both"/>
              <w:rPr>
                <w:rFonts w:ascii="Arial" w:hAnsi="Arial" w:cs="Arial"/>
              </w:rPr>
            </w:pPr>
          </w:p>
        </w:tc>
      </w:tr>
      <w:tr w:rsidR="00A97AF1" w:rsidRPr="00F621C0" w14:paraId="34CDA536"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71070166"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e) contrair empréstimos para fazer frente ao inadimplemento de cotistas que deixem de integralizar suas cotas subscritas em chamadas de capital.</w:t>
            </w:r>
          </w:p>
        </w:tc>
      </w:tr>
      <w:tr w:rsidR="00A97AF1" w:rsidRPr="00F621C0" w14:paraId="6C71E618"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5047C589" w14:textId="77777777" w:rsidR="00A97AF1" w:rsidRPr="00F621C0" w:rsidRDefault="00A97AF1" w:rsidP="0075351C">
            <w:pPr>
              <w:pStyle w:val="PargrafodaLista"/>
              <w:ind w:left="0"/>
              <w:jc w:val="both"/>
              <w:rPr>
                <w:rFonts w:ascii="Arial" w:hAnsi="Arial" w:cs="Arial"/>
              </w:rPr>
            </w:pPr>
          </w:p>
        </w:tc>
      </w:tr>
      <w:tr w:rsidR="00A97AF1" w:rsidRPr="00F621C0" w14:paraId="39DE21B1"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hideMark/>
          </w:tcPr>
          <w:p w14:paraId="689511F0" w14:textId="77777777" w:rsidR="00A97AF1" w:rsidRPr="00F621C0" w:rsidRDefault="00A97AF1" w:rsidP="00A97AF1">
            <w:pPr>
              <w:pStyle w:val="PargrafodaLista"/>
              <w:numPr>
                <w:ilvl w:val="2"/>
                <w:numId w:val="34"/>
              </w:numPr>
              <w:ind w:left="0" w:firstLine="0"/>
              <w:jc w:val="both"/>
              <w:rPr>
                <w:rFonts w:ascii="Arial" w:hAnsi="Arial" w:cs="Arial"/>
              </w:rPr>
            </w:pPr>
            <w:r w:rsidRPr="00F621C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Única e/ou a carteira das classes de fundos de investimento investidas.</w:t>
            </w:r>
          </w:p>
        </w:tc>
      </w:tr>
      <w:tr w:rsidR="00A97AF1" w:rsidRPr="00F621C0" w14:paraId="5ED20F53"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vAlign w:val="center"/>
          </w:tcPr>
          <w:p w14:paraId="19BF66A9" w14:textId="77777777" w:rsidR="00A97AF1" w:rsidRPr="00F621C0" w:rsidRDefault="00A97AF1" w:rsidP="0075351C">
            <w:pPr>
              <w:pStyle w:val="PargrafodaLista"/>
              <w:ind w:left="0"/>
              <w:jc w:val="both"/>
              <w:rPr>
                <w:rFonts w:ascii="Arial" w:hAnsi="Arial" w:cs="Arial"/>
              </w:rPr>
            </w:pPr>
          </w:p>
        </w:tc>
      </w:tr>
      <w:tr w:rsidR="00A97AF1" w:rsidRPr="00F621C0" w14:paraId="6F35F70D" w14:textId="77777777" w:rsidTr="0075351C">
        <w:trPr>
          <w:gridAfter w:val="1"/>
          <w:wAfter w:w="121" w:type="pct"/>
          <w:trHeight w:val="70"/>
          <w:jc w:val="center"/>
        </w:trPr>
        <w:tc>
          <w:tcPr>
            <w:tcW w:w="4879" w:type="pct"/>
            <w:gridSpan w:val="9"/>
            <w:tcBorders>
              <w:top w:val="single" w:sz="4" w:space="0" w:color="auto"/>
              <w:left w:val="nil"/>
              <w:bottom w:val="single" w:sz="4" w:space="0" w:color="auto"/>
              <w:right w:val="nil"/>
            </w:tcBorders>
            <w:vAlign w:val="center"/>
          </w:tcPr>
          <w:p w14:paraId="3BA2CA41" w14:textId="77777777" w:rsidR="00A97AF1" w:rsidRPr="00F621C0" w:rsidRDefault="00A97AF1" w:rsidP="00A97AF1">
            <w:pPr>
              <w:pStyle w:val="PargrafodaLista"/>
              <w:numPr>
                <w:ilvl w:val="2"/>
                <w:numId w:val="34"/>
              </w:numPr>
              <w:ind w:left="0" w:firstLine="0"/>
              <w:jc w:val="both"/>
              <w:rPr>
                <w:rFonts w:ascii="Arial" w:hAnsi="Arial" w:cs="Arial"/>
              </w:rPr>
            </w:pPr>
            <w:r w:rsidRPr="00F621C0">
              <w:rPr>
                <w:rFonts w:ascii="Arial" w:hAnsi="Arial" w:cs="Arial"/>
              </w:rPr>
              <w:t>A Classe Única poderá, a critério do Gestor e observados os limites de concentração previstos neste Anexo, investir em classes de fundos de investimento geridas pelo Gestor ou empresas de seu grupo econômico</w:t>
            </w:r>
            <w:r w:rsidRPr="00F621C0">
              <w:rPr>
                <w:rFonts w:ascii="Arial" w:hAnsi="Arial" w:cs="Arial"/>
                <w:b/>
                <w:bCs/>
                <w:smallCaps/>
              </w:rPr>
              <w:t>.</w:t>
            </w:r>
          </w:p>
        </w:tc>
      </w:tr>
      <w:tr w:rsidR="00A97AF1" w:rsidRPr="00F621C0" w14:paraId="191ED09A"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FFFFFF" w:themeFill="background1"/>
            <w:vAlign w:val="center"/>
          </w:tcPr>
          <w:p w14:paraId="0453ACF4" w14:textId="77777777" w:rsidR="00A97AF1" w:rsidRPr="00F621C0" w:rsidRDefault="00A97AF1" w:rsidP="0075351C">
            <w:pPr>
              <w:pStyle w:val="PargrafodaLista"/>
              <w:ind w:left="0"/>
              <w:rPr>
                <w:rFonts w:ascii="Arial" w:hAnsi="Arial" w:cs="Arial"/>
                <w:b/>
                <w:bCs/>
                <w:smallCaps/>
              </w:rPr>
            </w:pPr>
          </w:p>
        </w:tc>
      </w:tr>
      <w:tr w:rsidR="00A97AF1" w:rsidRPr="00F621C0" w14:paraId="73B48A5F" w14:textId="77777777" w:rsidTr="0075351C">
        <w:trPr>
          <w:gridAfter w:val="1"/>
          <w:wAfter w:w="121" w:type="pct"/>
          <w:jc w:val="center"/>
        </w:trPr>
        <w:tc>
          <w:tcPr>
            <w:tcW w:w="4879"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E35741E" w14:textId="77777777" w:rsidR="00A97AF1" w:rsidRPr="00F621C0" w:rsidRDefault="00A97AF1" w:rsidP="00A97AF1">
            <w:pPr>
              <w:pStyle w:val="PargrafodaLista"/>
              <w:numPr>
                <w:ilvl w:val="1"/>
                <w:numId w:val="34"/>
              </w:numPr>
              <w:ind w:left="0" w:firstLine="0"/>
              <w:jc w:val="center"/>
              <w:rPr>
                <w:rFonts w:ascii="Arial" w:hAnsi="Arial" w:cs="Arial"/>
              </w:rPr>
            </w:pPr>
            <w:r w:rsidRPr="00F621C0">
              <w:rPr>
                <w:rFonts w:ascii="Arial" w:hAnsi="Arial" w:cs="Arial"/>
                <w:b/>
                <w:bCs/>
                <w:smallCaps/>
              </w:rPr>
              <w:t>Interpretação e Consolidação da Política de Investimentos</w:t>
            </w:r>
          </w:p>
        </w:tc>
      </w:tr>
      <w:tr w:rsidR="00A97AF1" w:rsidRPr="00F621C0" w14:paraId="1E2F5846"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702D58CB" w14:textId="77777777" w:rsidR="00A97AF1" w:rsidRPr="00F621C0" w:rsidRDefault="00A97AF1" w:rsidP="0075351C">
            <w:pPr>
              <w:jc w:val="center"/>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vAlign w:val="center"/>
          </w:tcPr>
          <w:p w14:paraId="16B44E5F" w14:textId="77777777" w:rsidR="00A97AF1" w:rsidRPr="00F621C0" w:rsidRDefault="00A97AF1" w:rsidP="0075351C">
            <w:pPr>
              <w:jc w:val="both"/>
              <w:rPr>
                <w:rFonts w:ascii="Arial" w:hAnsi="Arial" w:cs="Arial"/>
                <w:sz w:val="20"/>
                <w:szCs w:val="20"/>
                <w:highlight w:val="yellow"/>
              </w:rPr>
            </w:pPr>
          </w:p>
        </w:tc>
      </w:tr>
      <w:tr w:rsidR="00A97AF1" w:rsidRPr="00F621C0" w14:paraId="78DACF65"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195A2D07" w14:textId="77777777" w:rsidR="00A97AF1" w:rsidRPr="00F621C0" w:rsidRDefault="00A97AF1" w:rsidP="00A97AF1">
            <w:pPr>
              <w:pStyle w:val="PargrafodaLista"/>
              <w:numPr>
                <w:ilvl w:val="2"/>
                <w:numId w:val="34"/>
              </w:numPr>
              <w:ind w:left="0" w:firstLine="0"/>
              <w:jc w:val="center"/>
              <w:rPr>
                <w:rFonts w:ascii="Arial" w:hAnsi="Arial" w:cs="Arial"/>
                <w:b/>
                <w:bCs/>
                <w:smallCaps/>
              </w:rPr>
            </w:pPr>
            <w:r w:rsidRPr="00F621C0">
              <w:rPr>
                <w:rFonts w:ascii="Arial" w:hAnsi="Arial" w:cs="Arial"/>
                <w:b/>
                <w:bCs/>
                <w:smallCaps/>
              </w:rPr>
              <w:t>Interpretação</w:t>
            </w:r>
          </w:p>
        </w:tc>
        <w:tc>
          <w:tcPr>
            <w:tcW w:w="3156" w:type="pct"/>
            <w:gridSpan w:val="4"/>
            <w:tcBorders>
              <w:top w:val="single" w:sz="4" w:space="0" w:color="auto"/>
              <w:left w:val="nil"/>
              <w:bottom w:val="single" w:sz="4" w:space="0" w:color="auto"/>
              <w:right w:val="nil"/>
            </w:tcBorders>
            <w:hideMark/>
          </w:tcPr>
          <w:p w14:paraId="337E36D7"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 e cumulativamente.</w:t>
            </w:r>
          </w:p>
          <w:p w14:paraId="0C0AB305" w14:textId="77777777" w:rsidR="00A97AF1" w:rsidRPr="00F621C0" w:rsidRDefault="00A97AF1" w:rsidP="0075351C">
            <w:pPr>
              <w:jc w:val="both"/>
              <w:rPr>
                <w:rFonts w:ascii="Arial" w:hAnsi="Arial" w:cs="Arial"/>
                <w:sz w:val="20"/>
                <w:szCs w:val="20"/>
                <w:highlight w:val="yellow"/>
              </w:rPr>
            </w:pPr>
          </w:p>
          <w:p w14:paraId="11828349"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 xml:space="preserve">Cada </w:t>
            </w:r>
            <w:r w:rsidRPr="00F621C0">
              <w:rPr>
                <w:rFonts w:ascii="Arial" w:hAnsi="Arial" w:cs="Arial"/>
                <w:sz w:val="20"/>
                <w:szCs w:val="20"/>
              </w:rPr>
              <w:t xml:space="preserve">classe de fundo de investimento investida </w:t>
            </w:r>
            <w:r w:rsidRPr="00F621C0">
              <w:rPr>
                <w:rFonts w:ascii="Arial" w:hAnsi="Arial" w:cs="Arial"/>
                <w:color w:val="000000"/>
                <w:sz w:val="20"/>
                <w:szCs w:val="20"/>
              </w:rPr>
              <w:t>observará os limites por emissor e por modalidade de ativo previstos na regulamentação aplicável.</w:t>
            </w:r>
          </w:p>
          <w:p w14:paraId="56F35166" w14:textId="77777777" w:rsidR="00A97AF1" w:rsidRPr="00F621C0" w:rsidRDefault="00A97AF1" w:rsidP="0075351C">
            <w:pPr>
              <w:jc w:val="both"/>
              <w:rPr>
                <w:rFonts w:ascii="Arial" w:hAnsi="Arial" w:cs="Arial"/>
                <w:sz w:val="20"/>
                <w:szCs w:val="20"/>
                <w:highlight w:val="yellow"/>
              </w:rPr>
            </w:pPr>
          </w:p>
          <w:p w14:paraId="4F8693A4" w14:textId="77777777" w:rsidR="00A97AF1" w:rsidRPr="00F621C0" w:rsidRDefault="00A97AF1" w:rsidP="0075351C">
            <w:pPr>
              <w:jc w:val="both"/>
              <w:rPr>
                <w:rFonts w:ascii="Arial" w:hAnsi="Arial" w:cs="Arial"/>
                <w:sz w:val="20"/>
                <w:szCs w:val="20"/>
                <w:highlight w:val="yellow"/>
              </w:rPr>
            </w:pPr>
            <w:r w:rsidRPr="00F621C0">
              <w:rPr>
                <w:rFonts w:ascii="Arial" w:hAnsi="Arial" w:cs="Arial"/>
                <w:sz w:val="20"/>
                <w:szCs w:val="20"/>
              </w:rPr>
              <w:t>A completa compreensão desta Política de Investimentos exige a compreensão do regulamento do FIP Vinci e do FIP Vinci Master.</w:t>
            </w:r>
          </w:p>
        </w:tc>
      </w:tr>
      <w:tr w:rsidR="00A97AF1" w:rsidRPr="00F621C0" w14:paraId="63A1DC0C"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tcPr>
          <w:p w14:paraId="7D534734" w14:textId="77777777" w:rsidR="00A97AF1" w:rsidRPr="00F621C0" w:rsidRDefault="00A97AF1" w:rsidP="0075351C">
            <w:pPr>
              <w:jc w:val="center"/>
              <w:rPr>
                <w:rFonts w:ascii="Arial" w:hAnsi="Arial" w:cs="Arial"/>
                <w:b/>
                <w:bCs/>
                <w:smallCaps/>
                <w:sz w:val="20"/>
                <w:szCs w:val="20"/>
              </w:rPr>
            </w:pPr>
          </w:p>
        </w:tc>
        <w:tc>
          <w:tcPr>
            <w:tcW w:w="3156" w:type="pct"/>
            <w:gridSpan w:val="4"/>
            <w:tcBorders>
              <w:top w:val="single" w:sz="4" w:space="0" w:color="auto"/>
              <w:left w:val="nil"/>
              <w:bottom w:val="single" w:sz="4" w:space="0" w:color="auto"/>
              <w:right w:val="nil"/>
            </w:tcBorders>
          </w:tcPr>
          <w:p w14:paraId="7EDF9D48" w14:textId="77777777" w:rsidR="00A97AF1" w:rsidRPr="00F621C0" w:rsidRDefault="00A97AF1" w:rsidP="0075351C">
            <w:pPr>
              <w:jc w:val="both"/>
              <w:rPr>
                <w:rFonts w:ascii="Arial" w:hAnsi="Arial" w:cs="Arial"/>
                <w:sz w:val="20"/>
                <w:szCs w:val="20"/>
                <w:highlight w:val="yellow"/>
              </w:rPr>
            </w:pPr>
          </w:p>
        </w:tc>
      </w:tr>
      <w:tr w:rsidR="00A97AF1" w:rsidRPr="00F621C0" w14:paraId="4AE63990" w14:textId="77777777" w:rsidTr="0075351C">
        <w:trPr>
          <w:gridAfter w:val="1"/>
          <w:wAfter w:w="121" w:type="pct"/>
          <w:jc w:val="center"/>
        </w:trPr>
        <w:tc>
          <w:tcPr>
            <w:tcW w:w="1723" w:type="pct"/>
            <w:gridSpan w:val="5"/>
            <w:tcBorders>
              <w:top w:val="single" w:sz="4" w:space="0" w:color="auto"/>
              <w:left w:val="nil"/>
              <w:bottom w:val="single" w:sz="4" w:space="0" w:color="auto"/>
              <w:right w:val="nil"/>
            </w:tcBorders>
            <w:vAlign w:val="center"/>
            <w:hideMark/>
          </w:tcPr>
          <w:p w14:paraId="5383B32A" w14:textId="77777777" w:rsidR="00A97AF1" w:rsidRPr="00F621C0" w:rsidRDefault="00A97AF1" w:rsidP="00A97AF1">
            <w:pPr>
              <w:pStyle w:val="PargrafodaLista"/>
              <w:numPr>
                <w:ilvl w:val="2"/>
                <w:numId w:val="34"/>
              </w:numPr>
              <w:ind w:left="0" w:firstLine="0"/>
              <w:jc w:val="center"/>
              <w:rPr>
                <w:rFonts w:ascii="Arial" w:hAnsi="Arial" w:cs="Arial"/>
                <w:b/>
                <w:bCs/>
                <w:smallCaps/>
              </w:rPr>
            </w:pPr>
            <w:r w:rsidRPr="00F621C0">
              <w:rPr>
                <w:rFonts w:ascii="Arial" w:hAnsi="Arial" w:cs="Arial"/>
                <w:b/>
                <w:bCs/>
                <w:smallCaps/>
              </w:rPr>
              <w:t>Consolidação</w:t>
            </w:r>
          </w:p>
        </w:tc>
        <w:tc>
          <w:tcPr>
            <w:tcW w:w="3156" w:type="pct"/>
            <w:gridSpan w:val="4"/>
            <w:tcBorders>
              <w:top w:val="single" w:sz="4" w:space="0" w:color="auto"/>
              <w:left w:val="nil"/>
              <w:bottom w:val="single" w:sz="4" w:space="0" w:color="auto"/>
              <w:right w:val="nil"/>
            </w:tcBorders>
            <w:vAlign w:val="center"/>
            <w:hideMark/>
          </w:tcPr>
          <w:p w14:paraId="7E7D474B"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Os investimentos em outras classes de fundos de investimento são consolidados para fins dos limites previstos nesta política de investimentos apenas no caso de classes de fundos de investimento financeiros ligados ao Gestor. No caso de classes geridas por terceiros não ligados ao Gestor ou se reguladas por anexo normativo à Resolução CVM 175 que não seja aplicável ao Fundo e, portanto, distinto daquela que regula a Classe Única, não haverá consolidação. </w:t>
            </w:r>
          </w:p>
          <w:p w14:paraId="2724FDCF" w14:textId="77777777" w:rsidR="00A97AF1" w:rsidRPr="00F621C0" w:rsidRDefault="00A97AF1" w:rsidP="0075351C">
            <w:pPr>
              <w:jc w:val="both"/>
              <w:rPr>
                <w:rFonts w:ascii="Arial" w:hAnsi="Arial" w:cs="Arial"/>
                <w:sz w:val="20"/>
                <w:szCs w:val="20"/>
              </w:rPr>
            </w:pPr>
          </w:p>
          <w:p w14:paraId="5129C7E3" w14:textId="77777777" w:rsidR="00A97AF1" w:rsidRPr="00F621C0" w:rsidRDefault="00A97AF1" w:rsidP="0075351C">
            <w:pPr>
              <w:jc w:val="both"/>
              <w:rPr>
                <w:rFonts w:ascii="Arial" w:hAnsi="Arial" w:cs="Arial"/>
                <w:sz w:val="20"/>
                <w:szCs w:val="20"/>
              </w:rPr>
            </w:pPr>
            <w:r w:rsidRPr="00F621C0">
              <w:rPr>
                <w:rFonts w:ascii="Arial" w:hAnsi="Arial" w:cs="Arial"/>
                <w:color w:val="000000"/>
                <w:sz w:val="20"/>
                <w:szCs w:val="20"/>
              </w:rPr>
              <w:t xml:space="preserve">Ainda, não haverá qualquer obrigação de consolidação de carteira em relação ao FIP Vinci ou ao FIP Vinci Master. </w:t>
            </w:r>
          </w:p>
        </w:tc>
      </w:tr>
      <w:bookmarkEnd w:id="6"/>
    </w:tbl>
    <w:p w14:paraId="7D3B2AF1" w14:textId="77777777" w:rsidR="00A97AF1" w:rsidRPr="00F621C0" w:rsidRDefault="00A97AF1" w:rsidP="00F621C0">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A97AF1" w:rsidRPr="00F621C0" w14:paraId="1BEAF647" w14:textId="77777777" w:rsidTr="0075351C">
        <w:trPr>
          <w:jc w:val="center"/>
        </w:trPr>
        <w:tc>
          <w:tcPr>
            <w:tcW w:w="5000" w:type="pct"/>
            <w:gridSpan w:val="3"/>
            <w:shd w:val="clear" w:color="auto" w:fill="C00000"/>
          </w:tcPr>
          <w:p w14:paraId="61EB5363" w14:textId="77777777" w:rsidR="00A97AF1" w:rsidRPr="00F621C0" w:rsidRDefault="00A97AF1" w:rsidP="00A97AF1">
            <w:pPr>
              <w:pStyle w:val="PargrafodaLista"/>
              <w:numPr>
                <w:ilvl w:val="0"/>
                <w:numId w:val="34"/>
              </w:numPr>
              <w:ind w:left="0" w:firstLine="0"/>
              <w:jc w:val="center"/>
              <w:rPr>
                <w:rFonts w:ascii="Arial" w:hAnsi="Arial" w:cs="Arial"/>
                <w:b/>
                <w:bCs/>
                <w:color w:val="FFFFFF" w:themeColor="background1"/>
              </w:rPr>
            </w:pPr>
            <w:r w:rsidRPr="00F621C0">
              <w:rPr>
                <w:rFonts w:ascii="Arial" w:hAnsi="Arial" w:cs="Arial"/>
                <w:b/>
                <w:bCs/>
                <w:color w:val="FFFFFF" w:themeColor="background1"/>
              </w:rPr>
              <w:t xml:space="preserve">FATORES DE RISCOS </w:t>
            </w:r>
          </w:p>
        </w:tc>
      </w:tr>
      <w:tr w:rsidR="00A97AF1" w:rsidRPr="00F621C0" w14:paraId="7691F2C8" w14:textId="77777777" w:rsidTr="0075351C">
        <w:trPr>
          <w:jc w:val="center"/>
        </w:trPr>
        <w:tc>
          <w:tcPr>
            <w:tcW w:w="1672" w:type="pct"/>
            <w:gridSpan w:val="2"/>
            <w:tcBorders>
              <w:bottom w:val="single" w:sz="4" w:space="0" w:color="auto"/>
            </w:tcBorders>
            <w:vAlign w:val="center"/>
          </w:tcPr>
          <w:p w14:paraId="1FF6B831" w14:textId="77777777" w:rsidR="00A97AF1" w:rsidRPr="00F621C0" w:rsidRDefault="00A97AF1" w:rsidP="0075351C">
            <w:pPr>
              <w:jc w:val="center"/>
              <w:rPr>
                <w:rFonts w:ascii="Arial" w:hAnsi="Arial" w:cs="Arial"/>
                <w:b/>
                <w:bCs/>
                <w:sz w:val="20"/>
                <w:szCs w:val="20"/>
              </w:rPr>
            </w:pPr>
          </w:p>
        </w:tc>
        <w:tc>
          <w:tcPr>
            <w:tcW w:w="3328" w:type="pct"/>
            <w:tcBorders>
              <w:bottom w:val="single" w:sz="4" w:space="0" w:color="auto"/>
            </w:tcBorders>
          </w:tcPr>
          <w:p w14:paraId="570504B2" w14:textId="77777777" w:rsidR="00A97AF1" w:rsidRPr="00F621C0" w:rsidRDefault="00A97AF1" w:rsidP="0075351C">
            <w:pPr>
              <w:rPr>
                <w:rFonts w:ascii="Arial" w:hAnsi="Arial" w:cs="Arial"/>
                <w:sz w:val="20"/>
                <w:szCs w:val="20"/>
              </w:rPr>
            </w:pPr>
          </w:p>
        </w:tc>
      </w:tr>
      <w:tr w:rsidR="00A97AF1" w:rsidRPr="00F621C0" w14:paraId="414DDE7F" w14:textId="77777777" w:rsidTr="0075351C">
        <w:trPr>
          <w:jc w:val="center"/>
        </w:trPr>
        <w:tc>
          <w:tcPr>
            <w:tcW w:w="5000" w:type="pct"/>
            <w:gridSpan w:val="3"/>
            <w:tcBorders>
              <w:bottom w:val="single" w:sz="4" w:space="0" w:color="auto"/>
            </w:tcBorders>
            <w:vAlign w:val="center"/>
          </w:tcPr>
          <w:p w14:paraId="581BE5DB" w14:textId="77777777" w:rsidR="00A97AF1" w:rsidRPr="00F621C0" w:rsidRDefault="00A97AF1" w:rsidP="00A97AF1">
            <w:pPr>
              <w:pStyle w:val="PargrafodaLista"/>
              <w:numPr>
                <w:ilvl w:val="1"/>
                <w:numId w:val="37"/>
              </w:numPr>
              <w:jc w:val="both"/>
              <w:rPr>
                <w:rFonts w:ascii="Arial" w:hAnsi="Arial" w:cs="Arial"/>
              </w:rPr>
            </w:pPr>
            <w:r w:rsidRPr="00F621C0">
              <w:rPr>
                <w:rFonts w:ascii="Arial" w:hAnsi="Arial" w:cs="Arial"/>
              </w:rPr>
              <w:t xml:space="preserve">Os fatores de risco a seguir descritos são aplicáveis à Classe Única, bem como aos seus respectivos Cotistas e a eventuais subclasses caso venham a ser criadas. </w:t>
            </w:r>
          </w:p>
        </w:tc>
      </w:tr>
      <w:tr w:rsidR="00A97AF1" w:rsidRPr="00F621C0" w14:paraId="157B7BE7" w14:textId="77777777" w:rsidTr="0075351C">
        <w:trPr>
          <w:jc w:val="center"/>
        </w:trPr>
        <w:tc>
          <w:tcPr>
            <w:tcW w:w="5000" w:type="pct"/>
            <w:gridSpan w:val="3"/>
            <w:tcBorders>
              <w:top w:val="single" w:sz="4" w:space="0" w:color="auto"/>
              <w:bottom w:val="single" w:sz="4" w:space="0" w:color="auto"/>
            </w:tcBorders>
            <w:vAlign w:val="center"/>
          </w:tcPr>
          <w:p w14:paraId="635D831B" w14:textId="77777777" w:rsidR="00A97AF1" w:rsidRPr="00F621C0" w:rsidRDefault="00A97AF1" w:rsidP="0075351C">
            <w:pPr>
              <w:jc w:val="center"/>
              <w:rPr>
                <w:rFonts w:ascii="Arial" w:hAnsi="Arial" w:cs="Arial"/>
                <w:sz w:val="20"/>
                <w:szCs w:val="20"/>
              </w:rPr>
            </w:pPr>
            <w:r w:rsidRPr="00F621C0">
              <w:rPr>
                <w:rFonts w:ascii="Arial" w:hAnsi="Arial" w:cs="Arial"/>
                <w:b/>
                <w:bCs/>
                <w:smallCaps/>
                <w:color w:val="000000"/>
                <w:sz w:val="20"/>
                <w:szCs w:val="20"/>
              </w:rPr>
              <w:t>Riscos relacionados ao FIP Vinci e ao FIP Vinci Master</w:t>
            </w:r>
          </w:p>
        </w:tc>
      </w:tr>
      <w:tr w:rsidR="00A97AF1" w:rsidRPr="00F621C0" w14:paraId="4DE9D64D" w14:textId="77777777" w:rsidTr="0075351C">
        <w:trPr>
          <w:jc w:val="center"/>
        </w:trPr>
        <w:tc>
          <w:tcPr>
            <w:tcW w:w="5000" w:type="pct"/>
            <w:gridSpan w:val="3"/>
            <w:tcBorders>
              <w:top w:val="single" w:sz="4" w:space="0" w:color="auto"/>
              <w:bottom w:val="single" w:sz="4" w:space="0" w:color="auto"/>
            </w:tcBorders>
            <w:vAlign w:val="center"/>
          </w:tcPr>
          <w:p w14:paraId="3D4CFF45" w14:textId="77777777" w:rsidR="00A97AF1" w:rsidRPr="00F621C0" w:rsidRDefault="00A97AF1" w:rsidP="0075351C">
            <w:pPr>
              <w:jc w:val="both"/>
              <w:rPr>
                <w:rFonts w:ascii="Arial" w:hAnsi="Arial" w:cs="Arial"/>
                <w:sz w:val="20"/>
                <w:szCs w:val="20"/>
              </w:rPr>
            </w:pPr>
            <w:r w:rsidRPr="00F621C0">
              <w:rPr>
                <w:rFonts w:ascii="Arial" w:hAnsi="Arial" w:cs="Arial"/>
                <w:bCs/>
                <w:sz w:val="20"/>
                <w:szCs w:val="20"/>
              </w:rPr>
              <w:t xml:space="preserve">O </w:t>
            </w:r>
            <w:r w:rsidRPr="00F621C0">
              <w:rPr>
                <w:rFonts w:ascii="Arial" w:hAnsi="Arial" w:cs="Arial"/>
                <w:sz w:val="20"/>
                <w:szCs w:val="20"/>
              </w:rPr>
              <w:t>FIP Vinci</w:t>
            </w:r>
            <w:r w:rsidRPr="00F621C0">
              <w:rPr>
                <w:rFonts w:ascii="Arial" w:hAnsi="Arial" w:cs="Arial"/>
                <w:bCs/>
                <w:sz w:val="20"/>
                <w:szCs w:val="20"/>
              </w:rPr>
              <w:t xml:space="preserve"> possui fatores de riscos específicos descritos no seu regulamento, aos quais a Classe</w:t>
            </w:r>
            <w:r w:rsidRPr="00F621C0">
              <w:rPr>
                <w:rFonts w:ascii="Arial" w:hAnsi="Arial" w:cs="Arial"/>
                <w:sz w:val="20"/>
                <w:szCs w:val="20"/>
              </w:rPr>
              <w:t xml:space="preserve"> Única</w:t>
            </w:r>
            <w:r w:rsidRPr="00F621C0">
              <w:rPr>
                <w:rFonts w:ascii="Arial" w:hAnsi="Arial" w:cs="Arial"/>
                <w:bCs/>
                <w:sz w:val="20"/>
                <w:szCs w:val="20"/>
              </w:rPr>
              <w:t xml:space="preserve"> está diretamente relacionada por sua estratégia de investimentos. Neste sentido, destacam-se abaixo alguns dos principais fatores de riscos relacionados ao investimento no FIP Vinci, os quais constam, em sua maioria, no regulamento do FIP Vinci. É dever do Cotista, de qualquer forma, analisar todos os fatores de risco descritos no Apenso I do regulamento do FIP Vinci: Menções a Sociedades Alvo se referem à sua definição constante do regulamento do FIP Vinci.</w:t>
            </w:r>
          </w:p>
        </w:tc>
      </w:tr>
      <w:tr w:rsidR="00A97AF1" w:rsidRPr="00F621C0" w14:paraId="7B0DA59E" w14:textId="77777777" w:rsidTr="0075351C">
        <w:trPr>
          <w:jc w:val="center"/>
        </w:trPr>
        <w:tc>
          <w:tcPr>
            <w:tcW w:w="1382" w:type="pct"/>
            <w:tcBorders>
              <w:top w:val="single" w:sz="4" w:space="0" w:color="auto"/>
              <w:bottom w:val="single" w:sz="4" w:space="0" w:color="auto"/>
            </w:tcBorders>
            <w:vAlign w:val="center"/>
          </w:tcPr>
          <w:p w14:paraId="1ECF38D1" w14:textId="77777777" w:rsidR="00A97AF1" w:rsidRPr="00F621C0" w:rsidRDefault="00A97AF1" w:rsidP="0075351C">
            <w:pPr>
              <w:pStyle w:val="PargrafodaLista"/>
              <w:ind w:left="29"/>
              <w:rPr>
                <w:rFonts w:ascii="Arial" w:hAnsi="Arial" w:cs="Arial"/>
                <w:b/>
                <w:bCs/>
                <w:smallCaps/>
                <w:color w:val="000000"/>
              </w:rPr>
            </w:pPr>
          </w:p>
        </w:tc>
        <w:tc>
          <w:tcPr>
            <w:tcW w:w="3618" w:type="pct"/>
            <w:gridSpan w:val="2"/>
            <w:tcBorders>
              <w:top w:val="single" w:sz="4" w:space="0" w:color="auto"/>
              <w:bottom w:val="single" w:sz="4" w:space="0" w:color="auto"/>
            </w:tcBorders>
          </w:tcPr>
          <w:p w14:paraId="0EC37289" w14:textId="77777777" w:rsidR="00A97AF1" w:rsidRPr="00F621C0" w:rsidRDefault="00A97AF1" w:rsidP="0075351C">
            <w:pPr>
              <w:jc w:val="both"/>
              <w:rPr>
                <w:rFonts w:ascii="Arial" w:hAnsi="Arial" w:cs="Arial"/>
                <w:bCs/>
                <w:sz w:val="20"/>
                <w:szCs w:val="20"/>
              </w:rPr>
            </w:pPr>
          </w:p>
        </w:tc>
      </w:tr>
      <w:tr w:rsidR="00A97AF1" w:rsidRPr="00F621C0" w14:paraId="1DF81EB8" w14:textId="77777777" w:rsidTr="0075351C">
        <w:trPr>
          <w:jc w:val="center"/>
        </w:trPr>
        <w:tc>
          <w:tcPr>
            <w:tcW w:w="1382" w:type="pct"/>
            <w:tcBorders>
              <w:top w:val="single" w:sz="4" w:space="0" w:color="auto"/>
              <w:bottom w:val="single" w:sz="4" w:space="0" w:color="auto"/>
            </w:tcBorders>
            <w:vAlign w:val="center"/>
          </w:tcPr>
          <w:p w14:paraId="559792E9"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 xml:space="preserve">Riscos relacionados ao investimento nas sociedades alvo </w:t>
            </w:r>
          </w:p>
        </w:tc>
        <w:tc>
          <w:tcPr>
            <w:tcW w:w="3618" w:type="pct"/>
            <w:gridSpan w:val="2"/>
            <w:tcBorders>
              <w:top w:val="single" w:sz="4" w:space="0" w:color="auto"/>
              <w:bottom w:val="single" w:sz="4" w:space="0" w:color="auto"/>
            </w:tcBorders>
          </w:tcPr>
          <w:p w14:paraId="32EBDFDE" w14:textId="77777777" w:rsidR="00A97AF1" w:rsidRPr="00F621C0" w:rsidRDefault="00A97AF1" w:rsidP="0075351C">
            <w:pPr>
              <w:jc w:val="both"/>
              <w:rPr>
                <w:rFonts w:ascii="Arial" w:hAnsi="Arial" w:cs="Arial"/>
                <w:bCs/>
                <w:sz w:val="20"/>
                <w:szCs w:val="20"/>
              </w:rPr>
            </w:pPr>
            <w:r w:rsidRPr="00F621C0">
              <w:rPr>
                <w:rFonts w:ascii="Arial" w:eastAsia="Arial" w:hAnsi="Arial" w:cs="Arial"/>
                <w:bCs/>
                <w:sz w:val="20"/>
                <w:szCs w:val="20"/>
              </w:rPr>
              <w:t xml:space="preserve">Embora o FIP Vinci Master tenha participação no processo decisório das Sociedades Alvo, salvo nas hipóteses previstas na regulamentação aplicável, não há garantias de: </w:t>
            </w:r>
            <w:r w:rsidRPr="00F621C0">
              <w:rPr>
                <w:rFonts w:ascii="Arial" w:eastAsia="Arial" w:hAnsi="Arial" w:cs="Arial"/>
                <w:b/>
                <w:bCs/>
                <w:sz w:val="20"/>
                <w:szCs w:val="20"/>
              </w:rPr>
              <w:t>(a)</w:t>
            </w:r>
            <w:r w:rsidRPr="00F621C0">
              <w:rPr>
                <w:rFonts w:ascii="Arial" w:eastAsia="Arial" w:hAnsi="Arial" w:cs="Arial"/>
                <w:bCs/>
                <w:sz w:val="20"/>
                <w:szCs w:val="20"/>
              </w:rPr>
              <w:t xml:space="preserve"> bom desempenho de quaisquer das Sociedades Alvo, </w:t>
            </w:r>
            <w:r w:rsidRPr="00F621C0">
              <w:rPr>
                <w:rFonts w:ascii="Arial" w:eastAsia="Arial" w:hAnsi="Arial" w:cs="Arial"/>
                <w:b/>
                <w:bCs/>
                <w:sz w:val="20"/>
                <w:szCs w:val="20"/>
              </w:rPr>
              <w:t>(b)</w:t>
            </w:r>
            <w:r w:rsidRPr="00F621C0">
              <w:rPr>
                <w:rFonts w:ascii="Arial" w:eastAsia="Arial" w:hAnsi="Arial" w:cs="Arial"/>
                <w:bCs/>
                <w:sz w:val="20"/>
                <w:szCs w:val="20"/>
              </w:rPr>
              <w:t xml:space="preserve"> solvência das Sociedades Alvo, ou </w:t>
            </w:r>
            <w:r w:rsidRPr="00F621C0">
              <w:rPr>
                <w:rFonts w:ascii="Arial" w:eastAsia="Arial" w:hAnsi="Arial" w:cs="Arial"/>
                <w:b/>
                <w:bCs/>
                <w:sz w:val="20"/>
                <w:szCs w:val="20"/>
              </w:rPr>
              <w:t>(c)</w:t>
            </w:r>
            <w:r w:rsidRPr="00F621C0">
              <w:rPr>
                <w:rFonts w:ascii="Arial" w:eastAsia="Arial" w:hAnsi="Arial" w:cs="Arial"/>
                <w:bCs/>
                <w:sz w:val="20"/>
                <w:szCs w:val="20"/>
              </w:rPr>
              <w:t> continuidade das atividades das Sociedades Alvo. Tais riscos, se materializados, podem impactar negativa e significativamente os resultados da carteira do FIP Vinci Master e, portanto, o valor das cotas do FIP Vinci Master. Os pagamentos relativos aos títulos ou ativos de emissão das Sociedades Alvo, como dividendos, juros sobre capital próprio e outras formas de remuneração/bonificação podem vir a se frustrar em razão da insolvência, falência, mau desempenho operacional da respectiva Sociedade Alvo, ou, ainda, outros fatores. Em tais ocorrências, o FIP Vinci Master e a c</w:t>
            </w:r>
            <w:r w:rsidRPr="00F621C0">
              <w:rPr>
                <w:rFonts w:ascii="Arial" w:eastAsia="Arial" w:hAnsi="Arial" w:cs="Arial"/>
                <w:sz w:val="20"/>
                <w:szCs w:val="20"/>
              </w:rPr>
              <w:t>lasse única</w:t>
            </w:r>
            <w:r w:rsidRPr="00F621C0">
              <w:rPr>
                <w:rFonts w:ascii="Arial" w:eastAsia="Arial" w:hAnsi="Arial" w:cs="Arial"/>
                <w:bCs/>
                <w:sz w:val="20"/>
                <w:szCs w:val="20"/>
              </w:rPr>
              <w:t xml:space="preserve"> do FIP Vinci e os seus cotistas poderão experimentar perdas, não havendo qualquer garantia ou certeza quanto à possibilidade de eliminação de tais riscos. Os investimentos nas Sociedades Alvo envolvem riscos relativos aos respectivos setores em que atuam tais sociedades. Não há garantia quanto ao desempenho desses setores e nem tampouco certeza de que o desempenho de cada uma das Sociedades Alvo acompanhará </w:t>
            </w:r>
            <w:r w:rsidRPr="00F621C0">
              <w:rPr>
                <w:rFonts w:ascii="Arial" w:eastAsia="Arial" w:hAnsi="Arial" w:cs="Arial"/>
                <w:bCs/>
                <w:i/>
                <w:sz w:val="20"/>
                <w:szCs w:val="20"/>
              </w:rPr>
              <w:t>pari passu</w:t>
            </w:r>
            <w:r w:rsidRPr="00F621C0">
              <w:rPr>
                <w:rFonts w:ascii="Arial" w:eastAsia="Arial" w:hAnsi="Arial" w:cs="Arial"/>
                <w:bCs/>
                <w:sz w:val="20"/>
                <w:szCs w:val="20"/>
              </w:rPr>
              <w:t xml:space="preserve"> o desempenho médio do seu respectivo setor. Adicionalmente, ainda que o desempenho das Sociedades Alvo acompanhe o desempenho do seu setor de atuação, não há garantia de que o FIP Vinci Master e a c</w:t>
            </w:r>
            <w:r w:rsidRPr="00F621C0">
              <w:rPr>
                <w:rFonts w:ascii="Arial" w:eastAsia="Arial" w:hAnsi="Arial" w:cs="Arial"/>
                <w:sz w:val="20"/>
                <w:szCs w:val="20"/>
              </w:rPr>
              <w:t>lasse única</w:t>
            </w:r>
            <w:r w:rsidRPr="00F621C0">
              <w:rPr>
                <w:rFonts w:ascii="Arial" w:eastAsia="Arial" w:hAnsi="Arial" w:cs="Arial"/>
                <w:bCs/>
                <w:sz w:val="20"/>
                <w:szCs w:val="20"/>
              </w:rPr>
              <w:t xml:space="preserve"> do FIP Vinci e os seus cotistas não experimentarão perdas, nem há certeza quanto à possibilidade de eliminação de tais riscos. Os investimentos do FIP Vinci Master e da c</w:t>
            </w:r>
            <w:r w:rsidRPr="00F621C0">
              <w:rPr>
                <w:rFonts w:ascii="Arial" w:eastAsia="Arial" w:hAnsi="Arial" w:cs="Arial"/>
                <w:sz w:val="20"/>
                <w:szCs w:val="20"/>
              </w:rPr>
              <w:t>lasse única do FIP Vinci</w:t>
            </w:r>
            <w:r w:rsidRPr="00F621C0">
              <w:rPr>
                <w:rFonts w:ascii="Arial" w:eastAsia="Arial" w:hAnsi="Arial" w:cs="Arial"/>
                <w:bCs/>
                <w:sz w:val="20"/>
                <w:szCs w:val="20"/>
              </w:rPr>
              <w:t xml:space="preserve"> poderão ser feitos em companhias fechadas, as quais, embora tenham de adotar as práticas de governança indicadas no regulamento do FIP Vinci Master, não estão obrigadas a observar as mesmas regras que as companhias abertas relativamente à divulgação de suas informações ao mercado e a seus acionistas, o que pode representar uma dificuldade para o FIP Vinci Master quanto: </w:t>
            </w:r>
            <w:r w:rsidRPr="00F621C0">
              <w:rPr>
                <w:rFonts w:ascii="Arial" w:eastAsia="Arial" w:hAnsi="Arial" w:cs="Arial"/>
                <w:b/>
                <w:bCs/>
                <w:sz w:val="20"/>
                <w:szCs w:val="20"/>
              </w:rPr>
              <w:t>(1)</w:t>
            </w:r>
            <w:r w:rsidRPr="00F621C0">
              <w:rPr>
                <w:rFonts w:ascii="Arial" w:eastAsia="Arial" w:hAnsi="Arial" w:cs="Arial"/>
                <w:bCs/>
                <w:sz w:val="20"/>
                <w:szCs w:val="20"/>
              </w:rPr>
              <w:t xml:space="preserve"> ao bom acompanhamento das atividades e resultados dessas Sociedades Alvo, e </w:t>
            </w:r>
            <w:r w:rsidRPr="00F621C0">
              <w:rPr>
                <w:rFonts w:ascii="Arial" w:eastAsia="Arial" w:hAnsi="Arial" w:cs="Arial"/>
                <w:b/>
                <w:bCs/>
                <w:sz w:val="20"/>
                <w:szCs w:val="20"/>
              </w:rPr>
              <w:t>(2)</w:t>
            </w:r>
            <w:r w:rsidRPr="00F621C0">
              <w:rPr>
                <w:rFonts w:ascii="Arial" w:eastAsia="Arial" w:hAnsi="Arial" w:cs="Arial"/>
                <w:bCs/>
                <w:sz w:val="20"/>
                <w:szCs w:val="20"/>
              </w:rPr>
              <w:t> a correta decisão sobre a liquidação do investimento, o que pode afetar o valor das cotas do FIP Vinci Master e das cotas da c</w:t>
            </w:r>
            <w:r w:rsidRPr="00F621C0">
              <w:rPr>
                <w:rFonts w:ascii="Arial" w:eastAsia="Arial" w:hAnsi="Arial" w:cs="Arial"/>
                <w:sz w:val="20"/>
                <w:szCs w:val="20"/>
              </w:rPr>
              <w:t>lasse única do FIP Vinci</w:t>
            </w:r>
            <w:r w:rsidRPr="00F621C0">
              <w:rPr>
                <w:rFonts w:ascii="Arial" w:eastAsia="Arial" w:hAnsi="Arial" w:cs="Arial"/>
                <w:bCs/>
                <w:sz w:val="20"/>
                <w:szCs w:val="20"/>
              </w:rPr>
              <w:t>. O FIP Vinci Master pode ter participações minoritárias em Sociedades Alvo. Ainda que, quando da realização do aporte de capital em uma determinada Sociedade Alvo, o FIP Vinci Master tente negociar condições que lhe assegurem direitos para proteger seus interesses em face da referida Sociedade Alvo e dos demais acionistas, não há garantia de que todos os direitos pleiteados serão concedidos ao requerente, o que pode afetar o valor da carteira do FIP Vinci Master e, consequentemente, das Cotas do FIP Vinci Master e das cotas da c</w:t>
            </w:r>
            <w:r w:rsidRPr="00F621C0">
              <w:rPr>
                <w:rFonts w:ascii="Arial" w:eastAsia="Arial" w:hAnsi="Arial" w:cs="Arial"/>
                <w:sz w:val="20"/>
                <w:szCs w:val="20"/>
              </w:rPr>
              <w:t>lasse única do FIP Vinci</w:t>
            </w:r>
            <w:r w:rsidRPr="00F621C0">
              <w:rPr>
                <w:rFonts w:ascii="Arial" w:hAnsi="Arial" w:cs="Arial"/>
                <w:bCs/>
                <w:sz w:val="20"/>
                <w:szCs w:val="20"/>
              </w:rPr>
              <w:t>.</w:t>
            </w:r>
          </w:p>
        </w:tc>
      </w:tr>
      <w:tr w:rsidR="00A97AF1" w:rsidRPr="00F621C0" w14:paraId="65611597" w14:textId="77777777" w:rsidTr="0075351C">
        <w:trPr>
          <w:jc w:val="center"/>
        </w:trPr>
        <w:tc>
          <w:tcPr>
            <w:tcW w:w="1382" w:type="pct"/>
            <w:tcBorders>
              <w:top w:val="single" w:sz="4" w:space="0" w:color="auto"/>
              <w:bottom w:val="single" w:sz="4" w:space="0" w:color="auto"/>
            </w:tcBorders>
            <w:vAlign w:val="center"/>
          </w:tcPr>
          <w:p w14:paraId="52BF2EDE"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Riscos relacionados às Sociedades Alvo que efetivamente recebam investimentos do FIP Vinci Master e Riscos Setoriais</w:t>
            </w:r>
          </w:p>
        </w:tc>
        <w:tc>
          <w:tcPr>
            <w:tcW w:w="3618" w:type="pct"/>
            <w:gridSpan w:val="2"/>
            <w:tcBorders>
              <w:top w:val="single" w:sz="4" w:space="0" w:color="auto"/>
              <w:bottom w:val="single" w:sz="4" w:space="0" w:color="auto"/>
            </w:tcBorders>
          </w:tcPr>
          <w:p w14:paraId="0B75D311" w14:textId="77777777" w:rsidR="00A97AF1" w:rsidRPr="00F621C0" w:rsidRDefault="00A97AF1" w:rsidP="0075351C">
            <w:pPr>
              <w:pStyle w:val="PargrafodaLista"/>
              <w:tabs>
                <w:tab w:val="left" w:pos="851"/>
              </w:tabs>
              <w:spacing w:after="240"/>
              <w:ind w:left="0" w:right="-20"/>
              <w:jc w:val="both"/>
              <w:rPr>
                <w:rFonts w:ascii="Arial" w:eastAsia="Arial" w:hAnsi="Arial" w:cs="Arial"/>
                <w:bCs/>
              </w:rPr>
            </w:pPr>
            <w:r w:rsidRPr="00F621C0">
              <w:rPr>
                <w:rFonts w:ascii="Arial" w:eastAsia="Arial" w:hAnsi="Arial" w:cs="Arial"/>
                <w:bCs/>
              </w:rPr>
              <w:t>Uma parcela significativa dos investimentos do FIP Vinci Master será feita em títulos ou valores mobiliários de emissão de Sociedades Alvo, o que, por sua natureza, envolve riscos do negócio, financeiros, do mercado e/ou legais. Tais riscos, se materializados, podem impactar negativa e significativamente os resultados da carteira de investimentos do FIP Vinci Master, bem como o valor das cotas do FIP Vinci Master. Não se pode garantir que o gestor do FIP Vinci avaliará corretamente a natureza e a magnitude dos vários fatores que podem afetar o valor de tais investimentos. Movimentos de preços e do mercado em que são feitos os investimentos do FIP Vinci Master podem ser voláteis e uma variedade de outros fatores a eles inerentes e de difícil previsão, tais como acontecimentos econômicos e políticos nacionais e internacionais, podem afetar de forma significativa os resultados das atividades do FIP Vinci Master, bem como o valor de seus respectivos investimentos. Consequentemente, o desempenho do FIP Vinci Master em um período específico pode não ser necessariamente um indicativo dos resultados que podem ser esperados em períodos futuros.</w:t>
            </w:r>
          </w:p>
          <w:p w14:paraId="422EF38A" w14:textId="77777777" w:rsidR="00A97AF1" w:rsidRPr="00F621C0" w:rsidRDefault="00A97AF1" w:rsidP="0075351C">
            <w:pPr>
              <w:pStyle w:val="PargrafodaLista"/>
              <w:tabs>
                <w:tab w:val="left" w:pos="851"/>
              </w:tabs>
              <w:spacing w:after="240"/>
              <w:ind w:left="0" w:right="-20"/>
              <w:jc w:val="both"/>
              <w:rPr>
                <w:rFonts w:ascii="Arial" w:eastAsia="Arial" w:hAnsi="Arial" w:cs="Arial"/>
                <w:bCs/>
              </w:rPr>
            </w:pPr>
            <w:r w:rsidRPr="00F621C0">
              <w:rPr>
                <w:rFonts w:ascii="Arial" w:eastAsia="Arial" w:hAnsi="Arial" w:cs="Arial"/>
                <w:bCs/>
              </w:rPr>
              <w:t>O FIP Vinci Master pretende participar do processo de tomada de decisões estratégicas de cada uma das Sociedades Alvo. Embora tal participação em algumas circunstâncias possa ser importante para a estratégia de investimento do FIP Vinci Master e possa aumentar a capacidade do FIP Vinci Master de administrar seus investimentos, também pode sujeitar a classe única do FIP Vinci a reivindicações a que ele não estaria sujeito se fosse apenas um investidor passivo. Por exemplo, caso alguma das Sociedades Alvo tenha sua falência decretada ou caso haja a desconsideração da personalidade jurídica de uma Sociedade Alvo, a responsabilidade pelo pagamento de determinados passivos da Sociedade Alvo poderá ser atribuída ao FIP Vinci Master, impactando o valor das cotas.</w:t>
            </w:r>
          </w:p>
          <w:p w14:paraId="1E41D019" w14:textId="77777777" w:rsidR="00A97AF1" w:rsidRPr="00F621C0" w:rsidRDefault="00A97AF1" w:rsidP="0075351C">
            <w:pPr>
              <w:pStyle w:val="PargrafodaLista"/>
              <w:tabs>
                <w:tab w:val="left" w:pos="851"/>
              </w:tabs>
              <w:spacing w:after="240"/>
              <w:ind w:left="0" w:right="-20"/>
              <w:jc w:val="both"/>
              <w:rPr>
                <w:rFonts w:ascii="Arial" w:eastAsia="Arial" w:hAnsi="Arial" w:cs="Arial"/>
                <w:bCs/>
              </w:rPr>
            </w:pPr>
            <w:r w:rsidRPr="00F621C0">
              <w:rPr>
                <w:rFonts w:ascii="Arial" w:eastAsia="Arial" w:hAnsi="Arial" w:cs="Arial"/>
                <w:bCs/>
              </w:rPr>
              <w:t>Uma parcela dos investimentos do FIP Vinci Master pode envolver investimentos em valores mobiliários de emissão de companhias abertas ou em companhias que venham a abrir seu capital. Investimentos em companhias abertas podem sujeitar o FIP Vinci Master a riscos que variam em tipo e grau daqueles envolvidos nos investimentos em companhias fechadas. Tais riscos incluem, sem limitação, maior volatilidade na avaliação de tais companhias, maiores obrigações de divulgação de informações sobre tais companhias, limites à capacidade FIP Vinci Master de alienar tais valores mobiliários em determinados momentos (inclusive devido ao conhecimento de informações não públicas relevantes), maior probabilidade de propositura de ações pelos acionistas contra os membros do conselho de administração dessas companhias, processos administrativos movidos pela CVM e aumento nos custos relacionados a cada um desses riscos.</w:t>
            </w:r>
          </w:p>
          <w:p w14:paraId="5DD91630" w14:textId="77777777" w:rsidR="00A97AF1" w:rsidRPr="00F621C0" w:rsidRDefault="00A97AF1" w:rsidP="0075351C">
            <w:pPr>
              <w:pStyle w:val="PargrafodaLista"/>
              <w:tabs>
                <w:tab w:val="left" w:pos="851"/>
              </w:tabs>
              <w:spacing w:after="240"/>
              <w:ind w:left="0" w:right="-20"/>
              <w:jc w:val="both"/>
              <w:rPr>
                <w:rFonts w:ascii="Arial" w:eastAsia="Arial" w:hAnsi="Arial" w:cs="Arial"/>
                <w:bCs/>
              </w:rPr>
            </w:pPr>
            <w:r w:rsidRPr="00F621C0">
              <w:rPr>
                <w:rFonts w:ascii="Arial" w:eastAsia="Arial" w:hAnsi="Arial" w:cs="Arial"/>
                <w:bCs/>
              </w:rPr>
              <w:t>O FIP Vinci Master investirá em Sociedades Alvo que atuam em setores regulamentados. As operações de tais Sociedades Alvo estarão sujeitas ao cumprimento da regulamentação aplicável, podendo estar sujeitas a um maior grau de regulamentação, tanto em decorrência de novas exigências quanto de regulamentação de mercados anteriormente não regulamentados. Os preços podem ser controlados artificialmente e os ônus regulatórios podem aumentar os custos operacionais dessas Sociedades Alvo. Dessa forma, a criação de regulamentação ou a alteração de regulamentação já existente pode afetar o desempenho das Sociedades Alvo. Em função de diversos fatores relacionados ao funcionamento de órgãos públicos dos quais o FIP Vinci Master pode vir a depender no desempenho de suas operações, não há garantias de que o FIP Vinci Master conseguirá exercer todos os seus direitos como acionistas das Sociedades Alvo, ou como adquirentes ou alienantes de ações ou outros valores mobiliários de emissão de tais Sociedades Alvo, nem de que, caso o FIP Vinci Master consiga exercer tais direitos, os efeitos obtidos serão condizentes com os seus direitos originais e/ou obtidos no tempo esperado. Tais fatores poderão impactar negativamente a rentabilidade da carteira do FIP Vinci.</w:t>
            </w:r>
          </w:p>
          <w:p w14:paraId="6C3517BC" w14:textId="77777777" w:rsidR="00A97AF1" w:rsidRPr="00F621C0" w:rsidRDefault="00A97AF1" w:rsidP="0075351C">
            <w:pPr>
              <w:pStyle w:val="PargrafodaLista"/>
              <w:tabs>
                <w:tab w:val="left" w:pos="851"/>
              </w:tabs>
              <w:spacing w:after="240"/>
              <w:ind w:left="0" w:right="-20"/>
              <w:jc w:val="both"/>
              <w:rPr>
                <w:rFonts w:ascii="Arial" w:eastAsia="Arial" w:hAnsi="Arial" w:cs="Arial"/>
                <w:bCs/>
              </w:rPr>
            </w:pPr>
            <w:r w:rsidRPr="00F621C0">
              <w:rPr>
                <w:rFonts w:ascii="Arial" w:eastAsia="Arial" w:hAnsi="Arial" w:cs="Arial"/>
                <w:bCs/>
              </w:rPr>
              <w:t>Não obstante a diligência e o cuidado do administrador e do gestor do FIP Vinci, os pagamentos relativos aos valores mobiliários de emissão das Sociedades Alvo, como dividendos, juros sobre o capital próprio e outras formas de remuneração e bonificação, podem vir a se frustrar em razão da insolvência, falência, mau desempenho operacional da respectiva Sociedade Alvo, ou, ainda, outros fatores. Em tais ocorrências, o FIP Vinci e os cotistas do FIP Vinci poderão experimentar perdas, não havendo qualquer garantia ou certeza quanto à possibilidade de eliminação de tais riscos.</w:t>
            </w:r>
          </w:p>
          <w:p w14:paraId="4BDC8181" w14:textId="77777777" w:rsidR="00A97AF1" w:rsidRPr="00F621C0" w:rsidRDefault="00A97AF1" w:rsidP="0075351C">
            <w:pPr>
              <w:jc w:val="both"/>
              <w:rPr>
                <w:rFonts w:ascii="Arial" w:hAnsi="Arial" w:cs="Arial"/>
                <w:bCs/>
                <w:sz w:val="20"/>
                <w:szCs w:val="20"/>
              </w:rPr>
            </w:pPr>
            <w:r w:rsidRPr="00F621C0">
              <w:rPr>
                <w:rFonts w:ascii="Arial" w:eastAsia="Arial" w:hAnsi="Arial" w:cs="Arial"/>
                <w:bCs/>
                <w:sz w:val="20"/>
                <w:szCs w:val="20"/>
              </w:rPr>
              <w:t>No processo de desinvestimento de uma Sociedade Alvo, o FIP Vinci Master pode ser solicitado a oferecer informações sobre o negócio e situação financeira de uma Sociedade Alvo típicas em situações de venda de participação societária. O FIP Vinci Master pode desconhecer ativos insubsistentes e passivos supervenientes que poderão gerar obrigações de indenização pelo FIP Vinci Master aos adquirentes da Sociedade Alvo, o que, indiretamente, pode afetar o valor das cotas. Ademais, o processo de desinvestimento poderá ocorrer em etapas, sendo possível que o FIP Vinci Master, com a diminuição de sua participação na Sociedade Alvo, perca gradualmente o poder de participar do processo decisório da Sociedade Alvo, o que pode afetar sua capacidade de agregar valor ao respectivo investimento</w:t>
            </w:r>
            <w:r w:rsidRPr="00F621C0">
              <w:rPr>
                <w:rFonts w:ascii="Arial" w:hAnsi="Arial" w:cs="Arial"/>
                <w:bCs/>
                <w:sz w:val="20"/>
                <w:szCs w:val="20"/>
              </w:rPr>
              <w:t>.</w:t>
            </w:r>
          </w:p>
        </w:tc>
      </w:tr>
      <w:tr w:rsidR="00A97AF1" w:rsidRPr="00F621C0" w14:paraId="6AEC70E1" w14:textId="77777777" w:rsidTr="0075351C">
        <w:trPr>
          <w:jc w:val="center"/>
        </w:trPr>
        <w:tc>
          <w:tcPr>
            <w:tcW w:w="1382" w:type="pct"/>
            <w:tcBorders>
              <w:top w:val="single" w:sz="4" w:space="0" w:color="auto"/>
              <w:bottom w:val="single" w:sz="4" w:space="0" w:color="auto"/>
            </w:tcBorders>
            <w:vAlign w:val="center"/>
          </w:tcPr>
          <w:p w14:paraId="588638FE"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Concentração do FIP Vinci</w:t>
            </w:r>
          </w:p>
        </w:tc>
        <w:tc>
          <w:tcPr>
            <w:tcW w:w="3618" w:type="pct"/>
            <w:gridSpan w:val="2"/>
            <w:tcBorders>
              <w:top w:val="single" w:sz="4" w:space="0" w:color="auto"/>
              <w:bottom w:val="single" w:sz="4" w:space="0" w:color="auto"/>
            </w:tcBorders>
          </w:tcPr>
          <w:p w14:paraId="30453AC5" w14:textId="77777777" w:rsidR="00A97AF1" w:rsidRPr="00F621C0" w:rsidRDefault="00A97AF1" w:rsidP="0075351C">
            <w:pPr>
              <w:jc w:val="both"/>
              <w:rPr>
                <w:rFonts w:ascii="Arial" w:hAnsi="Arial" w:cs="Arial"/>
                <w:bCs/>
                <w:sz w:val="20"/>
                <w:szCs w:val="20"/>
              </w:rPr>
            </w:pPr>
            <w:r w:rsidRPr="00F621C0">
              <w:rPr>
                <w:rFonts w:ascii="Arial" w:eastAsia="Arial" w:hAnsi="Arial" w:cs="Arial"/>
                <w:sz w:val="20"/>
                <w:szCs w:val="20"/>
              </w:rPr>
              <w:t xml:space="preserve">A classe única do FIP Vinci aplicará, no mínimo, 95% (noventa e cinco por cento) do seu patrimônio em cotas do FIP Vinci Master. </w:t>
            </w:r>
            <w:bookmarkStart w:id="8" w:name="_Hlk93873847"/>
            <w:r w:rsidRPr="00F621C0">
              <w:rPr>
                <w:rFonts w:ascii="Arial" w:eastAsia="Arial" w:hAnsi="Arial" w:cs="Arial"/>
                <w:sz w:val="20"/>
                <w:szCs w:val="20"/>
              </w:rPr>
              <w:t xml:space="preserve">Quanto maior a concentração de recursos aplicados pela classe única do FIP Vinci em ativos de um mesmo emissor, maior é o risco a que a classe única do FIP Vinci está exposta. </w:t>
            </w:r>
            <w:bookmarkEnd w:id="8"/>
            <w:r w:rsidRPr="00F621C0">
              <w:rPr>
                <w:rFonts w:ascii="Arial" w:eastAsia="Arial" w:hAnsi="Arial" w:cs="Arial"/>
                <w:sz w:val="20"/>
                <w:szCs w:val="20"/>
              </w:rPr>
              <w:t>Tendo em vista que até 100% (cem por cento) do patrimônio líquido poderá ser investido em um único fundo de investimento, qualquer perda isolada poderá ter um impacto adverso significativo sobre a classe única do FIP Vinci. O disposto neste item implicará risco de concentração dos investimentos da classe única do FIP Vinci em cotas do FIP Vinci Master</w:t>
            </w:r>
            <w:r w:rsidRPr="00F621C0">
              <w:rPr>
                <w:rFonts w:ascii="Arial" w:hAnsi="Arial" w:cs="Arial"/>
                <w:bCs/>
                <w:sz w:val="20"/>
                <w:szCs w:val="20"/>
              </w:rPr>
              <w:t>.</w:t>
            </w:r>
          </w:p>
        </w:tc>
      </w:tr>
      <w:tr w:rsidR="00A97AF1" w:rsidRPr="00F621C0" w14:paraId="67096115" w14:textId="77777777" w:rsidTr="0075351C">
        <w:trPr>
          <w:jc w:val="center"/>
        </w:trPr>
        <w:tc>
          <w:tcPr>
            <w:tcW w:w="1382" w:type="pct"/>
            <w:tcBorders>
              <w:top w:val="single" w:sz="4" w:space="0" w:color="auto"/>
              <w:bottom w:val="single" w:sz="4" w:space="0" w:color="auto"/>
            </w:tcBorders>
            <w:vAlign w:val="center"/>
          </w:tcPr>
          <w:p w14:paraId="0BB3555D"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Mercado do FIP Vinci</w:t>
            </w:r>
          </w:p>
        </w:tc>
        <w:tc>
          <w:tcPr>
            <w:tcW w:w="3618" w:type="pct"/>
            <w:gridSpan w:val="2"/>
            <w:tcBorders>
              <w:top w:val="single" w:sz="4" w:space="0" w:color="auto"/>
              <w:bottom w:val="single" w:sz="4" w:space="0" w:color="auto"/>
            </w:tcBorders>
          </w:tcPr>
          <w:p w14:paraId="79DE7A5E" w14:textId="77777777" w:rsidR="00A97AF1" w:rsidRPr="00F621C0" w:rsidRDefault="00A97AF1" w:rsidP="0075351C">
            <w:pPr>
              <w:jc w:val="both"/>
              <w:rPr>
                <w:rFonts w:ascii="Arial" w:hAnsi="Arial" w:cs="Arial"/>
                <w:bCs/>
                <w:sz w:val="20"/>
                <w:szCs w:val="20"/>
              </w:rPr>
            </w:pPr>
            <w:r w:rsidRPr="00F621C0">
              <w:rPr>
                <w:rFonts w:ascii="Arial" w:eastAsia="Arial" w:hAnsi="Arial" w:cs="Arial"/>
                <w:sz w:val="20"/>
                <w:szCs w:val="20"/>
              </w:rPr>
              <w:t>Consiste no risco de flutuações nos preços e na rentabilidade dos ativos integrantes da carteira do FIP Vinci, os quais são afetados por diversos fatores de mercado, como liquidez, crédito, alterações políticas, econômicas e fiscais. Essas oscilações de preços podem fazer com que determinados ativos sejam avaliados por valores diferentes ao de emissão e/ou contabilização, podendo acarretar volatilidade das cotas e perdas aos cotistas do FIP Vinci</w:t>
            </w:r>
            <w:r w:rsidRPr="00F621C0">
              <w:rPr>
                <w:rFonts w:ascii="Arial" w:hAnsi="Arial" w:cs="Arial"/>
                <w:bCs/>
                <w:sz w:val="20"/>
                <w:szCs w:val="20"/>
              </w:rPr>
              <w:t>.</w:t>
            </w:r>
          </w:p>
        </w:tc>
      </w:tr>
      <w:tr w:rsidR="00A97AF1" w:rsidRPr="00F621C0" w14:paraId="09B305A0" w14:textId="77777777" w:rsidTr="0075351C">
        <w:trPr>
          <w:jc w:val="center"/>
        </w:trPr>
        <w:tc>
          <w:tcPr>
            <w:tcW w:w="1382" w:type="pct"/>
            <w:tcBorders>
              <w:top w:val="single" w:sz="4" w:space="0" w:color="auto"/>
              <w:bottom w:val="single" w:sz="4" w:space="0" w:color="auto"/>
            </w:tcBorders>
            <w:vAlign w:val="center"/>
          </w:tcPr>
          <w:p w14:paraId="6DDE430F"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Liquidez do FIP Vinci</w:t>
            </w:r>
          </w:p>
        </w:tc>
        <w:tc>
          <w:tcPr>
            <w:tcW w:w="3618" w:type="pct"/>
            <w:gridSpan w:val="2"/>
            <w:tcBorders>
              <w:top w:val="single" w:sz="4" w:space="0" w:color="auto"/>
              <w:bottom w:val="single" w:sz="4" w:space="0" w:color="auto"/>
            </w:tcBorders>
          </w:tcPr>
          <w:p w14:paraId="02BF8DE4" w14:textId="77777777" w:rsidR="00A97AF1" w:rsidRPr="00F621C0" w:rsidRDefault="00A97AF1" w:rsidP="0075351C">
            <w:pPr>
              <w:jc w:val="both"/>
              <w:rPr>
                <w:rFonts w:ascii="Arial" w:hAnsi="Arial" w:cs="Arial"/>
                <w:bCs/>
                <w:sz w:val="20"/>
                <w:szCs w:val="20"/>
              </w:rPr>
            </w:pPr>
            <w:r w:rsidRPr="00F621C0">
              <w:rPr>
                <w:rFonts w:ascii="Arial" w:eastAsia="Arial" w:hAnsi="Arial" w:cs="Arial"/>
                <w:sz w:val="20"/>
                <w:szCs w:val="20"/>
              </w:rPr>
              <w:t>Consiste no risco de redução ou inexistência de demanda pelos ativos integrantes da carteira do FIP Vinci nos respectivos mercados em que são negociados, devido a condições específicas atribuídas a esses ativos ou aos próprios mercados em que são negociados. Em virtude de tais riscos, a classe única do FIP Vinci poderá encontrar dificuldades para liquidar posições ou negociar os referidos ativos pelo preço e no tempo desejados, de acordo com a estratégia de gestão adotada para a classe única do FIP Vinci, o qual permanecerá exposto, durante o respectivo período de falta de liquidez, aos riscos associados aos referidos ativos e às posições assumidas em mercados de derivativos, se for o caso, que podem, inclusive, obrigar a classe única do FIP Vinci a aceitar descontos nos seus respectivos preços, de forma a realizar sua negociação em mercado. Estes fatores podem prejudicar o pagamento de amortizações e resgates aos cotistas do FIP Vinci, nos termos do regulamento</w:t>
            </w:r>
            <w:r w:rsidRPr="00F621C0">
              <w:rPr>
                <w:rFonts w:ascii="Arial" w:hAnsi="Arial" w:cs="Arial"/>
                <w:bCs/>
                <w:sz w:val="20"/>
                <w:szCs w:val="20"/>
              </w:rPr>
              <w:t>.</w:t>
            </w:r>
          </w:p>
        </w:tc>
      </w:tr>
      <w:tr w:rsidR="00A97AF1" w:rsidRPr="00F621C0" w14:paraId="4743CC98" w14:textId="77777777" w:rsidTr="0075351C">
        <w:trPr>
          <w:jc w:val="center"/>
        </w:trPr>
        <w:tc>
          <w:tcPr>
            <w:tcW w:w="1382" w:type="pct"/>
            <w:tcBorders>
              <w:top w:val="single" w:sz="4" w:space="0" w:color="auto"/>
              <w:bottom w:val="single" w:sz="4" w:space="0" w:color="auto"/>
            </w:tcBorders>
            <w:vAlign w:val="center"/>
          </w:tcPr>
          <w:p w14:paraId="33EB7B88"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não Realização dos Investimentos por parte da Classe Única do FIP Vinci</w:t>
            </w:r>
          </w:p>
        </w:tc>
        <w:tc>
          <w:tcPr>
            <w:tcW w:w="3618" w:type="pct"/>
            <w:gridSpan w:val="2"/>
            <w:tcBorders>
              <w:top w:val="single" w:sz="4" w:space="0" w:color="auto"/>
              <w:bottom w:val="single" w:sz="4" w:space="0" w:color="auto"/>
            </w:tcBorders>
          </w:tcPr>
          <w:p w14:paraId="6BEEE7E9"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O</w:t>
            </w:r>
            <w:r w:rsidRPr="00F621C0">
              <w:rPr>
                <w:rFonts w:ascii="Arial" w:eastAsia="Arial" w:hAnsi="Arial" w:cs="Arial"/>
                <w:sz w:val="20"/>
                <w:szCs w:val="20"/>
              </w:rPr>
              <w:t>s investimentos da classe única do FIP Vinci são considerados de longo prazo e o retorno do investimento pode não ser condizente com o esperado pelo cotista do FIP Vinci. Não há garantias de que os investimentos pretendidos pela classe única do FIP Vinci estejam disponíveis no momento e em quantidades convenientes ou desejáveis à satisfação de sua política de investimentos, o que pode resultar em investimentos menores ou mesmo na não realização destes investimentos</w:t>
            </w:r>
            <w:r w:rsidRPr="00F621C0">
              <w:rPr>
                <w:rFonts w:ascii="Arial" w:hAnsi="Arial" w:cs="Arial"/>
                <w:bCs/>
                <w:sz w:val="20"/>
                <w:szCs w:val="20"/>
              </w:rPr>
              <w:t>.</w:t>
            </w:r>
          </w:p>
        </w:tc>
      </w:tr>
      <w:tr w:rsidR="00A97AF1" w:rsidRPr="00F621C0" w14:paraId="073F74BF" w14:textId="77777777" w:rsidTr="0075351C">
        <w:trPr>
          <w:jc w:val="center"/>
        </w:trPr>
        <w:tc>
          <w:tcPr>
            <w:tcW w:w="1382" w:type="pct"/>
            <w:tcBorders>
              <w:top w:val="single" w:sz="4" w:space="0" w:color="auto"/>
              <w:bottom w:val="single" w:sz="4" w:space="0" w:color="auto"/>
            </w:tcBorders>
            <w:vAlign w:val="center"/>
          </w:tcPr>
          <w:p w14:paraId="0F0CB784"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Riscos relacionados à possibilidade de endividamento do FIP Vinci</w:t>
            </w:r>
          </w:p>
        </w:tc>
        <w:tc>
          <w:tcPr>
            <w:tcW w:w="3618" w:type="pct"/>
            <w:gridSpan w:val="2"/>
            <w:tcBorders>
              <w:top w:val="single" w:sz="4" w:space="0" w:color="auto"/>
              <w:bottom w:val="single" w:sz="4" w:space="0" w:color="auto"/>
            </w:tcBorders>
          </w:tcPr>
          <w:p w14:paraId="75E903B0" w14:textId="77777777" w:rsidR="00A97AF1" w:rsidRPr="00F621C0" w:rsidRDefault="00A97AF1" w:rsidP="0075351C">
            <w:pPr>
              <w:jc w:val="both"/>
              <w:rPr>
                <w:rFonts w:ascii="Arial" w:hAnsi="Arial" w:cs="Arial"/>
                <w:bCs/>
                <w:sz w:val="20"/>
                <w:szCs w:val="20"/>
              </w:rPr>
            </w:pPr>
            <w:r w:rsidRPr="00F621C0">
              <w:rPr>
                <w:rFonts w:ascii="Arial" w:eastAsia="Arial" w:hAnsi="Arial" w:cs="Arial"/>
                <w:bCs/>
                <w:sz w:val="20"/>
                <w:szCs w:val="20"/>
              </w:rPr>
              <w:t>O FIP Vinci poderá contrair ou efetuar empréstimos nas hipóteses previstas no regulamento, de modo que o patrimônio líquido poderá ser afetado em decorrência da eventual obtenção de tais empréstimos.</w:t>
            </w:r>
          </w:p>
        </w:tc>
      </w:tr>
      <w:tr w:rsidR="00A97AF1" w:rsidRPr="00F621C0" w14:paraId="19C5737C" w14:textId="77777777" w:rsidTr="0075351C">
        <w:trPr>
          <w:jc w:val="center"/>
        </w:trPr>
        <w:tc>
          <w:tcPr>
            <w:tcW w:w="1382" w:type="pct"/>
            <w:tcBorders>
              <w:top w:val="single" w:sz="4" w:space="0" w:color="auto"/>
              <w:bottom w:val="single" w:sz="4" w:space="0" w:color="auto"/>
            </w:tcBorders>
            <w:vAlign w:val="center"/>
          </w:tcPr>
          <w:p w14:paraId="286E75F7"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Riscos de amortização e/ou resgate das cotas em cotas do fundo investido, ativos alvo e/ou outros ativos do FIP Vinci e de Liquidação Antecipada por decisão da Assembleia Geral de Cotistas</w:t>
            </w:r>
          </w:p>
        </w:tc>
        <w:tc>
          <w:tcPr>
            <w:tcW w:w="3618" w:type="pct"/>
            <w:gridSpan w:val="2"/>
            <w:tcBorders>
              <w:top w:val="single" w:sz="4" w:space="0" w:color="auto"/>
              <w:bottom w:val="single" w:sz="4" w:space="0" w:color="auto"/>
            </w:tcBorders>
          </w:tcPr>
          <w:p w14:paraId="30B04F83" w14:textId="77777777" w:rsidR="00A97AF1" w:rsidRPr="00F621C0" w:rsidRDefault="00A97AF1" w:rsidP="0075351C">
            <w:pPr>
              <w:jc w:val="both"/>
              <w:rPr>
                <w:rFonts w:ascii="Arial" w:hAnsi="Arial" w:cs="Arial"/>
                <w:bCs/>
                <w:sz w:val="20"/>
                <w:szCs w:val="20"/>
              </w:rPr>
            </w:pPr>
            <w:r w:rsidRPr="00F621C0">
              <w:rPr>
                <w:rFonts w:ascii="Arial" w:eastAsia="Arial" w:hAnsi="Arial" w:cs="Arial"/>
                <w:sz w:val="20"/>
                <w:szCs w:val="20"/>
              </w:rPr>
              <w:t>Conforme previsto no regulamento do FIP Vinci, poderá haver circunstâncias em que as cotas poderão ser amortizadas ou resgatadas em cotas do FIP Vinci Master, Ativos Alvo e outros ativos do FIP Vinci, mediante aprovação da assembleia geral de cotistas. Nesses casos, os cotistas poderão encontrar dificuldades para negociar referidas cotas do FIP Vinci Master, Ativos Alvo e outros ativos do FIP Vinci que venham a ser recebidos do FIP Vinci Master</w:t>
            </w:r>
            <w:r w:rsidRPr="00F621C0">
              <w:rPr>
                <w:rFonts w:ascii="Arial" w:hAnsi="Arial" w:cs="Arial"/>
                <w:bCs/>
                <w:sz w:val="20"/>
                <w:szCs w:val="20"/>
              </w:rPr>
              <w:t>.</w:t>
            </w:r>
          </w:p>
          <w:p w14:paraId="76E712B4"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 xml:space="preserve">Adicionalmente, o regulamento do FIP Vinci prevê que caso a assembleia geral de cotistas do FIP Vinci decida pela liquidação antecipada do Fundo sem a prévia anuência da gestora do FIP Vinci, tal situação será causa de Renúncia Motivada da gestora, devidamente descrita no regulamento do FIP Vinci. A Renúncia Motivada por liquidação antecipada, caso decidida pela assembleia geral de cotistas do FIP Vinci à revelia da gestora do FIP Vinci,  traz consequências financeiras aos cotistas do FIP Vinci, incluindo o pagamento de taxas específicas decorrentes da liquidação antecipada, que poderão causar, inclusive, a retenção de distribuições futuras de resultados do FIP Vinci Master aos cotistas que deram causa à liquidação antecipada.. </w:t>
            </w:r>
          </w:p>
        </w:tc>
      </w:tr>
      <w:tr w:rsidR="00A97AF1" w:rsidRPr="00F621C0" w14:paraId="770831F9" w14:textId="77777777" w:rsidTr="0075351C">
        <w:trPr>
          <w:jc w:val="center"/>
        </w:trPr>
        <w:tc>
          <w:tcPr>
            <w:tcW w:w="1382" w:type="pct"/>
            <w:tcBorders>
              <w:top w:val="single" w:sz="4" w:space="0" w:color="auto"/>
              <w:bottom w:val="single" w:sz="4" w:space="0" w:color="auto"/>
            </w:tcBorders>
            <w:vAlign w:val="center"/>
          </w:tcPr>
          <w:p w14:paraId="46EC2BB2" w14:textId="77777777" w:rsidR="00A97AF1" w:rsidRPr="00F621C0" w:rsidRDefault="00A97AF1" w:rsidP="0075351C">
            <w:pPr>
              <w:rPr>
                <w:rFonts w:ascii="Arial" w:hAnsi="Arial" w:cs="Arial"/>
                <w:b/>
                <w:sz w:val="20"/>
                <w:szCs w:val="20"/>
              </w:rPr>
            </w:pPr>
            <w:r w:rsidRPr="00F621C0">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6D5528B9" w14:textId="77777777" w:rsidR="00A97AF1" w:rsidRPr="00F621C0" w:rsidRDefault="00A97AF1" w:rsidP="0075351C">
            <w:pPr>
              <w:jc w:val="both"/>
              <w:rPr>
                <w:rFonts w:ascii="Arial" w:hAnsi="Arial" w:cs="Arial"/>
                <w:sz w:val="20"/>
                <w:szCs w:val="20"/>
              </w:rPr>
            </w:pPr>
            <w:r w:rsidRPr="00F621C0">
              <w:rPr>
                <w:rFonts w:ascii="Arial" w:eastAsia="Arial" w:hAnsi="Arial" w:cs="Arial"/>
                <w:bCs/>
                <w:sz w:val="20"/>
                <w:szCs w:val="20"/>
              </w:rPr>
              <w:t>As Sociedades Alvo, direta ou indiretamente, podem estar sujeitas a maior risco de contingências socioambientais decorrentes de suas atividades, bem como de eventual não cumprimento da legislação socioambiental aplicável e de eventos adversos, especialmente se exercerem atividade com significativo impacto socioambiental, tais como acidentes, vazamentos, explosões ou outros incidentes que podem resultar em lesões corporais, mortes, danos ao meio ambiente e à coletividade que poderão gerar dispêndios para as Sociedades Alvo, impactando o desempenho dos investimentos do FIP Vinci Master e, consequentemente, da c</w:t>
            </w:r>
            <w:r w:rsidRPr="00F621C0">
              <w:rPr>
                <w:rFonts w:ascii="Arial" w:eastAsia="Arial" w:hAnsi="Arial" w:cs="Arial"/>
                <w:sz w:val="20"/>
                <w:szCs w:val="20"/>
              </w:rPr>
              <w:t>lasse única do FIP Vinci</w:t>
            </w:r>
            <w:r w:rsidRPr="00F621C0">
              <w:rPr>
                <w:rFonts w:ascii="Arial" w:hAnsi="Arial" w:cs="Arial"/>
                <w:bCs/>
                <w:sz w:val="20"/>
                <w:szCs w:val="20"/>
              </w:rPr>
              <w:t>.</w:t>
            </w:r>
          </w:p>
        </w:tc>
      </w:tr>
      <w:tr w:rsidR="00A97AF1" w:rsidRPr="00F621C0" w14:paraId="76286080" w14:textId="77777777" w:rsidTr="0075351C">
        <w:trPr>
          <w:jc w:val="center"/>
        </w:trPr>
        <w:tc>
          <w:tcPr>
            <w:tcW w:w="1382" w:type="pct"/>
            <w:tcBorders>
              <w:top w:val="single" w:sz="4" w:space="0" w:color="auto"/>
              <w:bottom w:val="single" w:sz="4" w:space="0" w:color="auto"/>
            </w:tcBorders>
            <w:vAlign w:val="center"/>
          </w:tcPr>
          <w:p w14:paraId="10720589"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Evento de Equipe Chave</w:t>
            </w:r>
          </w:p>
        </w:tc>
        <w:tc>
          <w:tcPr>
            <w:tcW w:w="3618" w:type="pct"/>
            <w:gridSpan w:val="2"/>
            <w:tcBorders>
              <w:top w:val="single" w:sz="4" w:space="0" w:color="auto"/>
              <w:bottom w:val="single" w:sz="4" w:space="0" w:color="auto"/>
            </w:tcBorders>
          </w:tcPr>
          <w:p w14:paraId="014B17CA" w14:textId="77777777" w:rsidR="00A97AF1" w:rsidRPr="00F621C0" w:rsidRDefault="00A97AF1" w:rsidP="0075351C">
            <w:pPr>
              <w:jc w:val="both"/>
              <w:rPr>
                <w:rFonts w:ascii="Arial" w:eastAsia="Arial" w:hAnsi="Arial" w:cs="Arial"/>
                <w:bCs/>
                <w:sz w:val="20"/>
                <w:szCs w:val="20"/>
              </w:rPr>
            </w:pPr>
            <w:r w:rsidRPr="00F621C0">
              <w:rPr>
                <w:rFonts w:ascii="Arial" w:eastAsia="Arial" w:hAnsi="Arial" w:cs="Arial"/>
                <w:bCs/>
                <w:sz w:val="20"/>
                <w:szCs w:val="20"/>
              </w:rPr>
              <w:t xml:space="preserve">Caso ocorra um Evento de Equipe Chave no FIP Vinci ou no FIP Vinci Master, conforme previsto em seus respectivos regulamentos, o Período de Investimento do FIP Vinci será considerado automaticamente suspenso e poderá, dependendo das ações tomadas pelo administrador, pelo gestor e pelos cotistas do FIP Vinci, ser retomado ou encerrado antecipadamente, nos termos previstos no regulamento do FIP Vinci. No caso de encerramento antecipado do Período de Investimentos do FIP Vinci, os recursos comprometidos pelos Cotistas no Fundo poderão deixar de ser investidos no Fundo e no FIP Vinci e as expectativas de investimento e desinvestimento dos Cotistas poderão ser frustradas em razão de tal acontecimento. </w:t>
            </w:r>
          </w:p>
          <w:p w14:paraId="38DC4AA5" w14:textId="77777777" w:rsidR="00A97AF1" w:rsidRPr="00F621C0" w:rsidRDefault="00A97AF1" w:rsidP="0075351C">
            <w:pPr>
              <w:jc w:val="both"/>
              <w:rPr>
                <w:rFonts w:ascii="Arial" w:eastAsia="Arial" w:hAnsi="Arial" w:cs="Arial"/>
                <w:bCs/>
                <w:sz w:val="20"/>
                <w:szCs w:val="20"/>
              </w:rPr>
            </w:pPr>
          </w:p>
        </w:tc>
      </w:tr>
      <w:tr w:rsidR="00A97AF1" w:rsidRPr="00F621C0" w14:paraId="6E60023E" w14:textId="77777777" w:rsidTr="0075351C">
        <w:trPr>
          <w:jc w:val="center"/>
        </w:trPr>
        <w:tc>
          <w:tcPr>
            <w:tcW w:w="5000" w:type="pct"/>
            <w:gridSpan w:val="3"/>
            <w:tcBorders>
              <w:top w:val="single" w:sz="4" w:space="0" w:color="auto"/>
              <w:bottom w:val="single" w:sz="4" w:space="0" w:color="auto"/>
            </w:tcBorders>
            <w:vAlign w:val="center"/>
          </w:tcPr>
          <w:p w14:paraId="060AFB86" w14:textId="77777777" w:rsidR="00A97AF1" w:rsidRPr="00F621C0" w:rsidRDefault="00A97AF1" w:rsidP="0075351C">
            <w:pPr>
              <w:jc w:val="center"/>
              <w:rPr>
                <w:rFonts w:ascii="Arial" w:hAnsi="Arial" w:cs="Arial"/>
                <w:b/>
                <w:bCs/>
                <w:smallCaps/>
                <w:color w:val="000000"/>
                <w:sz w:val="20"/>
                <w:szCs w:val="20"/>
              </w:rPr>
            </w:pPr>
          </w:p>
        </w:tc>
      </w:tr>
      <w:tr w:rsidR="00A97AF1" w:rsidRPr="00F621C0" w14:paraId="48335B3F" w14:textId="77777777" w:rsidTr="0075351C">
        <w:trPr>
          <w:jc w:val="center"/>
        </w:trPr>
        <w:tc>
          <w:tcPr>
            <w:tcW w:w="5000" w:type="pct"/>
            <w:gridSpan w:val="3"/>
            <w:tcBorders>
              <w:top w:val="single" w:sz="4" w:space="0" w:color="auto"/>
              <w:bottom w:val="single" w:sz="4" w:space="0" w:color="auto"/>
            </w:tcBorders>
            <w:vAlign w:val="center"/>
          </w:tcPr>
          <w:p w14:paraId="7442F80F" w14:textId="77777777" w:rsidR="00A97AF1" w:rsidRPr="00F621C0" w:rsidRDefault="00A97AF1" w:rsidP="0075351C">
            <w:pPr>
              <w:jc w:val="center"/>
              <w:rPr>
                <w:rFonts w:ascii="Arial" w:hAnsi="Arial" w:cs="Arial"/>
                <w:sz w:val="20"/>
                <w:szCs w:val="20"/>
                <w:highlight w:val="magenta"/>
              </w:rPr>
            </w:pPr>
            <w:r w:rsidRPr="00F621C0">
              <w:rPr>
                <w:rFonts w:ascii="Arial" w:hAnsi="Arial" w:cs="Arial"/>
                <w:b/>
                <w:bCs/>
                <w:smallCaps/>
                <w:color w:val="000000"/>
                <w:sz w:val="20"/>
                <w:szCs w:val="20"/>
              </w:rPr>
              <w:t>Riscos relacionados a Classe, direta ou indiretamente, por meio de Classes de Investimento Investidas</w:t>
            </w:r>
          </w:p>
        </w:tc>
      </w:tr>
      <w:tr w:rsidR="00A97AF1" w:rsidRPr="00F621C0" w14:paraId="43AA649E" w14:textId="77777777" w:rsidTr="0075351C">
        <w:trPr>
          <w:jc w:val="center"/>
        </w:trPr>
        <w:tc>
          <w:tcPr>
            <w:tcW w:w="5000" w:type="pct"/>
            <w:gridSpan w:val="3"/>
            <w:tcBorders>
              <w:top w:val="single" w:sz="4" w:space="0" w:color="auto"/>
              <w:bottom w:val="single" w:sz="4" w:space="0" w:color="auto"/>
            </w:tcBorders>
            <w:vAlign w:val="center"/>
          </w:tcPr>
          <w:p w14:paraId="75406D34" w14:textId="77777777" w:rsidR="00A97AF1" w:rsidRPr="00F621C0" w:rsidRDefault="00A97AF1" w:rsidP="0075351C">
            <w:pPr>
              <w:jc w:val="both"/>
              <w:rPr>
                <w:rFonts w:ascii="Arial" w:hAnsi="Arial" w:cs="Arial"/>
                <w:b/>
                <w:bCs/>
                <w:smallCaps/>
                <w:color w:val="000000"/>
                <w:sz w:val="20"/>
                <w:szCs w:val="20"/>
              </w:rPr>
            </w:pPr>
          </w:p>
        </w:tc>
      </w:tr>
      <w:tr w:rsidR="00A97AF1" w:rsidRPr="00F621C0" w14:paraId="5A1EF56B" w14:textId="77777777" w:rsidTr="0075351C">
        <w:trPr>
          <w:jc w:val="center"/>
        </w:trPr>
        <w:tc>
          <w:tcPr>
            <w:tcW w:w="1382" w:type="pct"/>
            <w:tcBorders>
              <w:top w:val="single" w:sz="4" w:space="0" w:color="auto"/>
              <w:bottom w:val="single" w:sz="4" w:space="0" w:color="auto"/>
            </w:tcBorders>
            <w:vAlign w:val="center"/>
          </w:tcPr>
          <w:p w14:paraId="7AE2DDA2"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6C5D80B1"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tc>
      </w:tr>
      <w:tr w:rsidR="00A97AF1" w:rsidRPr="00F621C0" w14:paraId="3C7F1FEE" w14:textId="77777777" w:rsidTr="0075351C">
        <w:trPr>
          <w:jc w:val="center"/>
        </w:trPr>
        <w:tc>
          <w:tcPr>
            <w:tcW w:w="1382" w:type="pct"/>
            <w:tcBorders>
              <w:top w:val="single" w:sz="4" w:space="0" w:color="auto"/>
              <w:bottom w:val="single" w:sz="4" w:space="0" w:color="auto"/>
            </w:tcBorders>
            <w:vAlign w:val="center"/>
          </w:tcPr>
          <w:p w14:paraId="70B9F218"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288975F6"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 xml:space="preserve">Consiste no risco de os emissores dos ativos financeiros e/ou das contrapartes das transações da Classe </w:t>
            </w:r>
            <w:r w:rsidRPr="00F621C0">
              <w:rPr>
                <w:rFonts w:ascii="Arial" w:hAnsi="Arial" w:cs="Arial"/>
                <w:sz w:val="20"/>
                <w:szCs w:val="20"/>
              </w:rPr>
              <w:t>Única</w:t>
            </w:r>
            <w:r w:rsidRPr="00F621C0">
              <w:rPr>
                <w:rFonts w:ascii="Arial" w:hAnsi="Arial" w:cs="Arial"/>
                <w:bCs/>
                <w:sz w:val="20"/>
                <w:szCs w:val="20"/>
              </w:rPr>
              <w:t xml:space="preserve"> e/ou das classes de fundos de investimento investidas não cumprirem suas obrigações de pagamento (principal e juros) e/ou de liquidação das operações contratadas. Ocorrendo tais hipóteses, o patrimônio líquido da Classe poderá ser afetado negativamente.</w:t>
            </w:r>
          </w:p>
        </w:tc>
      </w:tr>
      <w:tr w:rsidR="00A97AF1" w:rsidRPr="00F621C0" w14:paraId="0BAC3B04" w14:textId="77777777" w:rsidTr="0075351C">
        <w:trPr>
          <w:jc w:val="center"/>
        </w:trPr>
        <w:tc>
          <w:tcPr>
            <w:tcW w:w="1382" w:type="pct"/>
            <w:tcBorders>
              <w:top w:val="single" w:sz="4" w:space="0" w:color="auto"/>
              <w:bottom w:val="single" w:sz="4" w:space="0" w:color="auto"/>
            </w:tcBorders>
            <w:vAlign w:val="center"/>
          </w:tcPr>
          <w:p w14:paraId="73F8C4D3"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29A3CAEA"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 xml:space="preserve">Caracteriza-se pela possibilidade de redução ou mesmo inexistência de demanda pelos ativos financeiros integrantes da carteira da Classe </w:t>
            </w:r>
            <w:r w:rsidRPr="00F621C0">
              <w:rPr>
                <w:rFonts w:ascii="Arial" w:hAnsi="Arial" w:cs="Arial"/>
                <w:sz w:val="20"/>
                <w:szCs w:val="20"/>
              </w:rPr>
              <w:t>Única</w:t>
            </w:r>
            <w:r w:rsidRPr="00F621C0">
              <w:rPr>
                <w:rFonts w:ascii="Arial" w:hAnsi="Arial" w:cs="Arial"/>
                <w:bCs/>
                <w:sz w:val="20"/>
                <w:szCs w:val="20"/>
              </w:rPr>
              <w:t xml:space="preserv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tc>
      </w:tr>
      <w:tr w:rsidR="00A97AF1" w:rsidRPr="00F621C0" w14:paraId="1E7CB395" w14:textId="77777777" w:rsidTr="0075351C">
        <w:trPr>
          <w:jc w:val="center"/>
        </w:trPr>
        <w:tc>
          <w:tcPr>
            <w:tcW w:w="1382" w:type="pct"/>
            <w:tcBorders>
              <w:top w:val="single" w:sz="4" w:space="0" w:color="auto"/>
              <w:bottom w:val="single" w:sz="4" w:space="0" w:color="auto"/>
            </w:tcBorders>
            <w:vAlign w:val="center"/>
          </w:tcPr>
          <w:p w14:paraId="6960D148"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4249A646"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 xml:space="preserve">A carteira da Classe </w:t>
            </w:r>
            <w:r w:rsidRPr="00F621C0">
              <w:rPr>
                <w:rFonts w:ascii="Arial" w:hAnsi="Arial" w:cs="Arial"/>
                <w:sz w:val="20"/>
                <w:szCs w:val="20"/>
              </w:rPr>
              <w:t>Única</w:t>
            </w:r>
            <w:r w:rsidRPr="00F621C0">
              <w:rPr>
                <w:rFonts w:ascii="Arial" w:hAnsi="Arial" w:cs="Arial"/>
                <w:bCs/>
                <w:sz w:val="20"/>
                <w:szCs w:val="20"/>
              </w:rPr>
              <w:t xml:space="preserve"> poderá estar exposta à concentração em ativos de determinados, poucos emissores ou um único emissor. Essa concentração de investimentos nos quais a Classe aplica direta e/ou indiretamente seus recursos poderá aumentar a exposição da carteira da Classe</w:t>
            </w:r>
            <w:r w:rsidRPr="00F621C0">
              <w:rPr>
                <w:rFonts w:ascii="Arial" w:hAnsi="Arial" w:cs="Arial"/>
                <w:sz w:val="20"/>
                <w:szCs w:val="20"/>
              </w:rPr>
              <w:t xml:space="preserve"> Única</w:t>
            </w:r>
            <w:r w:rsidRPr="00F621C0">
              <w:rPr>
                <w:rFonts w:ascii="Arial" w:hAnsi="Arial" w:cs="Arial"/>
                <w:bCs/>
                <w:sz w:val="20"/>
                <w:szCs w:val="20"/>
              </w:rPr>
              <w:t xml:space="preserve"> aos riscos relacionados a tais ativos, ocasionando volatilidade no valor de suas Cotas.</w:t>
            </w:r>
          </w:p>
        </w:tc>
      </w:tr>
      <w:tr w:rsidR="00A97AF1" w:rsidRPr="00F621C0" w14:paraId="398934AD" w14:textId="77777777" w:rsidTr="0075351C">
        <w:trPr>
          <w:jc w:val="center"/>
        </w:trPr>
        <w:tc>
          <w:tcPr>
            <w:tcW w:w="1382" w:type="pct"/>
            <w:tcBorders>
              <w:top w:val="single" w:sz="4" w:space="0" w:color="auto"/>
              <w:bottom w:val="single" w:sz="4" w:space="0" w:color="auto"/>
            </w:tcBorders>
            <w:vAlign w:val="center"/>
          </w:tcPr>
          <w:p w14:paraId="3102210A"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Decorrente da Precificação dos Ativos Financeiros</w:t>
            </w:r>
          </w:p>
        </w:tc>
        <w:tc>
          <w:tcPr>
            <w:tcW w:w="3618" w:type="pct"/>
            <w:gridSpan w:val="2"/>
            <w:tcBorders>
              <w:top w:val="single" w:sz="4" w:space="0" w:color="auto"/>
              <w:bottom w:val="single" w:sz="4" w:space="0" w:color="auto"/>
            </w:tcBorders>
          </w:tcPr>
          <w:p w14:paraId="39BA422B"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tc>
      </w:tr>
      <w:tr w:rsidR="00A97AF1" w:rsidRPr="00F621C0" w14:paraId="199B997D" w14:textId="77777777" w:rsidTr="0075351C">
        <w:trPr>
          <w:jc w:val="center"/>
        </w:trPr>
        <w:tc>
          <w:tcPr>
            <w:tcW w:w="1382" w:type="pct"/>
            <w:tcBorders>
              <w:top w:val="single" w:sz="4" w:space="0" w:color="auto"/>
              <w:bottom w:val="single" w:sz="4" w:space="0" w:color="auto"/>
            </w:tcBorders>
            <w:vAlign w:val="center"/>
          </w:tcPr>
          <w:p w14:paraId="5FB6AE82"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Perdas Patrimoniais/Capital</w:t>
            </w:r>
          </w:p>
        </w:tc>
        <w:tc>
          <w:tcPr>
            <w:tcW w:w="3618" w:type="pct"/>
            <w:gridSpan w:val="2"/>
            <w:tcBorders>
              <w:top w:val="single" w:sz="4" w:space="0" w:color="auto"/>
              <w:bottom w:val="single" w:sz="4" w:space="0" w:color="auto"/>
            </w:tcBorders>
          </w:tcPr>
          <w:p w14:paraId="7E518D03"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A Classe</w:t>
            </w:r>
            <w:r w:rsidRPr="00F621C0">
              <w:rPr>
                <w:rFonts w:ascii="Arial" w:hAnsi="Arial" w:cs="Arial"/>
                <w:sz w:val="20"/>
                <w:szCs w:val="20"/>
              </w:rPr>
              <w:t xml:space="preserve"> Única</w:t>
            </w:r>
            <w:r w:rsidRPr="00F621C0">
              <w:rPr>
                <w:rFonts w:ascii="Arial" w:hAnsi="Arial" w:cs="Arial"/>
                <w:bCs/>
                <w:sz w:val="20"/>
                <w:szCs w:val="20"/>
              </w:rPr>
              <w:t xml:space="preserv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r w:rsidRPr="00F621C0">
              <w:rPr>
                <w:rFonts w:ascii="Arial" w:hAnsi="Arial" w:cs="Arial"/>
                <w:sz w:val="20"/>
                <w:szCs w:val="20"/>
              </w:rPr>
              <w:t xml:space="preserve"> Única</w:t>
            </w:r>
            <w:r w:rsidRPr="00F621C0">
              <w:rPr>
                <w:rFonts w:ascii="Arial" w:hAnsi="Arial" w:cs="Arial"/>
                <w:bCs/>
                <w:sz w:val="20"/>
                <w:szCs w:val="20"/>
              </w:rPr>
              <w:t>. </w:t>
            </w:r>
          </w:p>
        </w:tc>
      </w:tr>
      <w:tr w:rsidR="00A97AF1" w:rsidRPr="00F621C0" w14:paraId="3ED08E2C" w14:textId="77777777" w:rsidTr="0075351C">
        <w:trPr>
          <w:jc w:val="center"/>
        </w:trPr>
        <w:tc>
          <w:tcPr>
            <w:tcW w:w="1382" w:type="pct"/>
            <w:tcBorders>
              <w:top w:val="single" w:sz="4" w:space="0" w:color="auto"/>
              <w:bottom w:val="single" w:sz="4" w:space="0" w:color="auto"/>
            </w:tcBorders>
            <w:vAlign w:val="center"/>
          </w:tcPr>
          <w:p w14:paraId="015C0B62"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432D6034"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 xml:space="preserve">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w:t>
            </w:r>
            <w:r w:rsidRPr="00F621C0">
              <w:rPr>
                <w:rFonts w:ascii="Arial" w:hAnsi="Arial" w:cs="Arial"/>
                <w:sz w:val="20"/>
                <w:szCs w:val="20"/>
              </w:rPr>
              <w:t>Única</w:t>
            </w:r>
            <w:r w:rsidRPr="00F621C0">
              <w:rPr>
                <w:rFonts w:ascii="Arial" w:hAnsi="Arial" w:cs="Arial"/>
                <w:bCs/>
                <w:sz w:val="20"/>
                <w:szCs w:val="20"/>
              </w:rPr>
              <w:t xml:space="preserve"> e/ou das classes de investimento investidas.</w:t>
            </w:r>
          </w:p>
        </w:tc>
      </w:tr>
      <w:tr w:rsidR="00A97AF1" w:rsidRPr="00F621C0" w14:paraId="29B7AE13" w14:textId="77777777" w:rsidTr="0075351C">
        <w:trPr>
          <w:jc w:val="center"/>
        </w:trPr>
        <w:tc>
          <w:tcPr>
            <w:tcW w:w="1382" w:type="pct"/>
            <w:tcBorders>
              <w:top w:val="single" w:sz="4" w:space="0" w:color="auto"/>
              <w:bottom w:val="single" w:sz="4" w:space="0" w:color="auto"/>
            </w:tcBorders>
            <w:vAlign w:val="center"/>
          </w:tcPr>
          <w:p w14:paraId="61EB06C6"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Prorrogação do Prazo do Fundo</w:t>
            </w:r>
          </w:p>
        </w:tc>
        <w:tc>
          <w:tcPr>
            <w:tcW w:w="3618" w:type="pct"/>
            <w:gridSpan w:val="2"/>
            <w:tcBorders>
              <w:top w:val="single" w:sz="4" w:space="0" w:color="auto"/>
              <w:bottom w:val="single" w:sz="4" w:space="0" w:color="auto"/>
            </w:tcBorders>
          </w:tcPr>
          <w:p w14:paraId="106FBD23"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Consiste na possibilidade de haver a prorrogação do prazo de duração do Fundo, mediante aprovação da Assembleia Geral de Cotistas ou de outros eventos devidamente descritos no Regulamento ou no Anexo da Classe Única que poderão causar tal prorrogação. Tendo em vista que o Fundo não admite resgate das Cotas anteriormente ao término do seu Prazo de Duração, na hipótese de prorrogação voluntária ou automática do Prazo de Duração do Fundo, o Cotista terá que aguardar até o término do período prorrogado para obter o resgate de seu investimento.</w:t>
            </w:r>
          </w:p>
        </w:tc>
      </w:tr>
      <w:tr w:rsidR="00A97AF1" w:rsidRPr="00F621C0" w14:paraId="0C837EA8" w14:textId="77777777" w:rsidTr="0075351C">
        <w:trPr>
          <w:jc w:val="center"/>
        </w:trPr>
        <w:tc>
          <w:tcPr>
            <w:tcW w:w="1382" w:type="pct"/>
            <w:tcBorders>
              <w:top w:val="single" w:sz="4" w:space="0" w:color="auto"/>
              <w:bottom w:val="single" w:sz="4" w:space="0" w:color="auto"/>
            </w:tcBorders>
            <w:vAlign w:val="center"/>
          </w:tcPr>
          <w:p w14:paraId="069DD7E3"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Ausência de Negociação das Cotas do Fundo</w:t>
            </w:r>
          </w:p>
        </w:tc>
        <w:tc>
          <w:tcPr>
            <w:tcW w:w="3618" w:type="pct"/>
            <w:gridSpan w:val="2"/>
            <w:tcBorders>
              <w:top w:val="single" w:sz="4" w:space="0" w:color="auto"/>
              <w:bottom w:val="single" w:sz="4" w:space="0" w:color="auto"/>
            </w:tcBorders>
          </w:tcPr>
          <w:p w14:paraId="706FCFCA"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As cotas do Fundo não serão negociadas em bolsa de valores ou sistema de mercado de balcão, não podendo ser assegurada a disponibilidade de informações sobre os preços praticados ou sobre negócios realizados com as referidas cotas.  </w:t>
            </w:r>
          </w:p>
        </w:tc>
      </w:tr>
      <w:tr w:rsidR="00A97AF1" w:rsidRPr="00F621C0" w14:paraId="41BB26F4" w14:textId="77777777" w:rsidTr="0075351C">
        <w:trPr>
          <w:jc w:val="center"/>
        </w:trPr>
        <w:tc>
          <w:tcPr>
            <w:tcW w:w="1382" w:type="pct"/>
            <w:tcBorders>
              <w:top w:val="single" w:sz="4" w:space="0" w:color="auto"/>
              <w:bottom w:val="single" w:sz="4" w:space="0" w:color="auto"/>
            </w:tcBorders>
            <w:vAlign w:val="center"/>
          </w:tcPr>
          <w:p w14:paraId="2B9EB9B1"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034679CC"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Eventos negativos de temática ambiental, social e de governança a que der causa o emissor de determinados ativos detidos pela Classe</w:t>
            </w:r>
            <w:r w:rsidRPr="00F621C0">
              <w:rPr>
                <w:rFonts w:ascii="Arial" w:hAnsi="Arial" w:cs="Arial"/>
                <w:sz w:val="20"/>
                <w:szCs w:val="20"/>
              </w:rPr>
              <w:t xml:space="preserve"> Única</w:t>
            </w:r>
            <w:r w:rsidRPr="00F621C0">
              <w:rPr>
                <w:rFonts w:ascii="Arial" w:hAnsi="Arial" w:cs="Arial"/>
                <w:bCs/>
                <w:sz w:val="20"/>
                <w:szCs w:val="20"/>
              </w:rPr>
              <w:t xml:space="preserv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Pr="00F621C0">
              <w:rPr>
                <w:rFonts w:ascii="Arial" w:hAnsi="Arial" w:cs="Arial"/>
                <w:sz w:val="20"/>
                <w:szCs w:val="20"/>
              </w:rPr>
              <w:t xml:space="preserve"> Única</w:t>
            </w:r>
            <w:r w:rsidRPr="00F621C0">
              <w:rPr>
                <w:rFonts w:ascii="Arial" w:hAnsi="Arial" w:cs="Arial"/>
                <w:bCs/>
                <w:sz w:val="20"/>
                <w:szCs w:val="20"/>
              </w:rPr>
              <w:t>.</w:t>
            </w:r>
          </w:p>
        </w:tc>
      </w:tr>
      <w:tr w:rsidR="00A97AF1" w:rsidRPr="00F621C0" w14:paraId="5994F3B3" w14:textId="77777777" w:rsidTr="0075351C">
        <w:trPr>
          <w:jc w:val="center"/>
        </w:trPr>
        <w:tc>
          <w:tcPr>
            <w:tcW w:w="1382" w:type="pct"/>
            <w:tcBorders>
              <w:top w:val="single" w:sz="4" w:space="0" w:color="auto"/>
              <w:bottom w:val="single" w:sz="4" w:space="0" w:color="auto"/>
            </w:tcBorders>
            <w:vAlign w:val="center"/>
          </w:tcPr>
          <w:p w14:paraId="43D2400D"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Tratamento Fiscal</w:t>
            </w:r>
          </w:p>
        </w:tc>
        <w:tc>
          <w:tcPr>
            <w:tcW w:w="3618" w:type="pct"/>
            <w:gridSpan w:val="2"/>
            <w:tcBorders>
              <w:top w:val="single" w:sz="4" w:space="0" w:color="auto"/>
              <w:bottom w:val="single" w:sz="4" w:space="0" w:color="auto"/>
            </w:tcBorders>
          </w:tcPr>
          <w:p w14:paraId="73F0024B" w14:textId="77777777" w:rsidR="00A97AF1" w:rsidRPr="00F621C0" w:rsidRDefault="00A97AF1" w:rsidP="0075351C">
            <w:pPr>
              <w:jc w:val="both"/>
              <w:rPr>
                <w:rFonts w:ascii="Arial" w:hAnsi="Arial" w:cs="Arial"/>
                <w:bCs/>
                <w:sz w:val="20"/>
                <w:szCs w:val="20"/>
              </w:rPr>
            </w:pPr>
            <w:r w:rsidRPr="00F621C0">
              <w:rPr>
                <w:rFonts w:ascii="Arial" w:hAnsi="Arial" w:cs="Arial"/>
                <w:bCs/>
                <w:sz w:val="20"/>
                <w:szCs w:val="20"/>
              </w:rPr>
              <w:t>A Classe</w:t>
            </w:r>
            <w:r w:rsidRPr="00F621C0">
              <w:rPr>
                <w:rFonts w:ascii="Arial" w:hAnsi="Arial" w:cs="Arial"/>
                <w:sz w:val="20"/>
                <w:szCs w:val="20"/>
              </w:rPr>
              <w:t xml:space="preserve"> Única</w:t>
            </w:r>
            <w:r w:rsidRPr="00F621C0">
              <w:rPr>
                <w:rFonts w:ascii="Arial" w:hAnsi="Arial" w:cs="Arial"/>
                <w:bCs/>
                <w:sz w:val="20"/>
                <w:szCs w:val="20"/>
              </w:rPr>
              <w:t xml:space="preserve"> </w:t>
            </w:r>
            <w:r w:rsidRPr="00F621C0">
              <w:rPr>
                <w:rFonts w:ascii="Arial" w:hAnsi="Arial" w:cs="Arial"/>
                <w:bCs/>
                <w:iCs/>
                <w:color w:val="000000"/>
                <w:sz w:val="20"/>
                <w:szCs w:val="20"/>
              </w:rPr>
              <w:t>tentará obter o tratamento fiscal para classes de fundos de investimento que investem 95% de seu patrimônio líquido em outras classes de fundos de investimento, conforme previsto na regulamentação fiscal vigente, de modo que não há garantia de que o fundo terá o tratamento tributário perseguido. Sendo que, caso a classe seja descaracterizada, passará a ter tratamento tributário aplicável às classes de fundos de investimento de longo ou curto prazo, sendo aplicável a alíquota mencionada no item “tributação” do Formulário.</w:t>
            </w:r>
          </w:p>
        </w:tc>
      </w:tr>
      <w:tr w:rsidR="00A97AF1" w:rsidRPr="00F621C0" w14:paraId="188FA89A" w14:textId="77777777" w:rsidTr="0075351C">
        <w:trPr>
          <w:jc w:val="center"/>
        </w:trPr>
        <w:tc>
          <w:tcPr>
            <w:tcW w:w="1382" w:type="pct"/>
            <w:tcBorders>
              <w:top w:val="single" w:sz="4" w:space="0" w:color="auto"/>
              <w:bottom w:val="single" w:sz="4" w:space="0" w:color="auto"/>
            </w:tcBorders>
            <w:vAlign w:val="center"/>
          </w:tcPr>
          <w:p w14:paraId="42560EFE"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Responsabilidade Limitada</w:t>
            </w:r>
          </w:p>
        </w:tc>
        <w:tc>
          <w:tcPr>
            <w:tcW w:w="3618" w:type="pct"/>
            <w:gridSpan w:val="2"/>
            <w:tcBorders>
              <w:top w:val="single" w:sz="4" w:space="0" w:color="auto"/>
              <w:bottom w:val="single" w:sz="4" w:space="0" w:color="auto"/>
            </w:tcBorders>
          </w:tcPr>
          <w:p w14:paraId="7A89EE80" w14:textId="77777777" w:rsidR="00A97AF1" w:rsidRPr="00F621C0" w:rsidRDefault="00A97AF1" w:rsidP="0075351C">
            <w:pPr>
              <w:tabs>
                <w:tab w:val="left" w:pos="1753"/>
              </w:tabs>
              <w:jc w:val="both"/>
              <w:rPr>
                <w:rFonts w:ascii="Arial" w:hAnsi="Arial" w:cs="Arial"/>
                <w:bCs/>
                <w:sz w:val="20"/>
                <w:szCs w:val="20"/>
              </w:rPr>
            </w:pPr>
            <w:r w:rsidRPr="00F621C0">
              <w:rPr>
                <w:rFonts w:ascii="Arial" w:hAnsi="Arial" w:cs="Arial"/>
                <w:bCs/>
                <w:sz w:val="20"/>
                <w:szCs w:val="20"/>
              </w:rPr>
              <w:t>A responsabilidade dos Cotistas da Classe</w:t>
            </w:r>
            <w:r w:rsidRPr="00F621C0">
              <w:rPr>
                <w:rFonts w:ascii="Arial" w:hAnsi="Arial" w:cs="Arial"/>
                <w:sz w:val="20"/>
                <w:szCs w:val="20"/>
              </w:rPr>
              <w:t xml:space="preserve"> Única</w:t>
            </w:r>
            <w:r w:rsidRPr="00F621C0">
              <w:rPr>
                <w:rFonts w:ascii="Arial" w:hAnsi="Arial" w:cs="Arial"/>
                <w:bCs/>
                <w:sz w:val="20"/>
                <w:szCs w:val="20"/>
              </w:rPr>
              <w:t xml:space="preserve"> é limitada ao valor de suas Cotas subscritas. Constatado o patrimônio líquido negativo, a Classe</w:t>
            </w:r>
            <w:r w:rsidRPr="00F621C0">
              <w:rPr>
                <w:rFonts w:ascii="Arial" w:hAnsi="Arial" w:cs="Arial"/>
                <w:sz w:val="20"/>
                <w:szCs w:val="20"/>
              </w:rPr>
              <w:t xml:space="preserve"> Única</w:t>
            </w:r>
            <w:r w:rsidRPr="00F621C0">
              <w:rPr>
                <w:rFonts w:ascii="Arial" w:hAnsi="Arial" w:cs="Arial"/>
                <w:bCs/>
                <w:sz w:val="20"/>
                <w:szCs w:val="20"/>
              </w:rPr>
              <w:t xml:space="preserve"> poderá estar sujeita à insolvência civil.</w:t>
            </w:r>
          </w:p>
        </w:tc>
      </w:tr>
      <w:tr w:rsidR="00A97AF1" w:rsidRPr="00F621C0" w14:paraId="53CAC78D" w14:textId="77777777" w:rsidTr="0075351C">
        <w:trPr>
          <w:jc w:val="center"/>
        </w:trPr>
        <w:tc>
          <w:tcPr>
            <w:tcW w:w="1382" w:type="pct"/>
            <w:tcBorders>
              <w:top w:val="single" w:sz="4" w:space="0" w:color="auto"/>
              <w:bottom w:val="single" w:sz="4" w:space="0" w:color="auto"/>
            </w:tcBorders>
            <w:vAlign w:val="center"/>
          </w:tcPr>
          <w:p w14:paraId="5A43D869" w14:textId="77777777" w:rsidR="00A97AF1" w:rsidRPr="00F621C0" w:rsidRDefault="00A97AF1" w:rsidP="0075351C">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D22462" w14:textId="77777777" w:rsidR="00A97AF1" w:rsidRPr="00F621C0" w:rsidRDefault="00A97AF1" w:rsidP="0075351C">
            <w:pPr>
              <w:jc w:val="both"/>
              <w:rPr>
                <w:rFonts w:ascii="Arial" w:hAnsi="Arial" w:cs="Arial"/>
                <w:bCs/>
                <w:color w:val="FF0000"/>
                <w:sz w:val="20"/>
                <w:szCs w:val="20"/>
              </w:rPr>
            </w:pPr>
          </w:p>
        </w:tc>
      </w:tr>
      <w:tr w:rsidR="00A97AF1" w:rsidRPr="00F621C0" w14:paraId="001412A8" w14:textId="77777777" w:rsidTr="0075351C">
        <w:trPr>
          <w:jc w:val="center"/>
        </w:trPr>
        <w:tc>
          <w:tcPr>
            <w:tcW w:w="1382" w:type="pct"/>
            <w:tcBorders>
              <w:top w:val="single" w:sz="4" w:space="0" w:color="auto"/>
              <w:bottom w:val="single" w:sz="4" w:space="0" w:color="auto"/>
            </w:tcBorders>
            <w:vAlign w:val="center"/>
          </w:tcPr>
          <w:p w14:paraId="2556411E"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amortização e/ou resgate de cotas em ativos</w:t>
            </w:r>
          </w:p>
        </w:tc>
        <w:tc>
          <w:tcPr>
            <w:tcW w:w="3618" w:type="pct"/>
            <w:gridSpan w:val="2"/>
            <w:tcBorders>
              <w:top w:val="single" w:sz="4" w:space="0" w:color="auto"/>
              <w:bottom w:val="single" w:sz="4" w:space="0" w:color="auto"/>
            </w:tcBorders>
          </w:tcPr>
          <w:p w14:paraId="790CEE04" w14:textId="77777777" w:rsidR="00A97AF1" w:rsidRPr="00F621C0" w:rsidRDefault="00A97AF1" w:rsidP="0075351C">
            <w:pPr>
              <w:jc w:val="both"/>
              <w:rPr>
                <w:rFonts w:ascii="Arial" w:hAnsi="Arial" w:cs="Arial"/>
                <w:sz w:val="20"/>
                <w:szCs w:val="20"/>
              </w:rPr>
            </w:pPr>
            <w:r w:rsidRPr="00F621C0">
              <w:rPr>
                <w:rFonts w:ascii="Arial" w:hAnsi="Arial" w:cs="Arial"/>
                <w:bCs/>
                <w:sz w:val="20"/>
                <w:szCs w:val="20"/>
              </w:rPr>
              <w:t xml:space="preserve">Conforme previsto neste Anexo, poderá haver a liquidação da Classe </w:t>
            </w:r>
            <w:r w:rsidRPr="00F621C0">
              <w:rPr>
                <w:rFonts w:ascii="Arial" w:hAnsi="Arial" w:cs="Arial"/>
                <w:sz w:val="20"/>
                <w:szCs w:val="20"/>
              </w:rPr>
              <w:t>Única</w:t>
            </w:r>
            <w:r w:rsidRPr="00F621C0">
              <w:rPr>
                <w:rFonts w:ascii="Arial" w:hAnsi="Arial" w:cs="Arial"/>
                <w:bCs/>
                <w:sz w:val="20"/>
                <w:szCs w:val="20"/>
              </w:rPr>
              <w:t xml:space="preserve"> em determinadas situações, casos em que as Cotas poderão ser amortizadas ou resgatadas mediante a entrega, em pagamento, dos ativos integrantes da Carteira, incluindo cotas do FIP Vinci ou do FIP Vinci Master. Nessas hipóteses, os Cotistas poderão encontrar dificuldades para negociar tais ativos que venham a ser recebidos em razão da liquidação da Classe</w:t>
            </w:r>
            <w:r w:rsidRPr="00F621C0">
              <w:rPr>
                <w:rFonts w:ascii="Arial" w:hAnsi="Arial" w:cs="Arial"/>
                <w:sz w:val="20"/>
                <w:szCs w:val="20"/>
              </w:rPr>
              <w:t xml:space="preserve"> Única</w:t>
            </w:r>
            <w:r w:rsidRPr="00F621C0">
              <w:rPr>
                <w:rFonts w:ascii="Arial" w:hAnsi="Arial" w:cs="Arial"/>
                <w:bCs/>
                <w:sz w:val="20"/>
                <w:szCs w:val="20"/>
              </w:rPr>
              <w:t xml:space="preserve"> e do recebimento dos ativos. </w:t>
            </w:r>
          </w:p>
        </w:tc>
      </w:tr>
      <w:tr w:rsidR="00A97AF1" w:rsidRPr="00F621C0" w14:paraId="3C77C985" w14:textId="77777777" w:rsidTr="0075351C">
        <w:trPr>
          <w:jc w:val="center"/>
        </w:trPr>
        <w:tc>
          <w:tcPr>
            <w:tcW w:w="1382" w:type="pct"/>
            <w:tcBorders>
              <w:top w:val="single" w:sz="4" w:space="0" w:color="auto"/>
              <w:bottom w:val="single" w:sz="4" w:space="0" w:color="auto"/>
            </w:tcBorders>
            <w:vAlign w:val="center"/>
          </w:tcPr>
          <w:p w14:paraId="1D1C6C9C" w14:textId="77777777" w:rsidR="00A97AF1" w:rsidRPr="00F621C0" w:rsidRDefault="00A97AF1" w:rsidP="0075351C">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7F4B47" w14:textId="77777777" w:rsidR="00A97AF1" w:rsidRPr="00F621C0" w:rsidRDefault="00A97AF1" w:rsidP="0075351C">
            <w:pPr>
              <w:jc w:val="both"/>
              <w:rPr>
                <w:rFonts w:ascii="Arial" w:hAnsi="Arial" w:cs="Arial"/>
                <w:sz w:val="20"/>
                <w:szCs w:val="20"/>
              </w:rPr>
            </w:pPr>
          </w:p>
        </w:tc>
      </w:tr>
      <w:tr w:rsidR="00A97AF1" w:rsidRPr="00F621C0" w14:paraId="58AE5DA4" w14:textId="77777777" w:rsidTr="0075351C">
        <w:trPr>
          <w:jc w:val="center"/>
        </w:trPr>
        <w:tc>
          <w:tcPr>
            <w:tcW w:w="1382" w:type="pct"/>
            <w:tcBorders>
              <w:top w:val="single" w:sz="4" w:space="0" w:color="auto"/>
              <w:bottom w:val="single" w:sz="4" w:space="0" w:color="auto"/>
            </w:tcBorders>
            <w:vAlign w:val="center"/>
          </w:tcPr>
          <w:p w14:paraId="5A7ACE47"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de Patrimônio Líquido Negativo</w:t>
            </w:r>
          </w:p>
        </w:tc>
        <w:tc>
          <w:tcPr>
            <w:tcW w:w="3618" w:type="pct"/>
            <w:gridSpan w:val="2"/>
            <w:tcBorders>
              <w:top w:val="single" w:sz="4" w:space="0" w:color="auto"/>
              <w:bottom w:val="single" w:sz="4" w:space="0" w:color="auto"/>
            </w:tcBorders>
          </w:tcPr>
          <w:p w14:paraId="34486744" w14:textId="77777777" w:rsidR="00A97AF1" w:rsidRPr="00F621C0" w:rsidRDefault="00A97AF1" w:rsidP="0075351C">
            <w:pPr>
              <w:jc w:val="both"/>
              <w:rPr>
                <w:rFonts w:ascii="Arial" w:hAnsi="Arial" w:cs="Arial"/>
                <w:sz w:val="20"/>
                <w:szCs w:val="20"/>
              </w:rPr>
            </w:pPr>
            <w:r w:rsidRPr="00F621C0">
              <w:rPr>
                <w:rFonts w:ascii="Arial" w:hAnsi="Arial" w:cs="Arial"/>
                <w:bCs/>
                <w:sz w:val="20"/>
                <w:szCs w:val="20"/>
              </w:rPr>
              <w:t>Na medida em que o valor do Patrimônio Líquido seja insuficiente para satisfazer as dívidas e demais obrigações da Classe</w:t>
            </w:r>
            <w:r w:rsidRPr="00F621C0">
              <w:rPr>
                <w:rFonts w:ascii="Arial" w:hAnsi="Arial" w:cs="Arial"/>
                <w:sz w:val="20"/>
                <w:szCs w:val="20"/>
              </w:rPr>
              <w:t xml:space="preserve"> Única</w:t>
            </w:r>
            <w:r w:rsidRPr="00F621C0">
              <w:rPr>
                <w:rFonts w:ascii="Arial" w:hAnsi="Arial" w:cs="Arial"/>
                <w:bCs/>
                <w:sz w:val="20"/>
                <w:szCs w:val="20"/>
              </w:rPr>
              <w:t>, a insolvência da Classe</w:t>
            </w:r>
            <w:r w:rsidRPr="00F621C0">
              <w:rPr>
                <w:rFonts w:ascii="Arial" w:hAnsi="Arial" w:cs="Arial"/>
                <w:sz w:val="20"/>
                <w:szCs w:val="20"/>
              </w:rPr>
              <w:t xml:space="preserve"> Única</w:t>
            </w:r>
            <w:r w:rsidRPr="00F621C0">
              <w:rPr>
                <w:rFonts w:ascii="Arial" w:hAnsi="Arial" w:cs="Arial"/>
                <w:bCs/>
                <w:sz w:val="20"/>
                <w:szCs w:val="20"/>
              </w:rPr>
              <w:t xml:space="preserve"> poderá ser requerida judicialmente (i) por quaisquer credores da Classe</w:t>
            </w:r>
            <w:r w:rsidRPr="00F621C0">
              <w:rPr>
                <w:rFonts w:ascii="Arial" w:hAnsi="Arial" w:cs="Arial"/>
                <w:sz w:val="20"/>
                <w:szCs w:val="20"/>
              </w:rPr>
              <w:t xml:space="preserve"> Única</w:t>
            </w:r>
            <w:r w:rsidRPr="00F621C0">
              <w:rPr>
                <w:rFonts w:ascii="Arial" w:hAnsi="Arial" w:cs="Arial"/>
                <w:bCs/>
                <w:sz w:val="20"/>
                <w:szCs w:val="20"/>
              </w:rPr>
              <w:t>, (ii) por deliberação da assembleia da Classe</w:t>
            </w:r>
            <w:r w:rsidRPr="00F621C0">
              <w:rPr>
                <w:rFonts w:ascii="Arial" w:hAnsi="Arial" w:cs="Arial"/>
                <w:sz w:val="20"/>
                <w:szCs w:val="20"/>
              </w:rPr>
              <w:t xml:space="preserve"> Única</w:t>
            </w:r>
            <w:r w:rsidRPr="00F621C0">
              <w:rPr>
                <w:rFonts w:ascii="Arial" w:hAnsi="Arial" w:cs="Arial"/>
                <w:bCs/>
                <w:sz w:val="20"/>
                <w:szCs w:val="20"/>
              </w:rPr>
              <w:t>, ou (iii) pela CVM. Os prestadores de serviço da Classe</w:t>
            </w:r>
            <w:r w:rsidRPr="00F621C0">
              <w:rPr>
                <w:rFonts w:ascii="Arial" w:hAnsi="Arial" w:cs="Arial"/>
                <w:sz w:val="20"/>
                <w:szCs w:val="20"/>
              </w:rPr>
              <w:t xml:space="preserve"> Única</w:t>
            </w:r>
            <w:r w:rsidRPr="00F621C0">
              <w:rPr>
                <w:rFonts w:ascii="Arial" w:hAnsi="Arial" w:cs="Arial"/>
                <w:bCs/>
                <w:sz w:val="20"/>
                <w:szCs w:val="20"/>
              </w:rPr>
              <w:t>, em especial o Administrador e o Gestor, não respondem por obrigações legais e contratuais assumidas pela Classe</w:t>
            </w:r>
            <w:r w:rsidRPr="00F621C0">
              <w:rPr>
                <w:rFonts w:ascii="Arial" w:hAnsi="Arial" w:cs="Arial"/>
                <w:sz w:val="20"/>
                <w:szCs w:val="20"/>
              </w:rPr>
              <w:t xml:space="preserve"> Única</w:t>
            </w:r>
            <w:r w:rsidRPr="00F621C0">
              <w:rPr>
                <w:rFonts w:ascii="Arial" w:hAnsi="Arial" w:cs="Arial"/>
                <w:bCs/>
                <w:sz w:val="20"/>
                <w:szCs w:val="20"/>
              </w:rPr>
              <w:t>, tampouco por eventual patrimônio negativo decorrente dos investimentos realizados pela Classe</w:t>
            </w:r>
            <w:r w:rsidRPr="00F621C0">
              <w:rPr>
                <w:rFonts w:ascii="Arial" w:hAnsi="Arial" w:cs="Arial"/>
                <w:sz w:val="20"/>
                <w:szCs w:val="20"/>
              </w:rPr>
              <w:t xml:space="preserve"> Única.</w:t>
            </w:r>
            <w:r w:rsidRPr="00F621C0">
              <w:rPr>
                <w:rFonts w:ascii="Arial" w:hAnsi="Arial" w:cs="Arial"/>
                <w:bCs/>
                <w:sz w:val="20"/>
                <w:szCs w:val="20"/>
              </w:rPr>
              <w:t xml:space="preserve"> O regime de responsabilidade limitada dos Cotistas, e o regime de insolvência dos fundos de investimento são inovações legais recentes que ainda não foram sujeitas à revisão judicial. Caso a Classe</w:t>
            </w:r>
            <w:r w:rsidRPr="00F621C0">
              <w:rPr>
                <w:rFonts w:ascii="Arial" w:hAnsi="Arial" w:cs="Arial"/>
                <w:sz w:val="20"/>
                <w:szCs w:val="20"/>
              </w:rPr>
              <w:t xml:space="preserve"> Única</w:t>
            </w:r>
            <w:r w:rsidRPr="00F621C0">
              <w:rPr>
                <w:rFonts w:ascii="Arial" w:hAnsi="Arial" w:cs="Arial"/>
                <w:bCs/>
                <w:sz w:val="20"/>
                <w:szCs w:val="20"/>
              </w:rPr>
              <w:t xml:space="preserve"> seja colocada em regime de insolvência, e a responsabilidade limitada dos Cotistas seja questionada em juízo, os Cotistas poderão ser chamados a aportar recursos adicionais na Classe</w:t>
            </w:r>
            <w:r w:rsidRPr="00F621C0">
              <w:rPr>
                <w:rFonts w:ascii="Arial" w:hAnsi="Arial" w:cs="Arial"/>
                <w:sz w:val="20"/>
                <w:szCs w:val="20"/>
              </w:rPr>
              <w:t xml:space="preserve"> Única</w:t>
            </w:r>
            <w:r w:rsidRPr="00F621C0">
              <w:rPr>
                <w:rFonts w:ascii="Arial" w:hAnsi="Arial" w:cs="Arial"/>
                <w:bCs/>
                <w:sz w:val="20"/>
                <w:szCs w:val="20"/>
              </w:rPr>
              <w:t xml:space="preserve"> para fazer frente ao patrimônio negativo, em valor superior ao valor das Cotas por ele detidas, fato que poderá exigir aportes adicionais pelos Cotistas da Classe</w:t>
            </w:r>
            <w:r w:rsidRPr="00F621C0">
              <w:rPr>
                <w:rFonts w:ascii="Arial" w:hAnsi="Arial" w:cs="Arial"/>
                <w:sz w:val="20"/>
                <w:szCs w:val="20"/>
              </w:rPr>
              <w:t xml:space="preserve"> Única</w:t>
            </w:r>
            <w:r w:rsidRPr="00F621C0">
              <w:rPr>
                <w:rFonts w:ascii="Arial" w:hAnsi="Arial" w:cs="Arial"/>
                <w:bCs/>
                <w:sz w:val="20"/>
                <w:szCs w:val="20"/>
              </w:rPr>
              <w:t>.</w:t>
            </w:r>
          </w:p>
        </w:tc>
      </w:tr>
      <w:tr w:rsidR="00A97AF1" w:rsidRPr="00F621C0" w14:paraId="26E32EA2" w14:textId="77777777" w:rsidTr="0075351C">
        <w:trPr>
          <w:jc w:val="center"/>
        </w:trPr>
        <w:tc>
          <w:tcPr>
            <w:tcW w:w="1382" w:type="pct"/>
            <w:tcBorders>
              <w:top w:val="single" w:sz="4" w:space="0" w:color="auto"/>
              <w:bottom w:val="single" w:sz="4" w:space="0" w:color="auto"/>
            </w:tcBorders>
            <w:vAlign w:val="center"/>
          </w:tcPr>
          <w:p w14:paraId="344B306D"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smallCaps/>
                <w:color w:val="000000"/>
                <w:sz w:val="20"/>
                <w:szCs w:val="20"/>
              </w:rPr>
              <w:t>Risco Regulatório</w:t>
            </w:r>
          </w:p>
        </w:tc>
        <w:tc>
          <w:tcPr>
            <w:tcW w:w="3618" w:type="pct"/>
            <w:gridSpan w:val="2"/>
            <w:tcBorders>
              <w:top w:val="single" w:sz="4" w:space="0" w:color="auto"/>
              <w:bottom w:val="single" w:sz="4" w:space="0" w:color="auto"/>
            </w:tcBorders>
          </w:tcPr>
          <w:p w14:paraId="438D82E4" w14:textId="77777777" w:rsidR="00A97AF1" w:rsidRPr="00F621C0" w:rsidRDefault="00A97AF1" w:rsidP="0075351C">
            <w:pPr>
              <w:jc w:val="both"/>
              <w:rPr>
                <w:rFonts w:ascii="Arial" w:hAnsi="Arial" w:cs="Arial"/>
                <w:sz w:val="20"/>
                <w:szCs w:val="20"/>
              </w:rPr>
            </w:pPr>
            <w:r w:rsidRPr="00F621C0">
              <w:rPr>
                <w:rFonts w:ascii="Arial" w:hAnsi="Arial" w:cs="Arial"/>
                <w:color w:val="000000"/>
                <w:sz w:val="20"/>
                <w:szCs w:val="20"/>
              </w:rPr>
              <w:t>As eventuais alterações nas normas ou leis aplicáveis a Classe</w:t>
            </w:r>
            <w:r w:rsidRPr="00F621C0">
              <w:rPr>
                <w:rFonts w:ascii="Arial" w:hAnsi="Arial" w:cs="Arial"/>
                <w:sz w:val="20"/>
                <w:szCs w:val="20"/>
              </w:rPr>
              <w:t xml:space="preserve"> Única</w:t>
            </w:r>
            <w:r w:rsidRPr="00F621C0">
              <w:rPr>
                <w:rFonts w:ascii="Arial" w:hAnsi="Arial" w:cs="Arial"/>
                <w:color w:val="000000"/>
                <w:sz w:val="20"/>
                <w:szCs w:val="20"/>
              </w:rPr>
              <w:t xml:space="preserve"> e as classes de investimento investidas, incluindo, mas não se limitando àquelas referentes a tributos, podem causar um efeito adverso relevante no preço dos ativos financeiros e/ou na performance dos ativos financeiros adquiridos pela Classe</w:t>
            </w:r>
            <w:r w:rsidRPr="00F621C0">
              <w:rPr>
                <w:rFonts w:ascii="Arial" w:hAnsi="Arial" w:cs="Arial"/>
                <w:sz w:val="20"/>
                <w:szCs w:val="20"/>
              </w:rPr>
              <w:t xml:space="preserve"> Única</w:t>
            </w:r>
            <w:r w:rsidRPr="00F621C0">
              <w:rPr>
                <w:rFonts w:ascii="Arial" w:hAnsi="Arial" w:cs="Arial"/>
                <w:color w:val="000000"/>
                <w:sz w:val="20"/>
                <w:szCs w:val="20"/>
              </w:rPr>
              <w:t xml:space="preserve"> e/ou pelas classes de investimento investidas.</w:t>
            </w:r>
          </w:p>
        </w:tc>
      </w:tr>
    </w:tbl>
    <w:p w14:paraId="7480D377" w14:textId="77777777" w:rsidR="00A97AF1" w:rsidRPr="00F621C0" w:rsidRDefault="00A97AF1" w:rsidP="00F621C0">
      <w:pPr>
        <w:ind w:left="-425" w:right="-601"/>
        <w:rPr>
          <w:rFonts w:ascii="Arial" w:hAnsi="Arial" w:cs="Arial"/>
          <w:b/>
          <w:bCs/>
        </w:rPr>
      </w:pPr>
    </w:p>
    <w:tbl>
      <w:tblPr>
        <w:tblStyle w:val="Tabelacomgrade"/>
        <w:tblW w:w="5021"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4"/>
        <w:gridCol w:w="596"/>
        <w:gridCol w:w="146"/>
        <w:gridCol w:w="912"/>
        <w:gridCol w:w="347"/>
        <w:gridCol w:w="5166"/>
        <w:gridCol w:w="32"/>
      </w:tblGrid>
      <w:tr w:rsidR="00A97AF1" w:rsidRPr="00F621C0" w14:paraId="0AB901A0" w14:textId="77777777" w:rsidTr="0075351C">
        <w:trPr>
          <w:gridAfter w:val="1"/>
          <w:wAfter w:w="16" w:type="pct"/>
        </w:trPr>
        <w:tc>
          <w:tcPr>
            <w:tcW w:w="4984" w:type="pct"/>
            <w:gridSpan w:val="7"/>
            <w:shd w:val="clear" w:color="auto" w:fill="C00000"/>
          </w:tcPr>
          <w:p w14:paraId="0D3D7B89" w14:textId="77777777" w:rsidR="00A97AF1" w:rsidRPr="00F621C0" w:rsidRDefault="00A97AF1" w:rsidP="00A97AF1">
            <w:pPr>
              <w:pStyle w:val="PargrafodaLista"/>
              <w:numPr>
                <w:ilvl w:val="0"/>
                <w:numId w:val="37"/>
              </w:numPr>
              <w:ind w:left="0" w:firstLine="0"/>
              <w:jc w:val="center"/>
              <w:rPr>
                <w:rFonts w:ascii="Arial" w:hAnsi="Arial" w:cs="Arial"/>
                <w:b/>
                <w:bCs/>
                <w:color w:val="FFFFFF" w:themeColor="background1"/>
              </w:rPr>
            </w:pPr>
            <w:r w:rsidRPr="00F621C0">
              <w:rPr>
                <w:rFonts w:ascii="Arial" w:hAnsi="Arial" w:cs="Arial"/>
                <w:b/>
                <w:bCs/>
                <w:color w:val="FFFFFF" w:themeColor="background1"/>
              </w:rPr>
              <w:t>REMUNERAÇÃO DOS PRESTADORES DE SERVIÇOS</w:t>
            </w:r>
          </w:p>
        </w:tc>
      </w:tr>
      <w:tr w:rsidR="00A97AF1" w:rsidRPr="00F621C0" w14:paraId="0DB9C62C" w14:textId="77777777" w:rsidTr="0075351C">
        <w:trPr>
          <w:gridAfter w:val="1"/>
          <w:wAfter w:w="16" w:type="pct"/>
        </w:trPr>
        <w:tc>
          <w:tcPr>
            <w:tcW w:w="2264" w:type="pct"/>
            <w:gridSpan w:val="5"/>
            <w:tcBorders>
              <w:top w:val="single" w:sz="4" w:space="0" w:color="auto"/>
              <w:left w:val="nil"/>
              <w:bottom w:val="single" w:sz="4" w:space="0" w:color="auto"/>
              <w:right w:val="nil"/>
            </w:tcBorders>
          </w:tcPr>
          <w:p w14:paraId="76801C35" w14:textId="77777777" w:rsidR="00A97AF1" w:rsidRPr="00F621C0" w:rsidRDefault="00A97AF1" w:rsidP="0075351C">
            <w:pPr>
              <w:jc w:val="center"/>
              <w:rPr>
                <w:rFonts w:ascii="Arial" w:hAnsi="Arial" w:cs="Arial"/>
                <w:b/>
                <w:bCs/>
                <w:smallCaps/>
                <w:color w:val="000000"/>
                <w:sz w:val="20"/>
                <w:szCs w:val="20"/>
              </w:rPr>
            </w:pPr>
          </w:p>
        </w:tc>
        <w:tc>
          <w:tcPr>
            <w:tcW w:w="2720" w:type="pct"/>
            <w:gridSpan w:val="2"/>
            <w:tcBorders>
              <w:top w:val="single" w:sz="4" w:space="0" w:color="auto"/>
              <w:left w:val="nil"/>
              <w:bottom w:val="single" w:sz="4" w:space="0" w:color="auto"/>
              <w:right w:val="nil"/>
            </w:tcBorders>
          </w:tcPr>
          <w:p w14:paraId="2BC7093A" w14:textId="77777777" w:rsidR="00A97AF1" w:rsidRPr="00F621C0" w:rsidRDefault="00A97AF1" w:rsidP="0075351C">
            <w:pPr>
              <w:rPr>
                <w:rFonts w:ascii="Arial" w:hAnsi="Arial" w:cs="Arial"/>
                <w:sz w:val="20"/>
                <w:szCs w:val="20"/>
              </w:rPr>
            </w:pPr>
          </w:p>
        </w:tc>
      </w:tr>
      <w:tr w:rsidR="00A97AF1" w:rsidRPr="00F621C0" w14:paraId="694589C2" w14:textId="77777777" w:rsidTr="0075351C">
        <w:trPr>
          <w:gridAfter w:val="1"/>
          <w:wAfter w:w="16" w:type="pct"/>
          <w:trHeight w:val="132"/>
        </w:trPr>
        <w:tc>
          <w:tcPr>
            <w:tcW w:w="1742" w:type="pct"/>
            <w:gridSpan w:val="3"/>
            <w:vMerge w:val="restart"/>
            <w:tcBorders>
              <w:top w:val="single" w:sz="4" w:space="0" w:color="auto"/>
              <w:left w:val="nil"/>
              <w:right w:val="nil"/>
            </w:tcBorders>
            <w:vAlign w:val="center"/>
          </w:tcPr>
          <w:p w14:paraId="2AF44021" w14:textId="77777777" w:rsidR="00A97AF1" w:rsidRPr="00F621C0" w:rsidRDefault="00A97AF1" w:rsidP="00A97AF1">
            <w:pPr>
              <w:pStyle w:val="PargrafodaLista"/>
              <w:numPr>
                <w:ilvl w:val="1"/>
                <w:numId w:val="37"/>
              </w:numPr>
              <w:ind w:left="0" w:firstLine="0"/>
              <w:jc w:val="center"/>
              <w:rPr>
                <w:rFonts w:ascii="Arial" w:hAnsi="Arial" w:cs="Arial"/>
                <w:b/>
                <w:bCs/>
                <w:smallCaps/>
                <w:color w:val="000000"/>
              </w:rPr>
            </w:pPr>
            <w:r w:rsidRPr="00F621C0">
              <w:rPr>
                <w:rFonts w:ascii="Arial" w:hAnsi="Arial" w:cs="Arial"/>
                <w:b/>
                <w:bCs/>
                <w:smallCaps/>
                <w:color w:val="000000"/>
              </w:rPr>
              <w:t>Taxa Global</w:t>
            </w:r>
          </w:p>
          <w:p w14:paraId="774D0A07" w14:textId="77777777" w:rsidR="00A97AF1" w:rsidRPr="00F621C0" w:rsidRDefault="00A97AF1" w:rsidP="0075351C">
            <w:pPr>
              <w:rPr>
                <w:rFonts w:ascii="Arial" w:hAnsi="Arial" w:cs="Arial"/>
                <w:b/>
                <w:bCs/>
                <w:smallCaps/>
                <w:color w:val="000000"/>
                <w:sz w:val="20"/>
                <w:szCs w:val="20"/>
              </w:rPr>
            </w:pPr>
            <w:r w:rsidRPr="00F621C0">
              <w:rPr>
                <w:rFonts w:ascii="Arial" w:hAnsi="Arial" w:cs="Arial"/>
                <w:b/>
                <w:bCs/>
                <w:color w:val="000000"/>
                <w:sz w:val="20"/>
                <w:szCs w:val="20"/>
              </w:rPr>
              <w:t xml:space="preserve"> </w:t>
            </w:r>
          </w:p>
        </w:tc>
        <w:tc>
          <w:tcPr>
            <w:tcW w:w="3242" w:type="pct"/>
            <w:gridSpan w:val="4"/>
            <w:tcBorders>
              <w:top w:val="single" w:sz="4" w:space="0" w:color="auto"/>
              <w:left w:val="nil"/>
              <w:bottom w:val="single" w:sz="4" w:space="0" w:color="auto"/>
              <w:right w:val="nil"/>
            </w:tcBorders>
            <w:vAlign w:val="center"/>
          </w:tcPr>
          <w:p w14:paraId="618698CA"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Pela prestação dos serviços de administração da Classe Única, incluindo os serviços de administração propriamente dita e os serviços de gestão e distribuição, com exceção dos serviços de custódia e de auditoria independente, a Classe Única pagará a seguinte remuneração:</w:t>
            </w:r>
          </w:p>
          <w:p w14:paraId="03A06D1B" w14:textId="77777777" w:rsidR="00A97AF1" w:rsidRPr="00F621C0" w:rsidRDefault="00A97AF1" w:rsidP="0075351C">
            <w:pPr>
              <w:jc w:val="both"/>
              <w:rPr>
                <w:rFonts w:ascii="Arial" w:hAnsi="Arial" w:cs="Arial"/>
                <w:sz w:val="20"/>
                <w:szCs w:val="20"/>
              </w:rPr>
            </w:pPr>
          </w:p>
          <w:p w14:paraId="3C86519E"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As regras de Taxa Global do Fundo se alteram dependendo do momento do Prazo de Duração do Fundo, e levam em consideração o Prazo Original do Período de Investimentos do FIP Vinci, descrito no item 3.12 do Anexo, e conforme descrito abaixo. </w:t>
            </w:r>
          </w:p>
          <w:p w14:paraId="07F5E5B5" w14:textId="77777777" w:rsidR="00A97AF1" w:rsidRPr="00F621C0" w:rsidRDefault="00A97AF1" w:rsidP="0075351C">
            <w:pPr>
              <w:jc w:val="both"/>
              <w:rPr>
                <w:rFonts w:ascii="Arial" w:hAnsi="Arial" w:cs="Arial"/>
                <w:sz w:val="20"/>
                <w:szCs w:val="20"/>
              </w:rPr>
            </w:pPr>
          </w:p>
          <w:p w14:paraId="7F79F2EB" w14:textId="77777777" w:rsidR="00A97AF1" w:rsidRPr="00F621C0" w:rsidRDefault="00A97AF1" w:rsidP="0075351C">
            <w:pPr>
              <w:jc w:val="both"/>
              <w:rPr>
                <w:rFonts w:ascii="Arial" w:hAnsi="Arial" w:cs="Arial"/>
                <w:sz w:val="20"/>
                <w:szCs w:val="20"/>
              </w:rPr>
            </w:pPr>
            <w:r w:rsidRPr="00F621C0">
              <w:rPr>
                <w:rFonts w:ascii="Arial" w:hAnsi="Arial" w:cs="Arial"/>
                <w:b/>
                <w:bCs/>
                <w:sz w:val="20"/>
                <w:szCs w:val="20"/>
              </w:rPr>
              <w:t>Taxa Global</w:t>
            </w:r>
            <w:r w:rsidRPr="00F621C0">
              <w:rPr>
                <w:rFonts w:ascii="Arial" w:hAnsi="Arial" w:cs="Arial"/>
                <w:sz w:val="20"/>
                <w:szCs w:val="20"/>
              </w:rPr>
              <w:t xml:space="preserve">: Durante o Prazo Original do Período de Investimentos do FIP Vinci, será devido pela Classe Única o valor financeiro fixo de R$ 47.000,00 ao mês. </w:t>
            </w:r>
          </w:p>
          <w:p w14:paraId="04691AFC" w14:textId="77777777" w:rsidR="00A97AF1" w:rsidRPr="00F621C0" w:rsidRDefault="00A97AF1" w:rsidP="0075351C">
            <w:pPr>
              <w:jc w:val="both"/>
              <w:rPr>
                <w:rFonts w:ascii="Arial" w:hAnsi="Arial" w:cs="Arial"/>
                <w:sz w:val="20"/>
                <w:szCs w:val="20"/>
              </w:rPr>
            </w:pPr>
          </w:p>
          <w:p w14:paraId="4F3CE187"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Após o término do respectivo Prazo Original do Período de Investimento do FIP Vinci e até o final do Prazo de Duração do Fundo, será devida pela Classe Única a Taxa Global de 1,00% ao ano sobre o patrimônio líquido da Classe Única, respeitada uma remuneração mínima de valor fixo equivalente a 1,00% ao ano, calculado sobre o capital subscrito pela Classe Única no FIP Vinci.</w:t>
            </w:r>
          </w:p>
          <w:p w14:paraId="6DA4E9C8" w14:textId="77777777" w:rsidR="00A97AF1" w:rsidRPr="00F621C0" w:rsidRDefault="00A97AF1" w:rsidP="0075351C">
            <w:pPr>
              <w:jc w:val="both"/>
              <w:rPr>
                <w:rFonts w:ascii="Arial" w:hAnsi="Arial" w:cs="Arial"/>
                <w:sz w:val="20"/>
                <w:szCs w:val="20"/>
              </w:rPr>
            </w:pPr>
          </w:p>
          <w:p w14:paraId="6AA99384"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A Taxa Global será calculada e provisionada por dia útil, mediante divisão da taxa anual por 252 dias, e paga, integral ou parcialmente, mediante a existência de quaisquer recursos disponíveis na Classe Única no mês de referência, até o 5º dia útil do mês subsequente à apuração, observadas ainda as condições de amortização previstas neste Anexo. </w:t>
            </w:r>
          </w:p>
          <w:p w14:paraId="068D2485" w14:textId="77777777" w:rsidR="00A97AF1" w:rsidRPr="00F621C0" w:rsidRDefault="00A97AF1" w:rsidP="0075351C">
            <w:pPr>
              <w:jc w:val="both"/>
              <w:rPr>
                <w:rFonts w:ascii="Arial" w:hAnsi="Arial" w:cs="Arial"/>
                <w:sz w:val="20"/>
                <w:szCs w:val="20"/>
              </w:rPr>
            </w:pPr>
          </w:p>
          <w:p w14:paraId="6FBEB591"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No caso de pagamento parcial da Taxa Global em decorrência da inexistência de recursos disponíveis na Classe Única suficientes para o pagamento integral de tal encargo pela Classe Única, a respectiva diferença provisionada será paga no próximo mês de existência de recursos suficientes disponíveis na Classe Única. Neste caso, o valor de Taxa Global a ser cobrada no mês será equivalente à Taxa Global devida no mês de referência, acrescido do valor provisionado e não pago até a referida data.</w:t>
            </w:r>
          </w:p>
          <w:p w14:paraId="02485ECF" w14:textId="77777777" w:rsidR="00A97AF1" w:rsidRPr="00F621C0" w:rsidRDefault="00A97AF1" w:rsidP="0075351C">
            <w:pPr>
              <w:jc w:val="both"/>
              <w:rPr>
                <w:rFonts w:ascii="Arial" w:hAnsi="Arial" w:cs="Arial"/>
                <w:sz w:val="20"/>
                <w:szCs w:val="20"/>
              </w:rPr>
            </w:pPr>
          </w:p>
          <w:p w14:paraId="2D69EAAA" w14:textId="77777777" w:rsidR="00A97AF1" w:rsidRPr="00F621C0" w:rsidRDefault="00A97AF1" w:rsidP="0075351C">
            <w:pPr>
              <w:jc w:val="both"/>
              <w:rPr>
                <w:rFonts w:ascii="Arial" w:hAnsi="Arial" w:cs="Arial"/>
                <w:sz w:val="20"/>
                <w:szCs w:val="20"/>
              </w:rPr>
            </w:pPr>
            <w:r w:rsidRPr="00F621C0">
              <w:rPr>
                <w:rFonts w:ascii="Arial" w:hAnsi="Arial" w:cs="Arial"/>
                <w:bCs/>
                <w:sz w:val="20"/>
                <w:szCs w:val="20"/>
              </w:rPr>
              <w:t>A</w:t>
            </w:r>
            <w:r w:rsidRPr="00F621C0">
              <w:rPr>
                <w:rFonts w:ascii="Arial" w:eastAsia="Arial Unicode MS" w:hAnsi="Arial" w:cs="Arial"/>
                <w:sz w:val="20"/>
                <w:szCs w:val="20"/>
              </w:rPr>
              <w:t xml:space="preserve"> Classe</w:t>
            </w:r>
            <w:r w:rsidRPr="00F621C0">
              <w:rPr>
                <w:rFonts w:ascii="Arial" w:hAnsi="Arial" w:cs="Arial"/>
                <w:sz w:val="20"/>
                <w:szCs w:val="20"/>
              </w:rPr>
              <w:t xml:space="preserve"> Única</w:t>
            </w:r>
            <w:r w:rsidRPr="00F621C0">
              <w:rPr>
                <w:rFonts w:ascii="Arial" w:eastAsia="Arial Unicode MS" w:hAnsi="Arial" w:cs="Arial"/>
                <w:sz w:val="20"/>
                <w:szCs w:val="20"/>
              </w:rPr>
              <w:t xml:space="preserve"> aplicará seus recursos de forma preponderante no FIP Vinci e, indiretamente, no FIP Vinci Master, que contam com suas próprias taxas de administração, gestão e performance. Além disso, o Acesso FIRF também cobra suas próprias taxas, nos termos de seu regulamento. </w:t>
            </w:r>
          </w:p>
          <w:p w14:paraId="535C4FD4" w14:textId="77777777" w:rsidR="00A97AF1" w:rsidRPr="00F621C0" w:rsidRDefault="00A97AF1" w:rsidP="0075351C">
            <w:pPr>
              <w:jc w:val="both"/>
              <w:rPr>
                <w:rFonts w:ascii="Arial" w:hAnsi="Arial" w:cs="Arial"/>
                <w:b/>
                <w:bCs/>
                <w:smallCaps/>
                <w:color w:val="000000"/>
                <w:sz w:val="20"/>
                <w:szCs w:val="20"/>
              </w:rPr>
            </w:pPr>
          </w:p>
          <w:p w14:paraId="176F613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Observadas as regras de Composição da Carteira, a Classe Única poderá também aplicar seus recursos em outras classes (e/ou subclasses) de fundos de investimento geridos pelo Gestor ou por empresas do seu grupo econômico, que também poderão cobrar taxa global e performance. Neste caso, a Taxa Global acima prevista será considera como Taxa Global Máxima, nos termos da Resolução CVM 175. </w:t>
            </w:r>
          </w:p>
          <w:p w14:paraId="26F155B8" w14:textId="77777777" w:rsidR="00A97AF1" w:rsidRPr="00F621C0" w:rsidRDefault="00A97AF1" w:rsidP="0075351C">
            <w:pPr>
              <w:jc w:val="both"/>
              <w:rPr>
                <w:rFonts w:ascii="Arial" w:hAnsi="Arial" w:cs="Arial"/>
                <w:sz w:val="20"/>
                <w:szCs w:val="20"/>
              </w:rPr>
            </w:pPr>
          </w:p>
          <w:p w14:paraId="13724C69"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Na hipótese de a Classe Única aplicar nas classes (e/ou subclasses) de fundos de investimento abaixo, a taxa global das referidas classes (e/ou subclasses) de fundos de investimento investidas não será considerada para os efeitos de Taxa Global Máxima acima mencionada:</w:t>
            </w:r>
          </w:p>
          <w:p w14:paraId="22EA2672" w14:textId="77777777" w:rsidR="00A97AF1" w:rsidRPr="00F621C0" w:rsidRDefault="00A97AF1" w:rsidP="0075351C">
            <w:pPr>
              <w:jc w:val="both"/>
              <w:rPr>
                <w:rFonts w:ascii="Arial" w:hAnsi="Arial" w:cs="Arial"/>
                <w:sz w:val="20"/>
                <w:szCs w:val="20"/>
              </w:rPr>
            </w:pPr>
          </w:p>
          <w:p w14:paraId="0BD1B623"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7452493" w14:textId="77777777" w:rsidR="00A97AF1" w:rsidRPr="00F621C0" w:rsidRDefault="00A97AF1" w:rsidP="0075351C">
            <w:pPr>
              <w:jc w:val="both"/>
              <w:rPr>
                <w:rFonts w:ascii="Arial" w:hAnsi="Arial" w:cs="Arial"/>
                <w:sz w:val="20"/>
                <w:szCs w:val="20"/>
              </w:rPr>
            </w:pPr>
          </w:p>
          <w:p w14:paraId="0298D64D"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II – classes (e/ou subclasses) de fundos de investimento geridas por terceiros que não o Gestor.</w:t>
            </w:r>
          </w:p>
          <w:p w14:paraId="3C61F29B" w14:textId="77777777" w:rsidR="00A97AF1" w:rsidRPr="00F621C0" w:rsidRDefault="00A97AF1" w:rsidP="0075351C">
            <w:pPr>
              <w:jc w:val="both"/>
              <w:rPr>
                <w:rFonts w:ascii="Arial" w:hAnsi="Arial" w:cs="Arial"/>
                <w:sz w:val="20"/>
                <w:szCs w:val="20"/>
              </w:rPr>
            </w:pPr>
          </w:p>
          <w:p w14:paraId="14A50BB7" w14:textId="77777777" w:rsidR="00A97AF1" w:rsidRPr="00B0561D" w:rsidRDefault="00A97AF1" w:rsidP="00B0561D">
            <w:pPr>
              <w:jc w:val="both"/>
              <w:rPr>
                <w:rFonts w:ascii="Arial" w:hAnsi="Arial" w:cs="Arial"/>
                <w:sz w:val="20"/>
                <w:szCs w:val="20"/>
              </w:rPr>
            </w:pPr>
            <w:r w:rsidRPr="00B0561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5" w:tgtFrame="_blank" w:tooltip="https://www.santanderassetmanagement.com.br/conteudos/relatorio-de-transparencia" w:history="1">
              <w:r w:rsidRPr="00B0561D">
                <w:rPr>
                  <w:rStyle w:val="Hyperlink"/>
                  <w:rFonts w:ascii="Arial" w:hAnsi="Arial" w:cs="Arial"/>
                  <w:sz w:val="20"/>
                </w:rPr>
                <w:t>https://www.santanderassetmanagement.com.br/conteudos/relatorio-de-transparencia</w:t>
              </w:r>
            </w:hyperlink>
            <w:r w:rsidRPr="00B0561D">
              <w:rPr>
                <w:rFonts w:ascii="Arial" w:hAnsi="Arial" w:cs="Arial"/>
                <w:sz w:val="20"/>
                <w:szCs w:val="20"/>
              </w:rPr>
              <w:t>  </w:t>
            </w:r>
          </w:p>
          <w:p w14:paraId="1ABF2913" w14:textId="77777777" w:rsidR="00A97AF1" w:rsidRPr="00B0561D" w:rsidRDefault="00A97AF1" w:rsidP="00B0561D">
            <w:pPr>
              <w:jc w:val="both"/>
              <w:rPr>
                <w:rFonts w:ascii="Arial" w:hAnsi="Arial" w:cs="Arial"/>
                <w:sz w:val="20"/>
                <w:szCs w:val="20"/>
              </w:rPr>
            </w:pPr>
            <w:r w:rsidRPr="00B0561D">
              <w:rPr>
                <w:rFonts w:ascii="Arial" w:hAnsi="Arial" w:cs="Arial"/>
                <w:sz w:val="20"/>
                <w:szCs w:val="20"/>
              </w:rPr>
              <w:t> </w:t>
            </w:r>
          </w:p>
          <w:p w14:paraId="32977D38" w14:textId="77777777" w:rsidR="00A97AF1" w:rsidRPr="00B0561D" w:rsidRDefault="00A97AF1" w:rsidP="00B0561D">
            <w:pPr>
              <w:jc w:val="both"/>
              <w:rPr>
                <w:rFonts w:ascii="Arial" w:hAnsi="Arial" w:cs="Arial"/>
                <w:sz w:val="20"/>
                <w:szCs w:val="20"/>
              </w:rPr>
            </w:pPr>
            <w:r w:rsidRPr="00B0561D">
              <w:rPr>
                <w:rFonts w:ascii="Arial" w:hAnsi="Arial" w:cs="Arial"/>
                <w:sz w:val="20"/>
                <w:szCs w:val="20"/>
              </w:rPr>
              <w:t>A partir da abertura do dia 31/03/2026, para consultar as taxas segregadas dos prestadores de serviço, acesse a </w:t>
            </w:r>
            <w:hyperlink r:id="rId16" w:tgtFrame="_blank" w:tooltip="http://www.data.anbima.com/busca/transparencia-de-taxas-de-fundos" w:history="1">
              <w:r w:rsidRPr="00B0561D">
                <w:rPr>
                  <w:rStyle w:val="Hyperlink"/>
                  <w:rFonts w:ascii="Arial" w:hAnsi="Arial" w:cs="Arial"/>
                  <w:sz w:val="20"/>
                </w:rPr>
                <w:t>Plataforma de Transparência de Taxas</w:t>
              </w:r>
            </w:hyperlink>
            <w:r w:rsidRPr="00B0561D">
              <w:rPr>
                <w:rFonts w:ascii="Arial" w:hAnsi="Arial" w:cs="Arial"/>
                <w:sz w:val="20"/>
                <w:szCs w:val="20"/>
              </w:rPr>
              <w:t xml:space="preserve"> no endereço </w:t>
            </w:r>
            <w:hyperlink r:id="rId17" w:tgtFrame="_blank" w:tooltip="https://www.data.anbima.com/busca/transparencia-de-taxas-de-fundos." w:history="1">
              <w:r w:rsidRPr="00B0561D">
                <w:rPr>
                  <w:rStyle w:val="Hyperlink"/>
                  <w:rFonts w:ascii="Arial" w:hAnsi="Arial" w:cs="Arial"/>
                  <w:sz w:val="20"/>
                </w:rPr>
                <w:t>www.data.anbima.com/busca/transparencia-de-taxas-de-fundos.</w:t>
              </w:r>
            </w:hyperlink>
          </w:p>
          <w:p w14:paraId="78AB9379" w14:textId="77777777" w:rsidR="00A97AF1" w:rsidRPr="00F621C0" w:rsidRDefault="00A97AF1" w:rsidP="0075351C">
            <w:pPr>
              <w:jc w:val="both"/>
              <w:rPr>
                <w:rFonts w:ascii="Arial" w:hAnsi="Arial" w:cs="Arial"/>
                <w:b/>
                <w:bCs/>
                <w:smallCaps/>
                <w:color w:val="000000"/>
                <w:sz w:val="20"/>
                <w:szCs w:val="20"/>
              </w:rPr>
            </w:pPr>
          </w:p>
        </w:tc>
      </w:tr>
      <w:tr w:rsidR="00A97AF1" w:rsidRPr="00F621C0" w14:paraId="3924DCEA" w14:textId="77777777" w:rsidTr="0075351C">
        <w:trPr>
          <w:gridAfter w:val="1"/>
          <w:wAfter w:w="16" w:type="pct"/>
          <w:trHeight w:val="209"/>
        </w:trPr>
        <w:tc>
          <w:tcPr>
            <w:tcW w:w="1742" w:type="pct"/>
            <w:gridSpan w:val="3"/>
            <w:vMerge/>
            <w:tcBorders>
              <w:left w:val="nil"/>
              <w:right w:val="nil"/>
            </w:tcBorders>
          </w:tcPr>
          <w:p w14:paraId="2BC2BA9C" w14:textId="77777777" w:rsidR="00A97AF1" w:rsidRPr="00F621C0" w:rsidRDefault="00A97AF1" w:rsidP="0075351C">
            <w:pPr>
              <w:jc w:val="center"/>
              <w:rPr>
                <w:rFonts w:ascii="Arial" w:hAnsi="Arial" w:cs="Arial"/>
                <w:b/>
                <w:bCs/>
                <w:smallCaps/>
                <w:color w:val="000000"/>
                <w:sz w:val="20"/>
                <w:szCs w:val="20"/>
              </w:rPr>
            </w:pPr>
          </w:p>
        </w:tc>
        <w:tc>
          <w:tcPr>
            <w:tcW w:w="3242" w:type="pct"/>
            <w:gridSpan w:val="4"/>
            <w:tcBorders>
              <w:top w:val="single" w:sz="4" w:space="0" w:color="auto"/>
              <w:left w:val="nil"/>
              <w:bottom w:val="single" w:sz="4" w:space="0" w:color="auto"/>
              <w:right w:val="nil"/>
            </w:tcBorders>
            <w:vAlign w:val="center"/>
          </w:tcPr>
          <w:p w14:paraId="687DB20F" w14:textId="77777777" w:rsidR="00A97AF1" w:rsidRPr="00F621C0" w:rsidRDefault="00A97AF1" w:rsidP="0075351C">
            <w:pPr>
              <w:jc w:val="both"/>
              <w:rPr>
                <w:rFonts w:ascii="Arial" w:hAnsi="Arial" w:cs="Arial"/>
                <w:sz w:val="20"/>
                <w:szCs w:val="20"/>
              </w:rPr>
            </w:pPr>
          </w:p>
        </w:tc>
      </w:tr>
      <w:tr w:rsidR="00A97AF1" w:rsidRPr="00F621C0" w14:paraId="02680165"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563BD353" w14:textId="77777777" w:rsidR="00A97AF1" w:rsidRPr="00F621C0" w:rsidRDefault="00A97AF1" w:rsidP="00A97AF1">
            <w:pPr>
              <w:pStyle w:val="PargrafodaLista"/>
              <w:numPr>
                <w:ilvl w:val="1"/>
                <w:numId w:val="37"/>
              </w:numPr>
              <w:ind w:left="0" w:firstLine="0"/>
              <w:jc w:val="center"/>
              <w:rPr>
                <w:rFonts w:ascii="Arial" w:hAnsi="Arial" w:cs="Arial"/>
                <w:b/>
                <w:bCs/>
                <w:color w:val="000000"/>
              </w:rPr>
            </w:pPr>
            <w:r w:rsidRPr="00F621C0">
              <w:rPr>
                <w:rFonts w:ascii="Arial" w:hAnsi="Arial" w:cs="Arial"/>
                <w:b/>
                <w:bCs/>
                <w:smallCaps/>
                <w:color w:val="000000"/>
              </w:rPr>
              <w:t>Taxa Máxima de Custódia</w:t>
            </w:r>
          </w:p>
        </w:tc>
        <w:tc>
          <w:tcPr>
            <w:tcW w:w="3242" w:type="pct"/>
            <w:gridSpan w:val="4"/>
            <w:tcBorders>
              <w:top w:val="single" w:sz="4" w:space="0" w:color="auto"/>
              <w:left w:val="nil"/>
              <w:bottom w:val="single" w:sz="4" w:space="0" w:color="auto"/>
              <w:right w:val="nil"/>
            </w:tcBorders>
            <w:vAlign w:val="center"/>
          </w:tcPr>
          <w:p w14:paraId="5026FA95"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 taxa máxima de custódia paga pela Classe Única ao Custodiante será de 0,020% ao ano sobre o patrimônio líquido da Classe Única.</w:t>
            </w:r>
          </w:p>
        </w:tc>
      </w:tr>
      <w:tr w:rsidR="00A97AF1" w:rsidRPr="00F621C0" w14:paraId="7A41065F"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6B0A3C4E" w14:textId="77777777" w:rsidR="00A97AF1" w:rsidRPr="00F621C0" w:rsidRDefault="00A97AF1" w:rsidP="0075351C">
            <w:pPr>
              <w:jc w:val="center"/>
              <w:rPr>
                <w:rFonts w:ascii="Arial" w:hAnsi="Arial" w:cs="Arial"/>
                <w:b/>
                <w:bCs/>
                <w:color w:val="000000"/>
                <w:sz w:val="20"/>
                <w:szCs w:val="20"/>
              </w:rPr>
            </w:pPr>
          </w:p>
        </w:tc>
        <w:tc>
          <w:tcPr>
            <w:tcW w:w="3242" w:type="pct"/>
            <w:gridSpan w:val="4"/>
            <w:tcBorders>
              <w:top w:val="single" w:sz="4" w:space="0" w:color="auto"/>
              <w:left w:val="nil"/>
              <w:bottom w:val="single" w:sz="4" w:space="0" w:color="auto"/>
              <w:right w:val="nil"/>
            </w:tcBorders>
            <w:vAlign w:val="center"/>
          </w:tcPr>
          <w:p w14:paraId="02B87A86" w14:textId="77777777" w:rsidR="00A97AF1" w:rsidRPr="00F621C0" w:rsidRDefault="00A97AF1" w:rsidP="0075351C">
            <w:pPr>
              <w:jc w:val="both"/>
              <w:rPr>
                <w:rFonts w:ascii="Arial" w:hAnsi="Arial" w:cs="Arial"/>
                <w:sz w:val="20"/>
                <w:szCs w:val="20"/>
              </w:rPr>
            </w:pPr>
          </w:p>
        </w:tc>
      </w:tr>
      <w:tr w:rsidR="00A97AF1" w:rsidRPr="00F621C0" w14:paraId="219CA105"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2B9E6459" w14:textId="77777777" w:rsidR="00A97AF1" w:rsidRPr="00F621C0" w:rsidRDefault="00A97AF1" w:rsidP="00A97AF1">
            <w:pPr>
              <w:pStyle w:val="PargrafodaLista"/>
              <w:numPr>
                <w:ilvl w:val="1"/>
                <w:numId w:val="37"/>
              </w:numPr>
              <w:ind w:left="0" w:firstLine="0"/>
              <w:jc w:val="center"/>
              <w:rPr>
                <w:rFonts w:ascii="Arial" w:hAnsi="Arial" w:cs="Arial"/>
                <w:b/>
                <w:bCs/>
                <w:smallCaps/>
                <w:color w:val="000000"/>
              </w:rPr>
            </w:pPr>
            <w:r w:rsidRPr="00F621C0">
              <w:rPr>
                <w:rFonts w:ascii="Arial" w:hAnsi="Arial" w:cs="Arial"/>
                <w:b/>
                <w:bCs/>
                <w:smallCaps/>
                <w:color w:val="000000"/>
              </w:rPr>
              <w:t>Taxa de Performance</w:t>
            </w:r>
          </w:p>
        </w:tc>
        <w:tc>
          <w:tcPr>
            <w:tcW w:w="3242" w:type="pct"/>
            <w:gridSpan w:val="4"/>
            <w:tcBorders>
              <w:top w:val="single" w:sz="4" w:space="0" w:color="auto"/>
              <w:left w:val="nil"/>
              <w:bottom w:val="single" w:sz="4" w:space="0" w:color="auto"/>
              <w:right w:val="nil"/>
            </w:tcBorders>
            <w:vAlign w:val="center"/>
          </w:tcPr>
          <w:p w14:paraId="767C823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Não haverá cobrança de taxa de performance na Classe Única.</w:t>
            </w:r>
          </w:p>
        </w:tc>
      </w:tr>
      <w:tr w:rsidR="00A97AF1" w:rsidRPr="00F621C0" w14:paraId="04540B08"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10DA0E44" w14:textId="77777777" w:rsidR="00A97AF1" w:rsidRPr="00F621C0" w:rsidRDefault="00A97AF1" w:rsidP="0075351C">
            <w:pPr>
              <w:pStyle w:val="PargrafodaLista"/>
              <w:ind w:left="0"/>
              <w:rPr>
                <w:rFonts w:ascii="Arial" w:hAnsi="Arial" w:cs="Arial"/>
                <w:b/>
                <w:bCs/>
                <w:smallCaps/>
                <w:color w:val="000000"/>
              </w:rPr>
            </w:pPr>
          </w:p>
        </w:tc>
        <w:tc>
          <w:tcPr>
            <w:tcW w:w="3242" w:type="pct"/>
            <w:gridSpan w:val="4"/>
            <w:tcBorders>
              <w:top w:val="single" w:sz="4" w:space="0" w:color="auto"/>
              <w:left w:val="nil"/>
              <w:bottom w:val="single" w:sz="4" w:space="0" w:color="auto"/>
              <w:right w:val="nil"/>
            </w:tcBorders>
            <w:vAlign w:val="center"/>
          </w:tcPr>
          <w:p w14:paraId="18620B31" w14:textId="77777777" w:rsidR="00A97AF1" w:rsidRPr="00F621C0" w:rsidRDefault="00A97AF1" w:rsidP="0075351C">
            <w:pPr>
              <w:jc w:val="both"/>
              <w:rPr>
                <w:rFonts w:ascii="Arial" w:hAnsi="Arial" w:cs="Arial"/>
                <w:sz w:val="20"/>
                <w:szCs w:val="20"/>
              </w:rPr>
            </w:pPr>
          </w:p>
        </w:tc>
      </w:tr>
      <w:tr w:rsidR="00A97AF1" w:rsidRPr="00F621C0" w14:paraId="01590905" w14:textId="77777777" w:rsidTr="0075351C">
        <w:trPr>
          <w:gridAfter w:val="1"/>
          <w:wAfter w:w="16" w:type="pct"/>
        </w:trPr>
        <w:tc>
          <w:tcPr>
            <w:tcW w:w="1742" w:type="pct"/>
            <w:gridSpan w:val="3"/>
            <w:tcBorders>
              <w:top w:val="single" w:sz="4" w:space="0" w:color="auto"/>
              <w:left w:val="nil"/>
              <w:bottom w:val="single" w:sz="4" w:space="0" w:color="auto"/>
              <w:right w:val="nil"/>
            </w:tcBorders>
            <w:vAlign w:val="center"/>
          </w:tcPr>
          <w:p w14:paraId="2737D62C" w14:textId="77777777" w:rsidR="00A97AF1" w:rsidRPr="00F621C0" w:rsidRDefault="00A97AF1" w:rsidP="00A97AF1">
            <w:pPr>
              <w:pStyle w:val="PargrafodaLista"/>
              <w:numPr>
                <w:ilvl w:val="1"/>
                <w:numId w:val="37"/>
              </w:numPr>
              <w:ind w:left="0" w:firstLine="0"/>
              <w:jc w:val="center"/>
              <w:rPr>
                <w:rFonts w:ascii="Arial" w:hAnsi="Arial" w:cs="Arial"/>
                <w:b/>
                <w:bCs/>
                <w:color w:val="000000"/>
              </w:rPr>
            </w:pPr>
            <w:r w:rsidRPr="00F621C0">
              <w:rPr>
                <w:rFonts w:ascii="Arial" w:hAnsi="Arial" w:cs="Arial"/>
                <w:b/>
                <w:bCs/>
                <w:smallCaps/>
                <w:color w:val="000000"/>
              </w:rPr>
              <w:t>Custos da Estrutura S</w:t>
            </w:r>
            <w:r w:rsidRPr="00F621C0">
              <w:rPr>
                <w:rFonts w:ascii="Arial" w:hAnsi="Arial" w:cs="Arial"/>
                <w:b/>
                <w:bCs/>
                <w:i/>
                <w:iCs/>
                <w:smallCaps/>
                <w:color w:val="000000"/>
              </w:rPr>
              <w:t xml:space="preserve">ide By Side </w:t>
            </w:r>
            <w:r w:rsidRPr="00F621C0">
              <w:rPr>
                <w:rFonts w:ascii="Arial" w:hAnsi="Arial" w:cs="Arial"/>
                <w:b/>
                <w:bCs/>
                <w:smallCaps/>
                <w:color w:val="000000"/>
              </w:rPr>
              <w:t>e do Investimento</w:t>
            </w:r>
          </w:p>
        </w:tc>
        <w:tc>
          <w:tcPr>
            <w:tcW w:w="3242" w:type="pct"/>
            <w:gridSpan w:val="4"/>
            <w:tcBorders>
              <w:top w:val="single" w:sz="4" w:space="0" w:color="auto"/>
              <w:left w:val="nil"/>
              <w:bottom w:val="single" w:sz="4" w:space="0" w:color="auto"/>
              <w:right w:val="nil"/>
            </w:tcBorders>
            <w:vAlign w:val="center"/>
          </w:tcPr>
          <w:p w14:paraId="24202C87" w14:textId="77777777" w:rsidR="00A97AF1" w:rsidRPr="00F621C0" w:rsidRDefault="00A97AF1" w:rsidP="00F621C0">
            <w:pPr>
              <w:jc w:val="both"/>
              <w:rPr>
                <w:rFonts w:ascii="Arial" w:hAnsi="Arial" w:cs="Arial"/>
                <w:sz w:val="20"/>
                <w:szCs w:val="20"/>
              </w:rPr>
            </w:pPr>
            <w:r w:rsidRPr="00F621C0">
              <w:rPr>
                <w:rFonts w:ascii="Arial" w:hAnsi="Arial" w:cs="Arial"/>
                <w:sz w:val="20"/>
                <w:szCs w:val="20"/>
              </w:rPr>
              <w:t>O Fundo e o Acesso FIRF contam com suas próprias taxas globais, e não cobram taxa de performance. O FIP Vinci cobra suas respectivas taxas de administração, gestão e performance, e o investidor deve estar ciente dos regulamentos e dos custos totais da estrutura, incluindo o Fundo, o Acesso FIRF, o FIP Vinci, o FIP Vinci Master e de seus investimentos. Desta forma, os Cotistas devem ter ciência que, do volume total do seu Capital Comprometido, parte relevante será efetivamente investida no FIP Vinci e nas empresas nas quais ele investe, direta ou indiretamente. No entanto, uma parte não desprezível do Capital Comprometido será utilizada para arcar com os custos da estrutura, o que inclui também o pagamento, pelo Fundo, de um valor de equalização, previsto no regulamento do FIP Vinci, necessário para que o Fundo, bem como quaisquer outros investidores potenciais, possa se tornar cotista do FIP Vinci e do FIP Vinci Master após seu início.</w:t>
            </w:r>
          </w:p>
        </w:tc>
      </w:tr>
      <w:tr w:rsidR="00A97AF1" w:rsidRPr="00F621C0" w14:paraId="1A144631" w14:textId="77777777" w:rsidTr="0075351C">
        <w:trPr>
          <w:gridAfter w:val="1"/>
          <w:wAfter w:w="16" w:type="pct"/>
          <w:trHeight w:val="56"/>
        </w:trPr>
        <w:tc>
          <w:tcPr>
            <w:tcW w:w="1742" w:type="pct"/>
            <w:gridSpan w:val="3"/>
            <w:tcBorders>
              <w:top w:val="single" w:sz="4" w:space="0" w:color="auto"/>
              <w:left w:val="nil"/>
              <w:bottom w:val="single" w:sz="4" w:space="0" w:color="auto"/>
              <w:right w:val="nil"/>
            </w:tcBorders>
          </w:tcPr>
          <w:p w14:paraId="4FBBAD5A" w14:textId="77777777" w:rsidR="00A97AF1" w:rsidRPr="00F621C0" w:rsidRDefault="00A97AF1" w:rsidP="0075351C">
            <w:pPr>
              <w:jc w:val="center"/>
              <w:rPr>
                <w:rFonts w:ascii="Arial" w:hAnsi="Arial" w:cs="Arial"/>
                <w:b/>
                <w:bCs/>
                <w:color w:val="000000"/>
                <w:sz w:val="20"/>
                <w:szCs w:val="20"/>
              </w:rPr>
            </w:pPr>
          </w:p>
        </w:tc>
        <w:tc>
          <w:tcPr>
            <w:tcW w:w="3242" w:type="pct"/>
            <w:gridSpan w:val="4"/>
            <w:tcBorders>
              <w:top w:val="single" w:sz="4" w:space="0" w:color="auto"/>
              <w:left w:val="nil"/>
              <w:bottom w:val="single" w:sz="4" w:space="0" w:color="auto"/>
              <w:right w:val="nil"/>
            </w:tcBorders>
            <w:vAlign w:val="center"/>
          </w:tcPr>
          <w:p w14:paraId="6DF639CC" w14:textId="77777777" w:rsidR="00A97AF1" w:rsidRPr="00F621C0" w:rsidRDefault="00A97AF1" w:rsidP="0075351C">
            <w:pPr>
              <w:jc w:val="both"/>
              <w:rPr>
                <w:rFonts w:ascii="Arial" w:hAnsi="Arial" w:cs="Arial"/>
                <w:sz w:val="20"/>
                <w:szCs w:val="20"/>
              </w:rPr>
            </w:pPr>
          </w:p>
        </w:tc>
      </w:tr>
      <w:tr w:rsidR="00A97AF1" w:rsidRPr="00F621C0" w14:paraId="16F66654" w14:textId="77777777" w:rsidTr="0075351C">
        <w:trPr>
          <w:gridAfter w:val="1"/>
          <w:wAfter w:w="16" w:type="pct"/>
        </w:trPr>
        <w:tc>
          <w:tcPr>
            <w:tcW w:w="4984" w:type="pct"/>
            <w:gridSpan w:val="7"/>
            <w:shd w:val="clear" w:color="auto" w:fill="C00000"/>
          </w:tcPr>
          <w:p w14:paraId="16D57BAD" w14:textId="77777777" w:rsidR="00A97AF1" w:rsidRPr="00F621C0" w:rsidRDefault="00A97AF1" w:rsidP="00A97AF1">
            <w:pPr>
              <w:pStyle w:val="PargrafodaLista"/>
              <w:numPr>
                <w:ilvl w:val="0"/>
                <w:numId w:val="37"/>
              </w:numPr>
              <w:ind w:left="0" w:firstLine="0"/>
              <w:jc w:val="center"/>
              <w:rPr>
                <w:rFonts w:ascii="Arial" w:hAnsi="Arial" w:cs="Arial"/>
                <w:b/>
                <w:bCs/>
                <w:color w:val="FFFFFF" w:themeColor="background1"/>
              </w:rPr>
            </w:pPr>
            <w:r w:rsidRPr="00F621C0">
              <w:rPr>
                <w:rFonts w:ascii="Arial" w:hAnsi="Arial" w:cs="Arial"/>
                <w:b/>
                <w:bCs/>
                <w:color w:val="FFFFFF" w:themeColor="background1"/>
              </w:rPr>
              <w:t>DAS COTAS DA CLASSE ÚNICA</w:t>
            </w:r>
          </w:p>
        </w:tc>
      </w:tr>
      <w:tr w:rsidR="00A97AF1" w:rsidRPr="00F621C0" w14:paraId="4227187A" w14:textId="77777777" w:rsidTr="0075351C">
        <w:trPr>
          <w:gridAfter w:val="1"/>
          <w:wAfter w:w="16" w:type="pct"/>
        </w:trPr>
        <w:tc>
          <w:tcPr>
            <w:tcW w:w="4984" w:type="pct"/>
            <w:gridSpan w:val="7"/>
          </w:tcPr>
          <w:p w14:paraId="05C06D20" w14:textId="77777777" w:rsidR="00A97AF1" w:rsidRPr="00F621C0" w:rsidRDefault="00A97AF1" w:rsidP="0075351C">
            <w:pPr>
              <w:rPr>
                <w:rFonts w:ascii="Arial" w:hAnsi="Arial" w:cs="Arial"/>
                <w:b/>
                <w:bCs/>
                <w:color w:val="ED7D31" w:themeColor="accent2"/>
                <w:sz w:val="20"/>
                <w:szCs w:val="20"/>
              </w:rPr>
            </w:pPr>
          </w:p>
        </w:tc>
      </w:tr>
      <w:tr w:rsidR="00A97AF1" w:rsidRPr="00F621C0" w14:paraId="4817BCBE" w14:textId="77777777" w:rsidTr="0075351C">
        <w:trPr>
          <w:trHeight w:val="206"/>
        </w:trPr>
        <w:tc>
          <w:tcPr>
            <w:tcW w:w="5000" w:type="pct"/>
            <w:gridSpan w:val="8"/>
            <w:tcBorders>
              <w:top w:val="single" w:sz="4" w:space="0" w:color="auto"/>
              <w:bottom w:val="single" w:sz="4" w:space="0" w:color="auto"/>
            </w:tcBorders>
            <w:vAlign w:val="center"/>
          </w:tcPr>
          <w:p w14:paraId="70E2CE78" w14:textId="77777777" w:rsidR="00A97AF1" w:rsidRPr="00F621C0" w:rsidRDefault="00A97AF1" w:rsidP="0075351C">
            <w:pPr>
              <w:jc w:val="center"/>
              <w:rPr>
                <w:rFonts w:ascii="Arial" w:hAnsi="Arial" w:cs="Arial"/>
                <w:b/>
                <w:bCs/>
                <w:sz w:val="20"/>
                <w:szCs w:val="20"/>
                <w:highlight w:val="yellow"/>
              </w:rPr>
            </w:pPr>
            <w:r w:rsidRPr="00F621C0">
              <w:rPr>
                <w:rFonts w:ascii="Arial" w:hAnsi="Arial" w:cs="Arial"/>
                <w:b/>
                <w:bCs/>
                <w:sz w:val="20"/>
                <w:szCs w:val="20"/>
              </w:rPr>
              <w:t xml:space="preserve">6.1. </w:t>
            </w:r>
            <w:r w:rsidRPr="00F621C0">
              <w:rPr>
                <w:rFonts w:ascii="Arial" w:hAnsi="Arial" w:cs="Arial"/>
                <w:b/>
                <w:bCs/>
                <w:smallCaps/>
                <w:color w:val="000000"/>
                <w:sz w:val="20"/>
                <w:szCs w:val="20"/>
              </w:rPr>
              <w:t>Condições para Aplicação</w:t>
            </w:r>
          </w:p>
        </w:tc>
      </w:tr>
      <w:tr w:rsidR="00A97AF1" w:rsidRPr="00F621C0" w14:paraId="13787F64" w14:textId="77777777" w:rsidTr="0075351C">
        <w:trPr>
          <w:trHeight w:val="206"/>
        </w:trPr>
        <w:tc>
          <w:tcPr>
            <w:tcW w:w="1742" w:type="pct"/>
            <w:gridSpan w:val="3"/>
            <w:tcBorders>
              <w:top w:val="single" w:sz="4" w:space="0" w:color="auto"/>
              <w:bottom w:val="single" w:sz="4" w:space="0" w:color="auto"/>
            </w:tcBorders>
            <w:vAlign w:val="center"/>
          </w:tcPr>
          <w:p w14:paraId="51B09545" w14:textId="77777777" w:rsidR="00A97AF1" w:rsidRPr="00F621C0" w:rsidRDefault="00A97AF1" w:rsidP="00A97AF1">
            <w:pPr>
              <w:pStyle w:val="PargrafodaLista"/>
              <w:numPr>
                <w:ilvl w:val="0"/>
                <w:numId w:val="8"/>
              </w:numPr>
              <w:ind w:left="0" w:firstLine="0"/>
              <w:jc w:val="center"/>
              <w:rPr>
                <w:rFonts w:ascii="Arial" w:hAnsi="Arial" w:cs="Arial"/>
                <w:b/>
                <w:bCs/>
                <w:smallCaps/>
                <w:color w:val="000000"/>
              </w:rPr>
            </w:pPr>
            <w:r w:rsidRPr="00F621C0">
              <w:rPr>
                <w:rFonts w:ascii="Arial" w:hAnsi="Arial" w:cs="Arial"/>
                <w:b/>
                <w:bCs/>
                <w:smallCaps/>
                <w:color w:val="000000"/>
              </w:rPr>
              <w:t>Taxa de Ingresso</w:t>
            </w:r>
          </w:p>
        </w:tc>
        <w:tc>
          <w:tcPr>
            <w:tcW w:w="3258" w:type="pct"/>
            <w:gridSpan w:val="5"/>
            <w:tcBorders>
              <w:top w:val="single" w:sz="4" w:space="0" w:color="auto"/>
              <w:bottom w:val="single" w:sz="4" w:space="0" w:color="auto"/>
            </w:tcBorders>
          </w:tcPr>
          <w:p w14:paraId="7E5B6682"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Não há.</w:t>
            </w:r>
          </w:p>
        </w:tc>
      </w:tr>
      <w:tr w:rsidR="00A97AF1" w:rsidRPr="00F621C0" w14:paraId="047B66B2" w14:textId="77777777" w:rsidTr="0075351C">
        <w:trPr>
          <w:trHeight w:val="206"/>
        </w:trPr>
        <w:tc>
          <w:tcPr>
            <w:tcW w:w="1742" w:type="pct"/>
            <w:gridSpan w:val="3"/>
            <w:tcBorders>
              <w:top w:val="single" w:sz="4" w:space="0" w:color="auto"/>
              <w:bottom w:val="single" w:sz="4" w:space="0" w:color="auto"/>
            </w:tcBorders>
            <w:vAlign w:val="center"/>
          </w:tcPr>
          <w:p w14:paraId="10BBE40A" w14:textId="77777777" w:rsidR="00A97AF1" w:rsidRPr="00F621C0" w:rsidRDefault="00A97AF1" w:rsidP="00A97AF1">
            <w:pPr>
              <w:pStyle w:val="PargrafodaLista"/>
              <w:numPr>
                <w:ilvl w:val="0"/>
                <w:numId w:val="8"/>
              </w:numPr>
              <w:ind w:left="0" w:firstLine="0"/>
              <w:jc w:val="center"/>
              <w:rPr>
                <w:rFonts w:ascii="Arial" w:hAnsi="Arial" w:cs="Arial"/>
              </w:rPr>
            </w:pPr>
            <w:r w:rsidRPr="00F621C0">
              <w:rPr>
                <w:rFonts w:ascii="Arial" w:hAnsi="Arial" w:cs="Arial"/>
                <w:b/>
                <w:bCs/>
                <w:smallCaps/>
                <w:color w:val="000000"/>
              </w:rPr>
              <w:t>Compromisso de Investimento e Chamadas de Capital</w:t>
            </w:r>
          </w:p>
        </w:tc>
        <w:tc>
          <w:tcPr>
            <w:tcW w:w="3258" w:type="pct"/>
            <w:gridSpan w:val="5"/>
            <w:tcBorders>
              <w:top w:val="single" w:sz="4" w:space="0" w:color="auto"/>
              <w:bottom w:val="single" w:sz="4" w:space="0" w:color="auto"/>
            </w:tcBorders>
          </w:tcPr>
          <w:p w14:paraId="13281CC4"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Para ingressar no Fundo, os Cotistas celebrarão Instrumento Particular de Compromisso de Investimento para Subscrição e Integralização de Cotas e Outras Avenças (“</w:t>
            </w:r>
            <w:r w:rsidRPr="00F621C0">
              <w:rPr>
                <w:rFonts w:ascii="Arial" w:hAnsi="Arial" w:cs="Arial"/>
                <w:b/>
                <w:bCs/>
                <w:sz w:val="20"/>
                <w:szCs w:val="20"/>
              </w:rPr>
              <w:t>Compromisso de Investimento</w:t>
            </w:r>
            <w:r w:rsidRPr="00F621C0">
              <w:rPr>
                <w:rFonts w:ascii="Arial" w:hAnsi="Arial" w:cs="Arial"/>
                <w:sz w:val="20"/>
                <w:szCs w:val="20"/>
              </w:rPr>
              <w:t>”), através do qual se comprometerão a investir um valor determinado em Reais no Fundo (o “</w:t>
            </w:r>
            <w:r w:rsidRPr="00F621C0">
              <w:rPr>
                <w:rFonts w:ascii="Arial" w:hAnsi="Arial" w:cs="Arial"/>
                <w:b/>
                <w:bCs/>
                <w:sz w:val="20"/>
                <w:szCs w:val="20"/>
              </w:rPr>
              <w:t>Capital Comprometido</w:t>
            </w:r>
            <w:r w:rsidRPr="00F621C0">
              <w:rPr>
                <w:rFonts w:ascii="Arial" w:hAnsi="Arial" w:cs="Arial"/>
                <w:sz w:val="20"/>
                <w:szCs w:val="20"/>
              </w:rPr>
              <w:t>”), a ser desembolsado durante o Prazo de Duração do Fundo, mediante o envio de chamadas de capital pelo Administrador (“</w:t>
            </w:r>
            <w:r w:rsidRPr="00F621C0">
              <w:rPr>
                <w:rFonts w:ascii="Arial" w:hAnsi="Arial" w:cs="Arial"/>
                <w:b/>
                <w:bCs/>
                <w:sz w:val="20"/>
                <w:szCs w:val="20"/>
              </w:rPr>
              <w:t>Chamadas de Capita</w:t>
            </w:r>
            <w:r w:rsidRPr="00F621C0">
              <w:rPr>
                <w:rFonts w:ascii="Arial" w:hAnsi="Arial" w:cs="Arial"/>
                <w:sz w:val="20"/>
                <w:szCs w:val="20"/>
              </w:rPr>
              <w:t>l”), observado o Aporte de Liquidez, conforme descrito no item 6.2.</w:t>
            </w:r>
          </w:p>
          <w:p w14:paraId="04E44979" w14:textId="77777777" w:rsidR="00A97AF1" w:rsidRPr="00F621C0" w:rsidRDefault="00A97AF1" w:rsidP="0075351C">
            <w:pPr>
              <w:jc w:val="both"/>
              <w:rPr>
                <w:rFonts w:ascii="Arial" w:hAnsi="Arial" w:cs="Arial"/>
                <w:sz w:val="20"/>
                <w:szCs w:val="20"/>
              </w:rPr>
            </w:pPr>
          </w:p>
          <w:p w14:paraId="44E35843"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Os Cotistas outorgarão, através do Compromisso de Investimento, mandato irrevogável ao Administrador e ao Distribuidor do Fundo para representá-los, durante todo o Prazo do Fundo e de forma exclusiva, para o recebimento dos comunicados de Chamadas de Capital e para a realização das movimentações financeiras necessárias para o pagamento das Chamadas de Capital, conforme previsto no sub-item abaixo. Os Cotistas abdicarão dos seus poderes para realizar tais movimentações financeiras, que serão realizadas exclusivamente pelo Administrador ou pelo Distribuidor durante todo o Prazo de Duração do Fundo.</w:t>
            </w:r>
          </w:p>
          <w:p w14:paraId="60BDC9BF" w14:textId="77777777" w:rsidR="00A97AF1" w:rsidRPr="00F621C0" w:rsidRDefault="00A97AF1" w:rsidP="0075351C">
            <w:pPr>
              <w:jc w:val="both"/>
              <w:rPr>
                <w:rFonts w:ascii="Arial" w:hAnsi="Arial" w:cs="Arial"/>
                <w:sz w:val="20"/>
                <w:szCs w:val="20"/>
              </w:rPr>
            </w:pPr>
          </w:p>
          <w:p w14:paraId="6BF18232"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As Chamadas de Capital serão realizadas sempre que o Fundo necessitar de recursos para fazer frente às suas obrigações, incluindo os investimentos no FIP Vinci e o pagamento das despesas e encargos do Fundo.</w:t>
            </w:r>
          </w:p>
          <w:p w14:paraId="2B1CA1E4" w14:textId="77777777" w:rsidR="00A97AF1" w:rsidRPr="00F621C0" w:rsidRDefault="00A97AF1" w:rsidP="0075351C">
            <w:pPr>
              <w:jc w:val="both"/>
              <w:rPr>
                <w:rFonts w:ascii="Arial" w:hAnsi="Arial" w:cs="Arial"/>
                <w:sz w:val="20"/>
                <w:szCs w:val="20"/>
              </w:rPr>
            </w:pPr>
          </w:p>
        </w:tc>
      </w:tr>
      <w:tr w:rsidR="00A97AF1" w:rsidRPr="00F621C0" w14:paraId="1FEF8E13" w14:textId="77777777" w:rsidTr="0075351C">
        <w:tc>
          <w:tcPr>
            <w:tcW w:w="1742" w:type="pct"/>
            <w:gridSpan w:val="3"/>
            <w:tcBorders>
              <w:top w:val="single" w:sz="4" w:space="0" w:color="auto"/>
              <w:bottom w:val="single" w:sz="4" w:space="0" w:color="auto"/>
            </w:tcBorders>
            <w:vAlign w:val="center"/>
          </w:tcPr>
          <w:p w14:paraId="0D1F7D5B" w14:textId="77777777" w:rsidR="00A97AF1" w:rsidRPr="00F621C0" w:rsidRDefault="00A97AF1" w:rsidP="00A97AF1">
            <w:pPr>
              <w:pStyle w:val="PargrafodaLista"/>
              <w:numPr>
                <w:ilvl w:val="0"/>
                <w:numId w:val="8"/>
              </w:numPr>
              <w:ind w:left="0" w:firstLine="0"/>
              <w:jc w:val="center"/>
              <w:rPr>
                <w:rFonts w:ascii="Arial" w:hAnsi="Arial" w:cs="Arial"/>
                <w:b/>
                <w:bCs/>
                <w:smallCaps/>
                <w:color w:val="000000"/>
              </w:rPr>
            </w:pPr>
            <w:r w:rsidRPr="00F621C0">
              <w:rPr>
                <w:rFonts w:ascii="Arial" w:hAnsi="Arial" w:cs="Arial"/>
                <w:b/>
                <w:bCs/>
                <w:smallCaps/>
                <w:color w:val="000000"/>
              </w:rPr>
              <w:t>Forma de Integralização</w:t>
            </w:r>
          </w:p>
        </w:tc>
        <w:tc>
          <w:tcPr>
            <w:tcW w:w="3258" w:type="pct"/>
            <w:gridSpan w:val="5"/>
            <w:tcBorders>
              <w:top w:val="single" w:sz="4" w:space="0" w:color="auto"/>
              <w:bottom w:val="single" w:sz="4" w:space="0" w:color="auto"/>
            </w:tcBorders>
          </w:tcPr>
          <w:p w14:paraId="0C18B280"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O Capital Comprometido será integralizado em uma ou mais transferências de recursos ao Fundo, conforme Chamadas de Capital realizadas pelo Fundo. As Chamadas de Capital serão realizadas proporcionalmente à participação de cada Cotista em relação ao Capital Comprometido total do Fundo. Se necessário e, desde que razoavelmente fundamentado, as Chamadas de Capital poderão ser realizadas de forma desproporcional entre os Cotistas.</w:t>
            </w:r>
          </w:p>
          <w:p w14:paraId="2A8492F2" w14:textId="77777777" w:rsidR="00A97AF1" w:rsidRPr="00F621C0" w:rsidRDefault="00A97AF1" w:rsidP="0075351C">
            <w:pPr>
              <w:jc w:val="both"/>
              <w:rPr>
                <w:rFonts w:ascii="Arial" w:hAnsi="Arial" w:cs="Arial"/>
                <w:color w:val="000000"/>
                <w:sz w:val="20"/>
                <w:szCs w:val="20"/>
              </w:rPr>
            </w:pPr>
          </w:p>
          <w:p w14:paraId="3B061B77"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Conforme descrito no Sumário Executivo do Regulamento do Fundo e no Compromisso de Investimento, cada Cotista deverá investir no Acesso FIRF, na Data de Liquidação da Oferta, valor equivalente à totalidade do seu Capital Comprometido (o “</w:t>
            </w:r>
            <w:r w:rsidRPr="00F621C0">
              <w:rPr>
                <w:rFonts w:ascii="Arial" w:hAnsi="Arial" w:cs="Arial"/>
                <w:b/>
                <w:bCs/>
                <w:color w:val="000000"/>
                <w:sz w:val="20"/>
                <w:szCs w:val="20"/>
              </w:rPr>
              <w:t>Aporte de Liquidez</w:t>
            </w:r>
            <w:r w:rsidRPr="00F621C0">
              <w:rPr>
                <w:rFonts w:ascii="Arial" w:hAnsi="Arial" w:cs="Arial"/>
                <w:color w:val="000000"/>
                <w:sz w:val="20"/>
                <w:szCs w:val="20"/>
              </w:rPr>
              <w:t>”). A vigência do Compromisso de Investimento será condicionada ao respectivo Aporte de Liquidez por parte do Cotista.</w:t>
            </w:r>
          </w:p>
          <w:p w14:paraId="74587DFE" w14:textId="77777777" w:rsidR="00A97AF1" w:rsidRPr="00F621C0" w:rsidRDefault="00A97AF1" w:rsidP="0075351C">
            <w:pPr>
              <w:jc w:val="both"/>
              <w:rPr>
                <w:rFonts w:ascii="Arial" w:hAnsi="Arial" w:cs="Arial"/>
                <w:color w:val="000000"/>
                <w:sz w:val="20"/>
                <w:szCs w:val="20"/>
              </w:rPr>
            </w:pPr>
          </w:p>
          <w:p w14:paraId="01E66A58"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Uma vez realizada a Chamada de Capital, nos termos acima dispostos, o Administrador ou o Distribuidor do Fundo providenciarão a transferência dos recursos necessários para arcar com o valor solicitado na respectiva Chamada de Capital (o “</w:t>
            </w:r>
            <w:r w:rsidRPr="00F621C0">
              <w:rPr>
                <w:rFonts w:ascii="Arial" w:hAnsi="Arial" w:cs="Arial"/>
                <w:b/>
                <w:bCs/>
                <w:color w:val="000000"/>
                <w:sz w:val="20"/>
                <w:szCs w:val="20"/>
              </w:rPr>
              <w:t>Valor Chamado</w:t>
            </w:r>
            <w:r w:rsidRPr="00F621C0">
              <w:rPr>
                <w:rFonts w:ascii="Arial" w:hAnsi="Arial" w:cs="Arial"/>
                <w:color w:val="000000"/>
                <w:sz w:val="20"/>
                <w:szCs w:val="20"/>
              </w:rPr>
              <w:t>”), realizando o resgate, em nome do Cotista, do Valor Chamado no Acesso FIRF e a imediata aplicação do Valor Chamado no Fundo (o “</w:t>
            </w:r>
            <w:r w:rsidRPr="00F621C0">
              <w:rPr>
                <w:rFonts w:ascii="Arial" w:hAnsi="Arial" w:cs="Arial"/>
                <w:b/>
                <w:bCs/>
                <w:color w:val="000000"/>
                <w:sz w:val="20"/>
                <w:szCs w:val="20"/>
              </w:rPr>
              <w:t>Mecanismo de Aporte Automático</w:t>
            </w:r>
            <w:r w:rsidRPr="00F621C0">
              <w:rPr>
                <w:rFonts w:ascii="Arial" w:hAnsi="Arial" w:cs="Arial"/>
                <w:color w:val="000000"/>
                <w:sz w:val="20"/>
                <w:szCs w:val="20"/>
              </w:rPr>
              <w:t>”). Os valores integralizados serão convertidos em cotas considerando o valor da cota do dia útil da respectiva integralização.</w:t>
            </w:r>
          </w:p>
          <w:p w14:paraId="7F8A6930" w14:textId="77777777" w:rsidR="00A97AF1" w:rsidRPr="00F621C0" w:rsidRDefault="00A97AF1" w:rsidP="0075351C">
            <w:pPr>
              <w:jc w:val="both"/>
              <w:rPr>
                <w:rFonts w:ascii="Arial" w:hAnsi="Arial" w:cs="Arial"/>
                <w:color w:val="000000"/>
                <w:sz w:val="20"/>
                <w:szCs w:val="20"/>
              </w:rPr>
            </w:pPr>
          </w:p>
          <w:p w14:paraId="7BF2519E" w14:textId="77777777" w:rsidR="00A97AF1" w:rsidRPr="00F621C0" w:rsidRDefault="00A97AF1" w:rsidP="0075351C">
            <w:pPr>
              <w:jc w:val="both"/>
              <w:rPr>
                <w:rFonts w:ascii="Arial" w:hAnsi="Arial" w:cs="Arial"/>
                <w:color w:val="000000"/>
                <w:sz w:val="20"/>
                <w:szCs w:val="20"/>
              </w:rPr>
            </w:pPr>
            <w:r w:rsidRPr="00F621C0">
              <w:rPr>
                <w:rFonts w:ascii="Arial" w:hAnsi="Arial" w:cs="Arial"/>
                <w:sz w:val="20"/>
                <w:szCs w:val="20"/>
              </w:rPr>
              <w:t xml:space="preserve">Após a realização de cada integralização através </w:t>
            </w:r>
            <w:r w:rsidRPr="00F621C0">
              <w:rPr>
                <w:rFonts w:ascii="Arial" w:hAnsi="Arial" w:cs="Arial"/>
                <w:color w:val="000000"/>
                <w:sz w:val="20"/>
                <w:szCs w:val="20"/>
              </w:rPr>
              <w:t>do Mecanismo de Aporte Automático, nos termos do parágrafo acima, o Administrador comunicará os Cotistas sobre a realização da referida movimentação financeira.</w:t>
            </w:r>
          </w:p>
          <w:p w14:paraId="1A3222FF" w14:textId="77777777" w:rsidR="00A97AF1" w:rsidRPr="00F621C0" w:rsidRDefault="00A97AF1" w:rsidP="0075351C">
            <w:pPr>
              <w:jc w:val="both"/>
              <w:rPr>
                <w:rFonts w:ascii="Arial" w:hAnsi="Arial" w:cs="Arial"/>
                <w:color w:val="000000"/>
                <w:sz w:val="20"/>
                <w:szCs w:val="20"/>
              </w:rPr>
            </w:pPr>
          </w:p>
          <w:p w14:paraId="10754936" w14:textId="77777777" w:rsidR="00A97AF1" w:rsidRPr="00F621C0" w:rsidRDefault="00A97AF1" w:rsidP="0075351C">
            <w:pPr>
              <w:jc w:val="both"/>
              <w:rPr>
                <w:rFonts w:ascii="Arial" w:hAnsi="Arial" w:cs="Arial"/>
                <w:b/>
                <w:bCs/>
                <w:color w:val="000000"/>
                <w:sz w:val="20"/>
                <w:szCs w:val="20"/>
              </w:rPr>
            </w:pPr>
            <w:r w:rsidRPr="00F621C0">
              <w:rPr>
                <w:rFonts w:ascii="Arial" w:hAnsi="Arial" w:cs="Arial"/>
                <w:b/>
                <w:bCs/>
                <w:color w:val="000000"/>
                <w:sz w:val="20"/>
                <w:szCs w:val="20"/>
              </w:rPr>
              <w:t>O Cotista não poderá realizar as movimentações financeiras necessárias para o resgate no Acesso FIRF e para o aporte no Fundo diretamente. Tais movimentações serão realizadas exclusivamente pelo Administrador ou pelo Distribuidor do Fundo e do Acesso FIRF em nome dos Cotistas, nos termos do mandato irrevogável outorgado no Compromisso de Investimento, que permanecerá em vigor durante todo o Prazo de Duração do Fundo, inclusive em caso de sucessão.</w:t>
            </w:r>
          </w:p>
          <w:p w14:paraId="7E865569" w14:textId="77777777" w:rsidR="00A97AF1" w:rsidRPr="00F621C0" w:rsidRDefault="00A97AF1" w:rsidP="0075351C">
            <w:pPr>
              <w:jc w:val="both"/>
              <w:rPr>
                <w:rFonts w:ascii="Arial" w:hAnsi="Arial" w:cs="Arial"/>
                <w:color w:val="000000"/>
                <w:sz w:val="20"/>
                <w:szCs w:val="20"/>
              </w:rPr>
            </w:pPr>
          </w:p>
          <w:p w14:paraId="02879136"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 Administrador e o Gestor cumprirão com as suas respectivas obrigações relacionadas às Chamadas de Capital em estrita observância aos termos e condições previstos neste Regulamento e Anexo e no regulamento do FIP Vinci, de forma que o Fundo, na qualidade de cotista do FIP Vinci, cumpra adequada e tempestivamente com as chamadas de capital do FIP Vinci.</w:t>
            </w:r>
          </w:p>
          <w:p w14:paraId="25DA8608" w14:textId="77777777" w:rsidR="00A97AF1" w:rsidRPr="00F621C0" w:rsidRDefault="00A97AF1" w:rsidP="0075351C">
            <w:pPr>
              <w:jc w:val="both"/>
              <w:rPr>
                <w:rFonts w:ascii="Arial" w:hAnsi="Arial" w:cs="Arial"/>
                <w:sz w:val="20"/>
                <w:szCs w:val="20"/>
              </w:rPr>
            </w:pPr>
          </w:p>
          <w:p w14:paraId="4B54AA57" w14:textId="77777777" w:rsidR="00A97AF1" w:rsidRPr="00F621C0" w:rsidRDefault="00A97AF1" w:rsidP="0075351C">
            <w:pPr>
              <w:jc w:val="both"/>
              <w:rPr>
                <w:rFonts w:ascii="Arial" w:hAnsi="Arial" w:cs="Arial"/>
                <w:b/>
                <w:bCs/>
                <w:sz w:val="20"/>
                <w:szCs w:val="20"/>
              </w:rPr>
            </w:pPr>
            <w:r w:rsidRPr="00F621C0">
              <w:rPr>
                <w:rFonts w:ascii="Arial" w:hAnsi="Arial" w:cs="Arial"/>
                <w:sz w:val="20"/>
                <w:szCs w:val="20"/>
              </w:rPr>
              <w:t xml:space="preserve">A eficácia do Compromisso de Investimento está diretamente relacionada com o Aporte de Liquidez do Capital Comprometido do Cotista no Acesso FIRF na Data de Liquidação da Oferta. </w:t>
            </w:r>
            <w:r w:rsidRPr="00F621C0">
              <w:rPr>
                <w:rFonts w:ascii="Arial" w:hAnsi="Arial" w:cs="Arial"/>
                <w:b/>
                <w:bCs/>
                <w:sz w:val="20"/>
                <w:szCs w:val="20"/>
              </w:rPr>
              <w:t>Adicionalmente, a irrevogabilidade e exclusividade do mandato outorgado ao Administrador e ao Distribuidor para implementar o Mecanismo de Aporte Automático são condições essenciais para a realização do investimento no Fundo, tendo em vista a necessária mitigação do risco que a inadimplência de um Cotista traria para o Fundo.</w:t>
            </w:r>
          </w:p>
          <w:p w14:paraId="0A179663" w14:textId="77777777" w:rsidR="00A97AF1" w:rsidRPr="00F621C0" w:rsidRDefault="00A97AF1" w:rsidP="0075351C">
            <w:pPr>
              <w:jc w:val="both"/>
              <w:rPr>
                <w:rFonts w:ascii="Arial" w:hAnsi="Arial" w:cs="Arial"/>
                <w:sz w:val="20"/>
                <w:szCs w:val="20"/>
              </w:rPr>
            </w:pPr>
          </w:p>
          <w:p w14:paraId="45F11215"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 Compromisso de Investimento traz as regras e penalidades aplicáveis no caso de situações excepcionais em que o Cotista possa causar o inadimplemento de Chamadas de Capital, mesmo com o Mecanismo de Aporte Automático, como no caso de bloqueio judicial de cotas do Acesso FIRF. Em tais casos, o Cotista permanecerá obrigado a realizar o aporte para quitação da Chamada de Capital e poderá realizá-lo diretamente no Fundo.</w:t>
            </w:r>
          </w:p>
          <w:p w14:paraId="4C4F795C" w14:textId="77777777" w:rsidR="00A97AF1" w:rsidRPr="00F621C0" w:rsidRDefault="00A97AF1" w:rsidP="0075351C">
            <w:pPr>
              <w:jc w:val="both"/>
              <w:rPr>
                <w:rFonts w:ascii="Arial" w:hAnsi="Arial" w:cs="Arial"/>
                <w:sz w:val="20"/>
                <w:szCs w:val="20"/>
              </w:rPr>
            </w:pPr>
          </w:p>
        </w:tc>
      </w:tr>
      <w:tr w:rsidR="00A97AF1" w:rsidRPr="00F621C0" w14:paraId="077DF156" w14:textId="77777777" w:rsidTr="0075351C">
        <w:tc>
          <w:tcPr>
            <w:tcW w:w="1742" w:type="pct"/>
            <w:gridSpan w:val="3"/>
            <w:tcBorders>
              <w:top w:val="single" w:sz="4" w:space="0" w:color="auto"/>
              <w:bottom w:val="single" w:sz="4" w:space="0" w:color="auto"/>
            </w:tcBorders>
            <w:vAlign w:val="center"/>
          </w:tcPr>
          <w:p w14:paraId="442A259A" w14:textId="77777777" w:rsidR="00A97AF1" w:rsidRPr="00F621C0" w:rsidRDefault="00A97AF1" w:rsidP="00A97AF1">
            <w:pPr>
              <w:pStyle w:val="PargrafodaLista"/>
              <w:numPr>
                <w:ilvl w:val="0"/>
                <w:numId w:val="8"/>
              </w:numPr>
              <w:ind w:left="0" w:firstLine="0"/>
              <w:jc w:val="center"/>
              <w:rPr>
                <w:rFonts w:ascii="Arial" w:hAnsi="Arial" w:cs="Arial"/>
                <w:b/>
                <w:bCs/>
                <w:smallCaps/>
                <w:color w:val="000000"/>
              </w:rPr>
            </w:pPr>
            <w:r w:rsidRPr="00F621C0">
              <w:rPr>
                <w:rFonts w:ascii="Arial" w:hAnsi="Arial" w:cs="Arial"/>
                <w:b/>
                <w:bCs/>
                <w:smallCaps/>
                <w:color w:val="000000"/>
              </w:rPr>
              <w:t>Primeira Emissão</w:t>
            </w:r>
          </w:p>
        </w:tc>
        <w:tc>
          <w:tcPr>
            <w:tcW w:w="3258" w:type="pct"/>
            <w:gridSpan w:val="5"/>
            <w:tcBorders>
              <w:top w:val="single" w:sz="4" w:space="0" w:color="auto"/>
              <w:bottom w:val="single" w:sz="4" w:space="0" w:color="auto"/>
            </w:tcBorders>
          </w:tcPr>
          <w:p w14:paraId="1FF14F5A"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A Primeira Emissão de Cotas será realizada em termos e condições a serem definidos no âmbito do ato único dos Prestadores de Serviços Essenciais que aprovará a Primeira Emissão de Cotas, nos termos da Resolução CVM 175.</w:t>
            </w:r>
          </w:p>
        </w:tc>
      </w:tr>
      <w:tr w:rsidR="00A97AF1" w:rsidRPr="00F621C0" w14:paraId="11B841C9" w14:textId="77777777" w:rsidTr="0075351C">
        <w:tc>
          <w:tcPr>
            <w:tcW w:w="1742" w:type="pct"/>
            <w:gridSpan w:val="3"/>
            <w:tcBorders>
              <w:top w:val="single" w:sz="4" w:space="0" w:color="auto"/>
            </w:tcBorders>
            <w:vAlign w:val="center"/>
          </w:tcPr>
          <w:p w14:paraId="05A02838" w14:textId="77777777" w:rsidR="00A97AF1" w:rsidRPr="00F621C0" w:rsidRDefault="00A97AF1" w:rsidP="00A97AF1">
            <w:pPr>
              <w:pStyle w:val="PargrafodaLista"/>
              <w:numPr>
                <w:ilvl w:val="0"/>
                <w:numId w:val="8"/>
              </w:numPr>
              <w:ind w:left="0" w:firstLine="0"/>
              <w:jc w:val="center"/>
              <w:rPr>
                <w:rFonts w:ascii="Arial" w:hAnsi="Arial" w:cs="Arial"/>
                <w:b/>
                <w:bCs/>
                <w:smallCaps/>
                <w:color w:val="000000"/>
              </w:rPr>
            </w:pPr>
            <w:r w:rsidRPr="00F621C0">
              <w:rPr>
                <w:rFonts w:ascii="Arial" w:hAnsi="Arial" w:cs="Arial"/>
                <w:b/>
                <w:bCs/>
                <w:smallCaps/>
                <w:color w:val="000000"/>
              </w:rPr>
              <w:t>Emissões Subsequentes</w:t>
            </w:r>
          </w:p>
        </w:tc>
        <w:tc>
          <w:tcPr>
            <w:tcW w:w="3258" w:type="pct"/>
            <w:gridSpan w:val="5"/>
            <w:tcBorders>
              <w:top w:val="single" w:sz="4" w:space="0" w:color="auto"/>
            </w:tcBorders>
          </w:tcPr>
          <w:p w14:paraId="6C3393C1"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As regras e condições de ofertas de Cotas subsequentes à Primeira Oferta serão definidas em assembleia geral de cotistas da Classe</w:t>
            </w:r>
            <w:r w:rsidRPr="00F621C0">
              <w:rPr>
                <w:rFonts w:ascii="Arial" w:hAnsi="Arial" w:cs="Arial"/>
                <w:sz w:val="20"/>
                <w:szCs w:val="20"/>
              </w:rPr>
              <w:t xml:space="preserve"> Única</w:t>
            </w:r>
            <w:r w:rsidRPr="00F621C0">
              <w:rPr>
                <w:rFonts w:ascii="Arial" w:hAnsi="Arial" w:cs="Arial"/>
                <w:color w:val="000000"/>
                <w:sz w:val="20"/>
                <w:szCs w:val="20"/>
              </w:rPr>
              <w:t xml:space="preserve"> e serão realizadas de acordo com a regulamentação aplicável. </w:t>
            </w:r>
          </w:p>
        </w:tc>
      </w:tr>
      <w:tr w:rsidR="00A97AF1" w:rsidRPr="00F621C0" w14:paraId="4725D9ED" w14:textId="77777777" w:rsidTr="0075351C">
        <w:trPr>
          <w:gridAfter w:val="1"/>
          <w:wAfter w:w="16" w:type="pct"/>
        </w:trPr>
        <w:tc>
          <w:tcPr>
            <w:tcW w:w="4984" w:type="pct"/>
            <w:gridSpan w:val="7"/>
            <w:tcBorders>
              <w:top w:val="single" w:sz="4" w:space="0" w:color="auto"/>
              <w:bottom w:val="single" w:sz="4" w:space="0" w:color="auto"/>
            </w:tcBorders>
            <w:vAlign w:val="center"/>
          </w:tcPr>
          <w:p w14:paraId="64C07A6F" w14:textId="77777777" w:rsidR="00A97AF1" w:rsidRPr="00F621C0" w:rsidRDefault="00A97AF1" w:rsidP="0075351C">
            <w:pPr>
              <w:jc w:val="center"/>
              <w:rPr>
                <w:rFonts w:ascii="Arial" w:hAnsi="Arial" w:cs="Arial"/>
                <w:smallCaps/>
                <w:color w:val="000000"/>
                <w:sz w:val="20"/>
                <w:szCs w:val="20"/>
              </w:rPr>
            </w:pPr>
            <w:r w:rsidRPr="00F621C0">
              <w:rPr>
                <w:rFonts w:ascii="Arial" w:hAnsi="Arial" w:cs="Arial"/>
                <w:b/>
                <w:bCs/>
                <w:smallCaps/>
                <w:color w:val="000000"/>
                <w:sz w:val="20"/>
                <w:szCs w:val="20"/>
              </w:rPr>
              <w:t xml:space="preserve">6.2. Estrutura </w:t>
            </w:r>
            <w:r w:rsidRPr="00F621C0">
              <w:rPr>
                <w:rFonts w:ascii="Arial" w:hAnsi="Arial" w:cs="Arial"/>
                <w:b/>
                <w:bCs/>
                <w:i/>
                <w:iCs/>
                <w:smallCaps/>
                <w:color w:val="000000"/>
                <w:sz w:val="20"/>
                <w:szCs w:val="20"/>
              </w:rPr>
              <w:t xml:space="preserve">Side By Side </w:t>
            </w:r>
            <w:r w:rsidRPr="00F621C0">
              <w:rPr>
                <w:rFonts w:ascii="Arial" w:hAnsi="Arial" w:cs="Arial"/>
                <w:b/>
                <w:bCs/>
                <w:smallCaps/>
                <w:color w:val="000000"/>
                <w:sz w:val="20"/>
                <w:szCs w:val="20"/>
              </w:rPr>
              <w:t>e Acesso FIRF</w:t>
            </w:r>
          </w:p>
        </w:tc>
      </w:tr>
      <w:tr w:rsidR="00A97AF1" w:rsidRPr="00F621C0" w14:paraId="2D664242" w14:textId="77777777" w:rsidTr="0075351C">
        <w:trPr>
          <w:gridAfter w:val="1"/>
          <w:wAfter w:w="16" w:type="pct"/>
        </w:trPr>
        <w:tc>
          <w:tcPr>
            <w:tcW w:w="4984" w:type="pct"/>
            <w:gridSpan w:val="7"/>
            <w:tcBorders>
              <w:top w:val="single" w:sz="4" w:space="0" w:color="auto"/>
            </w:tcBorders>
            <w:vAlign w:val="center"/>
          </w:tcPr>
          <w:p w14:paraId="12263EA1" w14:textId="77777777" w:rsidR="00A97AF1" w:rsidRPr="00F621C0" w:rsidRDefault="00A97AF1" w:rsidP="0075351C">
            <w:pPr>
              <w:pStyle w:val="PargrafodaLista"/>
              <w:ind w:left="360"/>
              <w:rPr>
                <w:rFonts w:ascii="Arial" w:hAnsi="Arial" w:cs="Arial"/>
                <w:b/>
                <w:bCs/>
                <w:smallCaps/>
                <w:color w:val="000000"/>
              </w:rPr>
            </w:pPr>
          </w:p>
          <w:p w14:paraId="603D5EAF"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Para fins de proteção do Fundo e de seus Cotistas, o Fundo é parte de uma estrutura </w:t>
            </w:r>
            <w:r w:rsidRPr="00F621C0">
              <w:rPr>
                <w:rFonts w:ascii="Arial" w:hAnsi="Arial" w:cs="Arial"/>
                <w:i/>
                <w:iCs/>
                <w:sz w:val="20"/>
                <w:szCs w:val="20"/>
              </w:rPr>
              <w:t>side by side</w:t>
            </w:r>
            <w:r w:rsidRPr="00F621C0">
              <w:rPr>
                <w:rFonts w:ascii="Arial" w:hAnsi="Arial" w:cs="Arial"/>
                <w:sz w:val="20"/>
                <w:szCs w:val="20"/>
              </w:rPr>
              <w:t>, que conta com o Acesso FIRF como fundo paralelo e com o Mecanismo de Aporte Automático, através dos quais os Cotistas aportarão a totalidade do seu Capital Comprometido no Acesso FIRF através do Aporte de Liquidez, e tais recursos serão mantidos no Acesso FIRF, sem a possibilidade de resgate direto pelo Cotista, durante todo o Prazo de Duração do Fundo. Dessa forma, será possível garantir que os Cotistas tenham sempre recursos previamente disponíveis para cumprir com as Chamadas de Capital, de acordo com os termos e condições estipulados nos respectivos Compromissos de Investimento.</w:t>
            </w:r>
          </w:p>
        </w:tc>
      </w:tr>
      <w:tr w:rsidR="00A97AF1" w:rsidRPr="00F621C0" w14:paraId="3005B233" w14:textId="77777777" w:rsidTr="0075351C">
        <w:trPr>
          <w:gridAfter w:val="1"/>
          <w:wAfter w:w="16" w:type="pct"/>
        </w:trPr>
        <w:tc>
          <w:tcPr>
            <w:tcW w:w="4984" w:type="pct"/>
            <w:gridSpan w:val="7"/>
            <w:tcBorders>
              <w:top w:val="single" w:sz="4" w:space="0" w:color="auto"/>
            </w:tcBorders>
            <w:vAlign w:val="center"/>
          </w:tcPr>
          <w:p w14:paraId="470899EB" w14:textId="77777777" w:rsidR="00A97AF1" w:rsidRPr="00F621C0" w:rsidRDefault="00A97AF1" w:rsidP="0075351C">
            <w:pPr>
              <w:jc w:val="center"/>
              <w:rPr>
                <w:rFonts w:ascii="Arial" w:hAnsi="Arial" w:cs="Arial"/>
                <w:sz w:val="20"/>
                <w:szCs w:val="20"/>
              </w:rPr>
            </w:pPr>
            <w:r w:rsidRPr="00F621C0">
              <w:rPr>
                <w:rFonts w:ascii="Arial" w:hAnsi="Arial" w:cs="Arial"/>
                <w:b/>
                <w:bCs/>
                <w:sz w:val="20"/>
                <w:szCs w:val="20"/>
              </w:rPr>
              <w:t xml:space="preserve">6.3. </w:t>
            </w:r>
            <w:r w:rsidRPr="00F621C0">
              <w:rPr>
                <w:rFonts w:ascii="Arial" w:hAnsi="Arial" w:cs="Arial"/>
                <w:b/>
                <w:bCs/>
                <w:smallCaps/>
                <w:color w:val="000000"/>
                <w:sz w:val="20"/>
                <w:szCs w:val="20"/>
              </w:rPr>
              <w:t>Amortização</w:t>
            </w:r>
          </w:p>
        </w:tc>
      </w:tr>
      <w:tr w:rsidR="00A97AF1" w:rsidRPr="00F621C0" w14:paraId="214B0DA9" w14:textId="77777777" w:rsidTr="00753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14" w:type="pct"/>
            <w:gridSpan w:val="4"/>
            <w:tcBorders>
              <w:top w:val="single" w:sz="4" w:space="0" w:color="auto"/>
              <w:left w:val="nil"/>
              <w:bottom w:val="single" w:sz="4" w:space="0" w:color="auto"/>
              <w:right w:val="nil"/>
            </w:tcBorders>
            <w:vAlign w:val="center"/>
          </w:tcPr>
          <w:p w14:paraId="65922298" w14:textId="77777777" w:rsidR="00A97AF1" w:rsidRPr="00F621C0" w:rsidRDefault="00A97AF1" w:rsidP="00A97AF1">
            <w:pPr>
              <w:pStyle w:val="PargrafodaLista"/>
              <w:numPr>
                <w:ilvl w:val="0"/>
                <w:numId w:val="25"/>
              </w:numPr>
              <w:ind w:left="0" w:firstLine="0"/>
              <w:jc w:val="center"/>
              <w:rPr>
                <w:rFonts w:ascii="Arial" w:hAnsi="Arial" w:cs="Arial"/>
              </w:rPr>
            </w:pPr>
            <w:r w:rsidRPr="00F621C0">
              <w:rPr>
                <w:rFonts w:ascii="Arial" w:hAnsi="Arial" w:cs="Arial"/>
                <w:b/>
                <w:bCs/>
                <w:smallCaps/>
                <w:color w:val="000000"/>
              </w:rPr>
              <w:t>Periodicidade</w:t>
            </w:r>
          </w:p>
        </w:tc>
        <w:tc>
          <w:tcPr>
            <w:tcW w:w="3186" w:type="pct"/>
            <w:gridSpan w:val="4"/>
            <w:tcBorders>
              <w:top w:val="single" w:sz="4" w:space="0" w:color="auto"/>
              <w:left w:val="nil"/>
              <w:bottom w:val="single" w:sz="4" w:space="0" w:color="auto"/>
              <w:right w:val="nil"/>
            </w:tcBorders>
          </w:tcPr>
          <w:p w14:paraId="324619C8" w14:textId="77777777" w:rsidR="00A97AF1" w:rsidRPr="00F621C0" w:rsidRDefault="00A97AF1" w:rsidP="0075351C">
            <w:pPr>
              <w:jc w:val="both"/>
              <w:rPr>
                <w:rFonts w:ascii="Arial" w:hAnsi="Arial" w:cs="Arial"/>
                <w:sz w:val="20"/>
                <w:szCs w:val="20"/>
              </w:rPr>
            </w:pPr>
          </w:p>
          <w:p w14:paraId="4657CB19"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As Cotas da Classe Única poderão ser amortizadas durante todo o Prazo de Duração do Fundo conforme definido pelo Gestor, que concederá as instruções de implementação para execução do Administrador, constando as regras para conversão e pagamento da amortização. </w:t>
            </w:r>
          </w:p>
          <w:p w14:paraId="311755D3" w14:textId="77777777" w:rsidR="00A97AF1" w:rsidRPr="00F621C0" w:rsidRDefault="00A97AF1" w:rsidP="0075351C">
            <w:pPr>
              <w:jc w:val="both"/>
              <w:rPr>
                <w:rFonts w:ascii="Arial" w:hAnsi="Arial" w:cs="Arial"/>
                <w:sz w:val="20"/>
                <w:szCs w:val="20"/>
              </w:rPr>
            </w:pPr>
          </w:p>
          <w:p w14:paraId="67444E06"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Os cotistas não poderão, em nenhuma hipótese, exigir da Classe Única a amortização de suas Cotas senão nos termos previstos neste Anexo.</w:t>
            </w:r>
          </w:p>
          <w:p w14:paraId="42723C3B" w14:textId="77777777" w:rsidR="00A97AF1" w:rsidRPr="00F621C0" w:rsidRDefault="00A97AF1" w:rsidP="0075351C">
            <w:pPr>
              <w:jc w:val="both"/>
              <w:rPr>
                <w:rFonts w:ascii="Arial" w:hAnsi="Arial" w:cs="Arial"/>
                <w:sz w:val="20"/>
                <w:szCs w:val="20"/>
              </w:rPr>
            </w:pPr>
          </w:p>
          <w:p w14:paraId="337D8D8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Considerando o investimento predominante no FIP Vinci, as amortizações de Cotas da Classe Única estarão, em geral, relacionadas ao recebimento dos valores das amortizações e/ou resgate final do FIP Vinci. No entanto, os valores recebidos pelo Fundo do FIP Vinci poderão não ser, integral ou parcialmente, amortizados pela Classe Única caso haja necessidade de retenção de valores para fins de gestão de caixa, liquidez e pagamento dos encargos do Fundo ou da Classe, incluindo, sem limitação, a Taxa Global. Além disso, a Classe Única poderá realizar amortizações a critério do Gestor independentemente do recebimento de recursos do FIP Vinci.</w:t>
            </w:r>
          </w:p>
          <w:p w14:paraId="72AB7C09" w14:textId="77777777" w:rsidR="00A97AF1" w:rsidRPr="00F621C0" w:rsidRDefault="00A97AF1" w:rsidP="0075351C">
            <w:pPr>
              <w:jc w:val="both"/>
              <w:rPr>
                <w:rFonts w:ascii="Arial" w:hAnsi="Arial" w:cs="Arial"/>
                <w:sz w:val="20"/>
                <w:szCs w:val="20"/>
              </w:rPr>
            </w:pPr>
          </w:p>
          <w:p w14:paraId="37C2591C"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Exclusivamente nas situações em que (a) o FIP Vinci realize algum tipo de amortização excepcional, cujo capital deva ser recomposto ao capital comprometido do Fundo no FIP Vinci, nos termos previstos no regulamento do FIP Vinci, (b) o Fundo seja impactado por alguma movimentação ou reavaliação de ativos que coloque em risco a manutenção da alocação mínima de 95% do patrimônio líquido do Fundo no FIP Vinci, ou (c) o Acesso FIRF tenha necessidade de aporte de recursos para pagamento de suas próprias despesas; o Fundo poderá realizar amortizações extraordinárias aos Cotistas, e os recursos decorrentes de tais amortizações extraordinárias serão novamente aplicados no Acesso FIRF em nome do Cotista, em movimentação a ser realizada pelo Administrador ou pelo Distribuidor nos termos do Compromisso de Investimento (as “</w:t>
            </w:r>
            <w:r w:rsidRPr="00F621C0">
              <w:rPr>
                <w:rFonts w:ascii="Arial" w:hAnsi="Arial" w:cs="Arial"/>
                <w:b/>
                <w:bCs/>
                <w:sz w:val="20"/>
                <w:szCs w:val="20"/>
              </w:rPr>
              <w:t>Amortizações Extraordinárias com Reinvestimento</w:t>
            </w:r>
            <w:r w:rsidRPr="00F621C0">
              <w:rPr>
                <w:rFonts w:ascii="Arial" w:hAnsi="Arial" w:cs="Arial"/>
                <w:sz w:val="20"/>
                <w:szCs w:val="20"/>
              </w:rPr>
              <w:t>”). Em tais situações, os Cotistas do Fundo serão devidamente informados nos termos do item 10.2 do Anexo.</w:t>
            </w:r>
          </w:p>
          <w:p w14:paraId="35E15A1E" w14:textId="77777777" w:rsidR="00A97AF1" w:rsidRPr="00F621C0" w:rsidRDefault="00A97AF1" w:rsidP="0075351C">
            <w:pPr>
              <w:jc w:val="both"/>
              <w:rPr>
                <w:rFonts w:ascii="Arial" w:hAnsi="Arial" w:cs="Arial"/>
                <w:sz w:val="20"/>
                <w:szCs w:val="20"/>
              </w:rPr>
            </w:pPr>
          </w:p>
        </w:tc>
      </w:tr>
      <w:tr w:rsidR="00A97AF1" w:rsidRPr="00F621C0" w14:paraId="536F5133" w14:textId="77777777" w:rsidTr="007535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14" w:type="pct"/>
            <w:gridSpan w:val="4"/>
            <w:tcBorders>
              <w:top w:val="single" w:sz="4" w:space="0" w:color="auto"/>
              <w:left w:val="nil"/>
              <w:bottom w:val="single" w:sz="4" w:space="0" w:color="auto"/>
              <w:right w:val="nil"/>
            </w:tcBorders>
            <w:vAlign w:val="center"/>
          </w:tcPr>
          <w:p w14:paraId="5757E14A" w14:textId="77777777" w:rsidR="00A97AF1" w:rsidRPr="00F621C0" w:rsidRDefault="00A97AF1" w:rsidP="00A97AF1">
            <w:pPr>
              <w:pStyle w:val="PargrafodaLista"/>
              <w:numPr>
                <w:ilvl w:val="0"/>
                <w:numId w:val="25"/>
              </w:numPr>
              <w:ind w:left="0" w:firstLine="0"/>
              <w:jc w:val="center"/>
              <w:rPr>
                <w:rFonts w:ascii="Arial" w:hAnsi="Arial" w:cs="Arial"/>
              </w:rPr>
            </w:pPr>
            <w:r w:rsidRPr="00F621C0">
              <w:rPr>
                <w:rFonts w:ascii="Arial" w:hAnsi="Arial" w:cs="Arial"/>
                <w:b/>
                <w:bCs/>
                <w:smallCaps/>
                <w:color w:val="000000"/>
              </w:rPr>
              <w:t>Forma de Pagamento</w:t>
            </w:r>
          </w:p>
        </w:tc>
        <w:tc>
          <w:tcPr>
            <w:tcW w:w="3186" w:type="pct"/>
            <w:gridSpan w:val="4"/>
            <w:tcBorders>
              <w:top w:val="single" w:sz="4" w:space="0" w:color="auto"/>
              <w:left w:val="nil"/>
              <w:bottom w:val="single" w:sz="4" w:space="0" w:color="auto"/>
              <w:right w:val="nil"/>
            </w:tcBorders>
          </w:tcPr>
          <w:p w14:paraId="616AA601"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Crédito em conta, cheque nominal ou por qualquer meio de pagamento permitido pela regulamentação em vigor </w:t>
            </w:r>
            <w:r w:rsidRPr="00F621C0">
              <w:rPr>
                <w:rFonts w:ascii="Arial" w:hAnsi="Arial" w:cs="Arial"/>
                <w:color w:val="000000"/>
                <w:sz w:val="20"/>
                <w:szCs w:val="20"/>
              </w:rPr>
              <w:t>ou mediante a entrega dos ativos financeiros, conforme o caso, exceto no caso das Amortizações Extraordinárias com Reinvestimento, situação em que os valores serão novamente aplicados no Acesso FIRF em nome do Cotista.</w:t>
            </w:r>
          </w:p>
        </w:tc>
      </w:tr>
      <w:tr w:rsidR="00A97AF1" w:rsidRPr="00F621C0" w14:paraId="1CC1E355" w14:textId="77777777" w:rsidTr="0075351C">
        <w:tblPrEx>
          <w:tblBorders>
            <w:top w:val="single" w:sz="4" w:space="0" w:color="auto"/>
            <w:bottom w:val="single" w:sz="4" w:space="0" w:color="auto"/>
          </w:tblBorders>
        </w:tblPrEx>
        <w:trPr>
          <w:gridAfter w:val="1"/>
          <w:wAfter w:w="16" w:type="pct"/>
        </w:trPr>
        <w:tc>
          <w:tcPr>
            <w:tcW w:w="4984" w:type="pct"/>
            <w:gridSpan w:val="7"/>
            <w:tcBorders>
              <w:top w:val="nil"/>
              <w:bottom w:val="single" w:sz="4" w:space="0" w:color="auto"/>
            </w:tcBorders>
          </w:tcPr>
          <w:p w14:paraId="708AED63" w14:textId="77777777" w:rsidR="00A97AF1" w:rsidRPr="00F621C0" w:rsidRDefault="00A97AF1" w:rsidP="0075351C">
            <w:pPr>
              <w:jc w:val="center"/>
              <w:rPr>
                <w:rFonts w:ascii="Arial" w:hAnsi="Arial" w:cs="Arial"/>
                <w:sz w:val="20"/>
                <w:szCs w:val="20"/>
              </w:rPr>
            </w:pPr>
            <w:r w:rsidRPr="00F621C0">
              <w:rPr>
                <w:rFonts w:ascii="Arial" w:hAnsi="Arial" w:cs="Arial"/>
                <w:b/>
                <w:bCs/>
                <w:smallCaps/>
                <w:color w:val="000000"/>
                <w:sz w:val="20"/>
                <w:szCs w:val="20"/>
              </w:rPr>
              <w:t>6.4. Resgate Final e Liquidação da Classe Única</w:t>
            </w:r>
          </w:p>
        </w:tc>
      </w:tr>
      <w:tr w:rsidR="00A97AF1" w:rsidRPr="00F621C0" w14:paraId="5D52598A" w14:textId="77777777" w:rsidTr="0075351C">
        <w:tblPrEx>
          <w:tblBorders>
            <w:top w:val="single" w:sz="4" w:space="0" w:color="auto"/>
            <w:bottom w:val="single" w:sz="4" w:space="0" w:color="auto"/>
          </w:tblBorders>
        </w:tblPrEx>
        <w:trPr>
          <w:gridAfter w:val="1"/>
          <w:wAfter w:w="16" w:type="pct"/>
          <w:trHeight w:val="557"/>
        </w:trPr>
        <w:tc>
          <w:tcPr>
            <w:tcW w:w="1814" w:type="pct"/>
            <w:gridSpan w:val="4"/>
            <w:tcBorders>
              <w:top w:val="single" w:sz="4" w:space="0" w:color="auto"/>
              <w:bottom w:val="single" w:sz="4" w:space="0" w:color="auto"/>
            </w:tcBorders>
            <w:vAlign w:val="center"/>
          </w:tcPr>
          <w:p w14:paraId="553AEACD" w14:textId="77777777" w:rsidR="00A97AF1" w:rsidRPr="00F621C0" w:rsidRDefault="00A97AF1" w:rsidP="00A97AF1">
            <w:pPr>
              <w:pStyle w:val="PargrafodaLista"/>
              <w:numPr>
                <w:ilvl w:val="0"/>
                <w:numId w:val="26"/>
              </w:numPr>
              <w:ind w:left="0" w:firstLine="0"/>
              <w:jc w:val="center"/>
              <w:rPr>
                <w:rFonts w:ascii="Arial" w:hAnsi="Arial" w:cs="Arial"/>
                <w:b/>
                <w:bCs/>
                <w:smallCaps/>
                <w:color w:val="000000"/>
              </w:rPr>
            </w:pPr>
            <w:r w:rsidRPr="00F621C0">
              <w:rPr>
                <w:rFonts w:ascii="Arial" w:hAnsi="Arial" w:cs="Arial"/>
                <w:b/>
                <w:bCs/>
                <w:smallCaps/>
                <w:color w:val="000000"/>
              </w:rPr>
              <w:t>Pagamento</w:t>
            </w:r>
          </w:p>
        </w:tc>
        <w:tc>
          <w:tcPr>
            <w:tcW w:w="3170" w:type="pct"/>
            <w:gridSpan w:val="3"/>
            <w:tcBorders>
              <w:top w:val="single" w:sz="4" w:space="0" w:color="auto"/>
              <w:bottom w:val="single" w:sz="4" w:space="0" w:color="auto"/>
            </w:tcBorders>
            <w:vAlign w:val="center"/>
          </w:tcPr>
          <w:p w14:paraId="504E99C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Nos termos da legislação em vigor, as Cotas da Classe Única somente poderão ser resgatadas através do processo de liquidação do Fundo, o que poderá acontecer a critério do Administrador e do Gestor do Fundo a partir do início do 10º ano do Prazo de Duração da Classe Única e até o seu final (a “</w:t>
            </w:r>
            <w:r w:rsidRPr="00F621C0">
              <w:rPr>
                <w:rFonts w:ascii="Arial" w:hAnsi="Arial" w:cs="Arial"/>
                <w:b/>
                <w:bCs/>
                <w:sz w:val="20"/>
                <w:szCs w:val="20"/>
              </w:rPr>
              <w:t>Liquidação Ordinária da Classe</w:t>
            </w:r>
            <w:r w:rsidRPr="00F621C0">
              <w:rPr>
                <w:rFonts w:ascii="Arial" w:hAnsi="Arial" w:cs="Arial"/>
                <w:sz w:val="20"/>
                <w:szCs w:val="20"/>
              </w:rPr>
              <w:t xml:space="preserve"> </w:t>
            </w:r>
            <w:r w:rsidRPr="00F621C0">
              <w:rPr>
                <w:rFonts w:ascii="Arial" w:hAnsi="Arial" w:cs="Arial"/>
                <w:b/>
                <w:bCs/>
                <w:sz w:val="20"/>
                <w:szCs w:val="20"/>
              </w:rPr>
              <w:t>Única</w:t>
            </w:r>
            <w:r w:rsidRPr="00F621C0">
              <w:rPr>
                <w:rFonts w:ascii="Arial" w:hAnsi="Arial" w:cs="Arial"/>
                <w:sz w:val="20"/>
                <w:szCs w:val="20"/>
              </w:rPr>
              <w:t>”), de forma que as Cotas serão automática e integralmente resgatadas pelo Administrador e pagas aos Cotistas em espécie, observado o disposto nos itens abaixo. A Liquidação Ordinária da Classe Única depende da liquidação do FIP Vinci e do FIP Vinci Master.</w:t>
            </w:r>
          </w:p>
          <w:p w14:paraId="726E694A" w14:textId="77777777" w:rsidR="00A97AF1" w:rsidRPr="00F621C0" w:rsidRDefault="00A97AF1" w:rsidP="0075351C">
            <w:pPr>
              <w:jc w:val="both"/>
              <w:rPr>
                <w:rFonts w:ascii="Arial" w:hAnsi="Arial" w:cs="Arial"/>
                <w:sz w:val="20"/>
                <w:szCs w:val="20"/>
              </w:rPr>
            </w:pPr>
          </w:p>
          <w:p w14:paraId="10CA41B5"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No resgate de Cotas para a Liquidação Ordinária da Classe Única, será utilizado para efeito de conversão de Cotas o valor dos ativos remanescentes precificados na Carteira da Classe Única no fechamento da respectiva data do resgate final, segundo as regras e procedimentos estabelecidos no Manual de Marcação a Mercado adotado para a Classe Única. </w:t>
            </w:r>
          </w:p>
          <w:p w14:paraId="3A47801D" w14:textId="77777777" w:rsidR="00A97AF1" w:rsidRPr="00F621C0" w:rsidRDefault="00A97AF1" w:rsidP="0075351C">
            <w:pPr>
              <w:jc w:val="both"/>
              <w:rPr>
                <w:rFonts w:ascii="Arial" w:hAnsi="Arial" w:cs="Arial"/>
                <w:sz w:val="20"/>
                <w:szCs w:val="20"/>
              </w:rPr>
            </w:pPr>
          </w:p>
          <w:p w14:paraId="640ABDB0"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 pagamento do resgate de Cotas no processo de Liquidação Ordinária da Classe Única será efetivado mediante crédito em conta, deduzidas as taxas e despesas convencionais e estabelecidas neste Anexo, em até 30 dias da data de conversão das Cotas.</w:t>
            </w:r>
          </w:p>
          <w:p w14:paraId="0B1BEB06" w14:textId="77777777" w:rsidR="00A97AF1" w:rsidRPr="00F621C0" w:rsidRDefault="00A97AF1" w:rsidP="0075351C">
            <w:pPr>
              <w:jc w:val="both"/>
              <w:rPr>
                <w:rFonts w:ascii="Arial" w:hAnsi="Arial" w:cs="Arial"/>
                <w:sz w:val="20"/>
                <w:szCs w:val="20"/>
              </w:rPr>
            </w:pPr>
          </w:p>
          <w:p w14:paraId="4913EFBD"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No resgate final de Cotas, deverão ser observadas as correspondentes obrigações fiscais relacionadas a tal evento, estando o Administrador e os Cotistas cientes, cada qual, de suas respectivas responsabilidades.</w:t>
            </w:r>
          </w:p>
          <w:p w14:paraId="1CE10618" w14:textId="77777777" w:rsidR="00A97AF1" w:rsidRPr="00F621C0" w:rsidRDefault="00A97AF1" w:rsidP="0075351C">
            <w:pPr>
              <w:jc w:val="both"/>
              <w:rPr>
                <w:rFonts w:ascii="Arial" w:hAnsi="Arial" w:cs="Arial"/>
                <w:sz w:val="20"/>
                <w:szCs w:val="20"/>
              </w:rPr>
            </w:pPr>
          </w:p>
          <w:p w14:paraId="7FB397CA" w14:textId="77777777" w:rsidR="00A97AF1" w:rsidRPr="00F621C0" w:rsidRDefault="00A97AF1" w:rsidP="0075351C">
            <w:pPr>
              <w:jc w:val="both"/>
              <w:rPr>
                <w:rFonts w:ascii="Arial" w:eastAsia="Arial" w:hAnsi="Arial" w:cs="Arial"/>
                <w:sz w:val="20"/>
                <w:szCs w:val="20"/>
              </w:rPr>
            </w:pPr>
            <w:r w:rsidRPr="00F621C0">
              <w:rPr>
                <w:rFonts w:ascii="Arial" w:hAnsi="Arial" w:cs="Arial"/>
                <w:sz w:val="20"/>
                <w:szCs w:val="20"/>
              </w:rPr>
              <w:t>Destaca-se que poderá ocorrer a Liquidação com Entrega de Ativos do FIP Vinci, mediante aprovação em assembleia geral de cotistas do FIP Vinci.</w:t>
            </w:r>
            <w:r w:rsidRPr="00F621C0">
              <w:rPr>
                <w:rFonts w:ascii="Arial" w:eastAsia="Arial" w:hAnsi="Arial" w:cs="Arial"/>
                <w:sz w:val="20"/>
                <w:szCs w:val="20"/>
              </w:rPr>
              <w:t xml:space="preserve"> No caso de convocação de assembleia geral no FIP Vinci para deliberação de Liquidação com Entrega de Ativos do FIP Vinci, o Fundo convocará Assembleia Geral de Cotistas para que os Cotistas do Fundo deliberem sobre o assunto, e o Fundo votará na respectiva assembleia de Liquidação com Entrega de Ativos do FIP Vinci conforme a decisão da Assembleia de Cotistas do Fundo convocada para este fim, observados os quóruns aplicáveis.</w:t>
            </w:r>
          </w:p>
          <w:p w14:paraId="27D30EC1"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br/>
              <w:t xml:space="preserve">A aprovação da Liquidação com Entrega de Ativos do FIP Vinci pelos Cotistas do Fundo e/ou pelos Cotistas do FIP Vinci e/ou pelos cotistas do FIP Vinci Master, poderá resultar, também, na liquidação do Fundo, com a entrega de ativos aos Cotistas do Fundo, conforme decisão da respectiva Assembleia Geral de Cotistas do Fundo. </w:t>
            </w:r>
          </w:p>
          <w:p w14:paraId="66E9CB04" w14:textId="77777777" w:rsidR="00A97AF1" w:rsidRPr="00F621C0" w:rsidRDefault="00A97AF1" w:rsidP="0075351C">
            <w:pPr>
              <w:jc w:val="both"/>
              <w:rPr>
                <w:rFonts w:ascii="Arial" w:hAnsi="Arial" w:cs="Arial"/>
                <w:sz w:val="20"/>
                <w:szCs w:val="20"/>
              </w:rPr>
            </w:pPr>
          </w:p>
          <w:p w14:paraId="321E4E8B"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Em quaisquer dos casos de liquidação do Fundo ora previstas, a respectiva liquidação do Fundo e de sua Classe Única deverá obedecer a todas as normas regulatórias e fiscais aplicáveis ao procedimento. </w:t>
            </w:r>
          </w:p>
          <w:p w14:paraId="4FB7E829" w14:textId="77777777" w:rsidR="00A97AF1" w:rsidRPr="00F621C0" w:rsidRDefault="00A97AF1" w:rsidP="0075351C">
            <w:pPr>
              <w:jc w:val="both"/>
              <w:rPr>
                <w:rFonts w:ascii="Arial" w:hAnsi="Arial" w:cs="Arial"/>
                <w:sz w:val="20"/>
                <w:szCs w:val="20"/>
              </w:rPr>
            </w:pPr>
          </w:p>
        </w:tc>
      </w:tr>
      <w:tr w:rsidR="00A97AF1" w:rsidRPr="00F621C0" w14:paraId="48D2202B" w14:textId="77777777" w:rsidTr="0075351C">
        <w:trPr>
          <w:gridAfter w:val="1"/>
          <w:wAfter w:w="16" w:type="pct"/>
        </w:trPr>
        <w:tc>
          <w:tcPr>
            <w:tcW w:w="2435" w:type="pct"/>
            <w:gridSpan w:val="6"/>
            <w:tcBorders>
              <w:top w:val="single" w:sz="4" w:space="0" w:color="auto"/>
              <w:bottom w:val="single" w:sz="4" w:space="0" w:color="auto"/>
            </w:tcBorders>
            <w:vAlign w:val="center"/>
          </w:tcPr>
          <w:p w14:paraId="3B41EB82" w14:textId="77777777" w:rsidR="00A97AF1" w:rsidRPr="00F621C0" w:rsidRDefault="00A97AF1" w:rsidP="0075351C">
            <w:pPr>
              <w:jc w:val="center"/>
              <w:rPr>
                <w:rFonts w:ascii="Arial" w:hAnsi="Arial" w:cs="Arial"/>
                <w:b/>
                <w:bCs/>
                <w:smallCaps/>
                <w:color w:val="000000"/>
                <w:sz w:val="20"/>
                <w:szCs w:val="20"/>
              </w:rPr>
            </w:pPr>
            <w:r w:rsidRPr="00F621C0">
              <w:rPr>
                <w:rFonts w:ascii="Arial" w:hAnsi="Arial" w:cs="Arial"/>
                <w:sz w:val="20"/>
                <w:szCs w:val="20"/>
              </w:rPr>
              <w:br w:type="page"/>
            </w:r>
          </w:p>
        </w:tc>
        <w:tc>
          <w:tcPr>
            <w:tcW w:w="2549" w:type="pct"/>
            <w:tcBorders>
              <w:top w:val="single" w:sz="4" w:space="0" w:color="auto"/>
              <w:bottom w:val="single" w:sz="4" w:space="0" w:color="auto"/>
            </w:tcBorders>
          </w:tcPr>
          <w:p w14:paraId="6AF4B50A" w14:textId="77777777" w:rsidR="00A97AF1" w:rsidRPr="00F621C0" w:rsidRDefault="00A97AF1" w:rsidP="0075351C">
            <w:pPr>
              <w:jc w:val="both"/>
              <w:rPr>
                <w:rFonts w:ascii="Arial" w:hAnsi="Arial" w:cs="Arial"/>
                <w:sz w:val="20"/>
                <w:szCs w:val="20"/>
              </w:rPr>
            </w:pPr>
          </w:p>
        </w:tc>
      </w:tr>
      <w:tr w:rsidR="00A97AF1" w:rsidRPr="00F621C0" w14:paraId="7A87FA70" w14:textId="77777777" w:rsidTr="0075351C">
        <w:trPr>
          <w:gridAfter w:val="1"/>
          <w:wAfter w:w="16" w:type="pct"/>
        </w:trPr>
        <w:tc>
          <w:tcPr>
            <w:tcW w:w="4984" w:type="pct"/>
            <w:gridSpan w:val="7"/>
            <w:tcBorders>
              <w:top w:val="single" w:sz="4" w:space="0" w:color="auto"/>
              <w:bottom w:val="single" w:sz="4" w:space="0" w:color="auto"/>
            </w:tcBorders>
            <w:vAlign w:val="center"/>
          </w:tcPr>
          <w:p w14:paraId="4028DBE0" w14:textId="77777777" w:rsidR="00A97AF1" w:rsidRPr="00F621C0" w:rsidRDefault="00A97AF1" w:rsidP="0075351C">
            <w:pPr>
              <w:pStyle w:val="PargrafodaLista"/>
              <w:ind w:left="360"/>
              <w:jc w:val="both"/>
              <w:rPr>
                <w:rFonts w:ascii="Arial" w:hAnsi="Arial" w:cs="Arial"/>
              </w:rPr>
            </w:pPr>
            <w:r w:rsidRPr="00F621C0">
              <w:rPr>
                <w:rFonts w:ascii="Arial" w:hAnsi="Arial" w:cs="Arial"/>
              </w:rPr>
              <w:t>6.4.1. As Cotas da Classe Única não serão negociadas em bolsa de valores e/ou em mercados de balcão organizado.</w:t>
            </w:r>
          </w:p>
        </w:tc>
      </w:tr>
      <w:tr w:rsidR="00A97AF1" w:rsidRPr="00F621C0" w14:paraId="7B2EDACD" w14:textId="77777777" w:rsidTr="0075351C">
        <w:trPr>
          <w:gridAfter w:val="1"/>
          <w:wAfter w:w="16" w:type="pct"/>
        </w:trPr>
        <w:tc>
          <w:tcPr>
            <w:tcW w:w="4984" w:type="pct"/>
            <w:gridSpan w:val="7"/>
            <w:tcBorders>
              <w:top w:val="single" w:sz="4" w:space="0" w:color="auto"/>
              <w:bottom w:val="single" w:sz="4" w:space="0" w:color="auto"/>
            </w:tcBorders>
            <w:vAlign w:val="center"/>
          </w:tcPr>
          <w:p w14:paraId="4D9F8144" w14:textId="77777777" w:rsidR="00A97AF1" w:rsidRPr="00F621C0" w:rsidRDefault="00A97AF1" w:rsidP="0075351C">
            <w:pPr>
              <w:pStyle w:val="PargrafodaLista"/>
              <w:ind w:left="0"/>
              <w:jc w:val="both"/>
              <w:rPr>
                <w:rFonts w:ascii="Arial" w:hAnsi="Arial" w:cs="Arial"/>
              </w:rPr>
            </w:pPr>
          </w:p>
        </w:tc>
      </w:tr>
      <w:tr w:rsidR="00A97AF1" w:rsidRPr="00F621C0" w14:paraId="6B8CA698" w14:textId="77777777" w:rsidTr="0075351C">
        <w:trPr>
          <w:gridAfter w:val="1"/>
          <w:wAfter w:w="16" w:type="pct"/>
        </w:trPr>
        <w:tc>
          <w:tcPr>
            <w:tcW w:w="4984" w:type="pct"/>
            <w:gridSpan w:val="7"/>
            <w:tcBorders>
              <w:top w:val="single" w:sz="4" w:space="0" w:color="auto"/>
              <w:bottom w:val="single" w:sz="4" w:space="0" w:color="auto"/>
            </w:tcBorders>
            <w:vAlign w:val="center"/>
          </w:tcPr>
          <w:p w14:paraId="4F8CE727" w14:textId="77777777" w:rsidR="00A97AF1" w:rsidRPr="00F621C0" w:rsidRDefault="00A97AF1" w:rsidP="0075351C">
            <w:pPr>
              <w:pStyle w:val="PargrafodaLista"/>
              <w:ind w:left="0"/>
              <w:jc w:val="both"/>
              <w:rPr>
                <w:rFonts w:ascii="Arial" w:hAnsi="Arial" w:cs="Arial"/>
              </w:rPr>
            </w:pPr>
            <w:r w:rsidRPr="00F621C0">
              <w:rPr>
                <w:rFonts w:ascii="Arial" w:hAnsi="Arial" w:cs="Arial"/>
              </w:rPr>
              <w:t xml:space="preserve">6.4.2. As Cotas da Classe Única somente poderão ser objeto de cessão ou transferência, mediante a aprovação do Gestor e a apresentação pelo cedente ao Administrador: </w:t>
            </w:r>
            <w:bookmarkStart w:id="9" w:name="_Hlk170427933"/>
            <w:r w:rsidRPr="00F621C0">
              <w:rPr>
                <w:rFonts w:ascii="Arial" w:hAnsi="Arial" w:cs="Arial"/>
              </w:rPr>
              <w:t>(i) da solicitação, por escrito, do pedido de cessão ou transferência, total ou parcial das Cotas, sendo necessária a cessão proporcional de Cotas integralizadas e de saldo a integralizar; (ii) da indicação do nome e da qualificação do cessionário; (iii) da apresentação de cópia do documento comprobatório da cessão ou transferência das Cotas, cujo modelo deve ser providenciado previamente pelo Administrador mediante solicitação por escrito do cedente, e (iv) a realização do Aporte de Liquidez necessário pelo cessionário, devendo ser observado, ainda, o disposto neste Anexo, bem como as regras de tributação aplicáveis.</w:t>
            </w:r>
            <w:bookmarkEnd w:id="9"/>
          </w:p>
        </w:tc>
      </w:tr>
      <w:tr w:rsidR="00A97AF1" w:rsidRPr="00F621C0" w14:paraId="7169B655" w14:textId="77777777" w:rsidTr="0075351C">
        <w:trPr>
          <w:gridAfter w:val="1"/>
          <w:wAfter w:w="16" w:type="pct"/>
        </w:trPr>
        <w:tc>
          <w:tcPr>
            <w:tcW w:w="2435" w:type="pct"/>
            <w:gridSpan w:val="6"/>
            <w:tcBorders>
              <w:top w:val="single" w:sz="4" w:space="0" w:color="auto"/>
              <w:bottom w:val="single" w:sz="4" w:space="0" w:color="auto"/>
            </w:tcBorders>
            <w:vAlign w:val="center"/>
          </w:tcPr>
          <w:p w14:paraId="0DE016D9" w14:textId="77777777" w:rsidR="00A97AF1" w:rsidRPr="00F621C0" w:rsidRDefault="00A97AF1" w:rsidP="0075351C">
            <w:pPr>
              <w:jc w:val="center"/>
              <w:rPr>
                <w:rFonts w:ascii="Arial" w:hAnsi="Arial" w:cs="Arial"/>
                <w:b/>
                <w:bCs/>
                <w:smallCaps/>
                <w:color w:val="000000"/>
                <w:sz w:val="20"/>
                <w:szCs w:val="20"/>
              </w:rPr>
            </w:pPr>
          </w:p>
        </w:tc>
        <w:tc>
          <w:tcPr>
            <w:tcW w:w="2549" w:type="pct"/>
            <w:tcBorders>
              <w:top w:val="single" w:sz="4" w:space="0" w:color="auto"/>
              <w:bottom w:val="single" w:sz="4" w:space="0" w:color="auto"/>
            </w:tcBorders>
          </w:tcPr>
          <w:p w14:paraId="68D93F99" w14:textId="77777777" w:rsidR="00A97AF1" w:rsidRPr="00F621C0" w:rsidRDefault="00A97AF1" w:rsidP="0075351C">
            <w:pPr>
              <w:jc w:val="both"/>
              <w:rPr>
                <w:rFonts w:ascii="Arial" w:hAnsi="Arial" w:cs="Arial"/>
                <w:sz w:val="20"/>
                <w:szCs w:val="20"/>
              </w:rPr>
            </w:pPr>
          </w:p>
        </w:tc>
      </w:tr>
      <w:tr w:rsidR="00A97AF1" w:rsidRPr="00F621C0" w14:paraId="24ECDC5D" w14:textId="77777777" w:rsidTr="0075351C">
        <w:trPr>
          <w:gridAfter w:val="1"/>
          <w:wAfter w:w="16" w:type="pct"/>
        </w:trPr>
        <w:tc>
          <w:tcPr>
            <w:tcW w:w="4984" w:type="pct"/>
            <w:gridSpan w:val="7"/>
            <w:tcBorders>
              <w:top w:val="single" w:sz="4" w:space="0" w:color="auto"/>
              <w:bottom w:val="single" w:sz="4" w:space="0" w:color="auto"/>
            </w:tcBorders>
            <w:vAlign w:val="center"/>
          </w:tcPr>
          <w:p w14:paraId="7F84CE57" w14:textId="77777777" w:rsidR="00A97AF1" w:rsidRPr="00F621C0" w:rsidRDefault="00A97AF1" w:rsidP="0075351C">
            <w:pPr>
              <w:pStyle w:val="PargrafodaLista"/>
              <w:ind w:left="0"/>
              <w:jc w:val="both"/>
              <w:rPr>
                <w:rFonts w:ascii="Arial" w:hAnsi="Arial" w:cs="Arial"/>
              </w:rPr>
            </w:pPr>
            <w:r w:rsidRPr="00F621C0">
              <w:rPr>
                <w:rFonts w:ascii="Arial" w:hAnsi="Arial" w:cs="Arial"/>
              </w:rPr>
              <w:t>6.4.3. Condições adicionais de ingresso e resgate da Classe, inclusive eventuais valores mínimos de permanência e movimentação, poderão ser consultadas no Website do Administrador.</w:t>
            </w:r>
          </w:p>
        </w:tc>
      </w:tr>
      <w:tr w:rsidR="00A97AF1" w:rsidRPr="00F621C0" w14:paraId="1FD45335" w14:textId="77777777" w:rsidTr="0075351C">
        <w:trPr>
          <w:gridAfter w:val="1"/>
          <w:wAfter w:w="16" w:type="pct"/>
        </w:trPr>
        <w:tc>
          <w:tcPr>
            <w:tcW w:w="2435" w:type="pct"/>
            <w:gridSpan w:val="6"/>
            <w:tcBorders>
              <w:top w:val="single" w:sz="4" w:space="0" w:color="auto"/>
              <w:bottom w:val="single" w:sz="4" w:space="0" w:color="auto"/>
            </w:tcBorders>
            <w:vAlign w:val="center"/>
          </w:tcPr>
          <w:p w14:paraId="2DCE9FE5" w14:textId="77777777" w:rsidR="00A97AF1" w:rsidRPr="00F621C0" w:rsidRDefault="00A97AF1" w:rsidP="0075351C">
            <w:pPr>
              <w:jc w:val="center"/>
              <w:rPr>
                <w:rFonts w:ascii="Arial" w:hAnsi="Arial" w:cs="Arial"/>
                <w:b/>
                <w:bCs/>
                <w:smallCaps/>
                <w:sz w:val="20"/>
                <w:szCs w:val="20"/>
              </w:rPr>
            </w:pPr>
          </w:p>
        </w:tc>
        <w:tc>
          <w:tcPr>
            <w:tcW w:w="2549" w:type="pct"/>
            <w:tcBorders>
              <w:top w:val="single" w:sz="4" w:space="0" w:color="auto"/>
              <w:bottom w:val="single" w:sz="4" w:space="0" w:color="auto"/>
            </w:tcBorders>
            <w:vAlign w:val="center"/>
          </w:tcPr>
          <w:p w14:paraId="6AD8F24D" w14:textId="77777777" w:rsidR="00A97AF1" w:rsidRPr="00F621C0" w:rsidRDefault="00A97AF1" w:rsidP="0075351C">
            <w:pPr>
              <w:jc w:val="both"/>
              <w:rPr>
                <w:rFonts w:ascii="Arial" w:hAnsi="Arial" w:cs="Arial"/>
                <w:sz w:val="20"/>
                <w:szCs w:val="20"/>
              </w:rPr>
            </w:pPr>
          </w:p>
        </w:tc>
      </w:tr>
      <w:tr w:rsidR="00A97AF1" w:rsidRPr="00F621C0" w14:paraId="104A3928" w14:textId="77777777" w:rsidTr="0075351C">
        <w:trPr>
          <w:gridAfter w:val="1"/>
          <w:wAfter w:w="16" w:type="pct"/>
        </w:trPr>
        <w:tc>
          <w:tcPr>
            <w:tcW w:w="1742" w:type="pct"/>
            <w:gridSpan w:val="3"/>
            <w:tcBorders>
              <w:top w:val="single" w:sz="4" w:space="0" w:color="auto"/>
              <w:bottom w:val="single" w:sz="4" w:space="0" w:color="auto"/>
            </w:tcBorders>
            <w:vAlign w:val="center"/>
          </w:tcPr>
          <w:p w14:paraId="2F88ED00" w14:textId="77777777" w:rsidR="00A97AF1" w:rsidRPr="00F621C0" w:rsidRDefault="00A97AF1" w:rsidP="00A97AF1">
            <w:pPr>
              <w:pStyle w:val="PargrafodaLista"/>
              <w:numPr>
                <w:ilvl w:val="1"/>
                <w:numId w:val="36"/>
              </w:numPr>
              <w:ind w:left="0" w:firstLine="0"/>
              <w:jc w:val="center"/>
              <w:rPr>
                <w:rFonts w:ascii="Arial" w:hAnsi="Arial" w:cs="Arial"/>
                <w:b/>
                <w:bCs/>
                <w:smallCaps/>
                <w:color w:val="000000"/>
              </w:rPr>
            </w:pPr>
            <w:r w:rsidRPr="00F621C0">
              <w:rPr>
                <w:rFonts w:ascii="Arial" w:hAnsi="Arial" w:cs="Arial"/>
                <w:b/>
                <w:bCs/>
                <w:smallCaps/>
              </w:rPr>
              <w:t>Forma e Periodicidade de Cálculo das Cotas</w:t>
            </w:r>
          </w:p>
        </w:tc>
        <w:tc>
          <w:tcPr>
            <w:tcW w:w="3242" w:type="pct"/>
            <w:gridSpan w:val="4"/>
            <w:tcBorders>
              <w:top w:val="single" w:sz="4" w:space="0" w:color="auto"/>
              <w:bottom w:val="single" w:sz="4" w:space="0" w:color="auto"/>
            </w:tcBorders>
            <w:vAlign w:val="center"/>
          </w:tcPr>
          <w:p w14:paraId="32F8DD30"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As Cotas da Classe Única terão seu valor calculado a cada dia útil, no momento de fechamento dos mercados, com base em avaliação patrimonial que considere os critérios de avaliação previstos na regulamentação em vigor. Considerando a política de investimento da Classe Única, o valor de suas Cotas refletirá, em relação ao capital integralizado no FIP Vinci, o valor das cotas do FIP Vinci. Assim, o valor das Cotas da Classe Única será diretamente impactado pelas regras de precificação do FIP Vinci dispostas em seu regulamento e no manual de precificação do seu administrador, que possuem regulamentação própria e diversa daquela aplicável a Classe Única.</w:t>
            </w:r>
          </w:p>
        </w:tc>
      </w:tr>
      <w:tr w:rsidR="00A97AF1" w:rsidRPr="00F621C0" w14:paraId="5A13EF96" w14:textId="77777777" w:rsidTr="0075351C">
        <w:trPr>
          <w:gridAfter w:val="1"/>
          <w:wAfter w:w="16" w:type="pct"/>
        </w:trPr>
        <w:tc>
          <w:tcPr>
            <w:tcW w:w="1742" w:type="pct"/>
            <w:gridSpan w:val="3"/>
            <w:tcBorders>
              <w:top w:val="single" w:sz="4" w:space="0" w:color="auto"/>
              <w:bottom w:val="single" w:sz="4" w:space="0" w:color="auto"/>
            </w:tcBorders>
            <w:vAlign w:val="center"/>
          </w:tcPr>
          <w:p w14:paraId="0A7F6849" w14:textId="77777777" w:rsidR="00A97AF1" w:rsidRPr="00F621C0" w:rsidRDefault="00A97AF1" w:rsidP="0075351C">
            <w:pPr>
              <w:jc w:val="center"/>
              <w:rPr>
                <w:rFonts w:ascii="Arial" w:hAnsi="Arial" w:cs="Arial"/>
                <w:b/>
                <w:bCs/>
                <w:smallCaps/>
                <w:color w:val="000000"/>
                <w:sz w:val="20"/>
                <w:szCs w:val="20"/>
              </w:rPr>
            </w:pPr>
          </w:p>
        </w:tc>
        <w:tc>
          <w:tcPr>
            <w:tcW w:w="3242" w:type="pct"/>
            <w:gridSpan w:val="4"/>
            <w:tcBorders>
              <w:top w:val="single" w:sz="4" w:space="0" w:color="auto"/>
              <w:bottom w:val="single" w:sz="4" w:space="0" w:color="auto"/>
            </w:tcBorders>
          </w:tcPr>
          <w:p w14:paraId="54D06733" w14:textId="77777777" w:rsidR="00A97AF1" w:rsidRPr="00F621C0" w:rsidRDefault="00A97AF1" w:rsidP="0075351C">
            <w:pPr>
              <w:jc w:val="both"/>
              <w:rPr>
                <w:rFonts w:ascii="Arial" w:hAnsi="Arial" w:cs="Arial"/>
                <w:sz w:val="20"/>
                <w:szCs w:val="20"/>
              </w:rPr>
            </w:pPr>
          </w:p>
        </w:tc>
      </w:tr>
      <w:tr w:rsidR="00A97AF1" w:rsidRPr="00F621C0" w14:paraId="791A3B43" w14:textId="77777777" w:rsidTr="0075351C">
        <w:trPr>
          <w:gridAfter w:val="1"/>
          <w:wAfter w:w="16" w:type="pct"/>
        </w:trPr>
        <w:tc>
          <w:tcPr>
            <w:tcW w:w="1742" w:type="pct"/>
            <w:gridSpan w:val="3"/>
            <w:tcBorders>
              <w:top w:val="single" w:sz="4" w:space="0" w:color="auto"/>
              <w:bottom w:val="single" w:sz="4" w:space="0" w:color="auto"/>
            </w:tcBorders>
            <w:vAlign w:val="center"/>
          </w:tcPr>
          <w:p w14:paraId="49DB2216" w14:textId="77777777" w:rsidR="00A97AF1" w:rsidRPr="00F621C0" w:rsidRDefault="00A97AF1" w:rsidP="00A97AF1">
            <w:pPr>
              <w:pStyle w:val="PargrafodaLista"/>
              <w:numPr>
                <w:ilvl w:val="1"/>
                <w:numId w:val="36"/>
              </w:numPr>
              <w:ind w:left="0" w:firstLine="0"/>
              <w:jc w:val="center"/>
              <w:rPr>
                <w:rFonts w:ascii="Arial" w:hAnsi="Arial" w:cs="Arial"/>
                <w:b/>
                <w:bCs/>
                <w:smallCaps/>
                <w:color w:val="000000"/>
              </w:rPr>
            </w:pPr>
            <w:r w:rsidRPr="00F621C0">
              <w:rPr>
                <w:rFonts w:ascii="Arial" w:hAnsi="Arial" w:cs="Arial"/>
                <w:b/>
                <w:bCs/>
                <w:smallCaps/>
                <w:color w:val="000000"/>
              </w:rPr>
              <w:t>Qualidade dos Cotistas</w:t>
            </w:r>
          </w:p>
        </w:tc>
        <w:tc>
          <w:tcPr>
            <w:tcW w:w="3242" w:type="pct"/>
            <w:gridSpan w:val="4"/>
            <w:tcBorders>
              <w:top w:val="single" w:sz="4" w:space="0" w:color="auto"/>
              <w:bottom w:val="single" w:sz="4" w:space="0" w:color="auto"/>
            </w:tcBorders>
          </w:tcPr>
          <w:p w14:paraId="76B7829A"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 qualidade dos Cotistas caracteriza-se pela assinatura do Compromisso de Investimento, pelo Aporte de Liquidez no Acesso FIRF e pela inscrição do nome do titular no registro de Cotistas da Classe Única. Caso os Cotistas mantenham conta corrente junto ao Banco Santander (Brasil) S.A., o registro dos Cotistas na Classe Única, terá os mesmos dados cadastrais do titular da referida conta corrente e, na hipótese de conta corrente conjunta, o registro dos Cotistas na Classe Única será feito em nome do primeiro titular da conta corrente conjunta.</w:t>
            </w:r>
          </w:p>
        </w:tc>
      </w:tr>
      <w:tr w:rsidR="00A97AF1" w:rsidRPr="00F621C0" w14:paraId="213AC915" w14:textId="77777777" w:rsidTr="0075351C">
        <w:trPr>
          <w:gridAfter w:val="1"/>
          <w:wAfter w:w="16" w:type="pct"/>
        </w:trPr>
        <w:tc>
          <w:tcPr>
            <w:tcW w:w="1742" w:type="pct"/>
            <w:gridSpan w:val="3"/>
            <w:tcBorders>
              <w:top w:val="single" w:sz="4" w:space="0" w:color="auto"/>
              <w:bottom w:val="single" w:sz="4" w:space="0" w:color="auto"/>
            </w:tcBorders>
            <w:vAlign w:val="center"/>
          </w:tcPr>
          <w:p w14:paraId="7E607A23" w14:textId="77777777" w:rsidR="00A97AF1" w:rsidRPr="00F621C0" w:rsidRDefault="00A97AF1" w:rsidP="0075351C">
            <w:pPr>
              <w:jc w:val="center"/>
              <w:rPr>
                <w:rFonts w:ascii="Arial" w:hAnsi="Arial" w:cs="Arial"/>
                <w:b/>
                <w:bCs/>
                <w:smallCaps/>
                <w:color w:val="000000"/>
                <w:sz w:val="20"/>
                <w:szCs w:val="20"/>
              </w:rPr>
            </w:pPr>
          </w:p>
        </w:tc>
        <w:tc>
          <w:tcPr>
            <w:tcW w:w="3242" w:type="pct"/>
            <w:gridSpan w:val="4"/>
            <w:tcBorders>
              <w:top w:val="single" w:sz="4" w:space="0" w:color="auto"/>
              <w:bottom w:val="single" w:sz="4" w:space="0" w:color="auto"/>
            </w:tcBorders>
          </w:tcPr>
          <w:p w14:paraId="563A9A35" w14:textId="77777777" w:rsidR="00A97AF1" w:rsidRPr="00F621C0" w:rsidRDefault="00A97AF1" w:rsidP="0075351C">
            <w:pPr>
              <w:jc w:val="both"/>
              <w:rPr>
                <w:rFonts w:ascii="Arial" w:hAnsi="Arial" w:cs="Arial"/>
                <w:sz w:val="20"/>
                <w:szCs w:val="20"/>
                <w:highlight w:val="green"/>
              </w:rPr>
            </w:pPr>
          </w:p>
        </w:tc>
      </w:tr>
      <w:tr w:rsidR="00A97AF1" w:rsidRPr="00F621C0" w14:paraId="6A87CD82" w14:textId="77777777" w:rsidTr="0075351C">
        <w:trPr>
          <w:gridAfter w:val="1"/>
          <w:wAfter w:w="16" w:type="pct"/>
        </w:trPr>
        <w:tc>
          <w:tcPr>
            <w:tcW w:w="1742" w:type="pct"/>
            <w:gridSpan w:val="3"/>
            <w:tcBorders>
              <w:top w:val="single" w:sz="4" w:space="0" w:color="auto"/>
              <w:bottom w:val="single" w:sz="4" w:space="0" w:color="auto"/>
            </w:tcBorders>
            <w:vAlign w:val="center"/>
          </w:tcPr>
          <w:p w14:paraId="6740FEB2" w14:textId="77777777" w:rsidR="00A97AF1" w:rsidRPr="00F621C0" w:rsidRDefault="00A97AF1" w:rsidP="00A97AF1">
            <w:pPr>
              <w:pStyle w:val="PargrafodaLista"/>
              <w:numPr>
                <w:ilvl w:val="1"/>
                <w:numId w:val="36"/>
              </w:numPr>
              <w:ind w:left="0" w:firstLine="0"/>
              <w:jc w:val="center"/>
              <w:rPr>
                <w:rFonts w:ascii="Arial" w:hAnsi="Arial" w:cs="Arial"/>
                <w:b/>
                <w:bCs/>
                <w:smallCaps/>
                <w:color w:val="000000"/>
              </w:rPr>
            </w:pPr>
            <w:r w:rsidRPr="00F621C0">
              <w:rPr>
                <w:rFonts w:ascii="Arial" w:hAnsi="Arial" w:cs="Arial"/>
                <w:b/>
                <w:bCs/>
                <w:smallCaps/>
                <w:color w:val="000000"/>
              </w:rPr>
              <w:t>Feriados</w:t>
            </w:r>
          </w:p>
        </w:tc>
        <w:tc>
          <w:tcPr>
            <w:tcW w:w="3242" w:type="pct"/>
            <w:gridSpan w:val="4"/>
            <w:tcBorders>
              <w:top w:val="single" w:sz="4" w:space="0" w:color="auto"/>
              <w:bottom w:val="single" w:sz="4" w:space="0" w:color="auto"/>
            </w:tcBorders>
          </w:tcPr>
          <w:p w14:paraId="4377EB39" w14:textId="77777777" w:rsidR="00A97AF1" w:rsidRPr="00F621C0" w:rsidRDefault="00A97AF1" w:rsidP="0075351C">
            <w:pPr>
              <w:jc w:val="both"/>
              <w:rPr>
                <w:rFonts w:ascii="Arial" w:hAnsi="Arial" w:cs="Arial"/>
                <w:sz w:val="20"/>
                <w:szCs w:val="20"/>
                <w:highlight w:val="green"/>
              </w:rPr>
            </w:pPr>
            <w:r w:rsidRPr="00F621C0">
              <w:rPr>
                <w:rFonts w:ascii="Arial" w:hAnsi="Arial" w:cs="Arial"/>
                <w:sz w:val="20"/>
                <w:szCs w:val="20"/>
              </w:rPr>
              <w:t>A Classe Única estará fechada para fins de solicitação de aplicação e resgate final, amortização, conversão de Cotas e pagamento de resgate final no sábado, no domingo ou, ainda, nos dias em que os bancos das cidades de São Paulo ou do Rio de Janeiro estejam autorizados ou obrigados por lei, regulamento ou decreto a fechar. Caso as datas em que venham a ocorrer eventos nos termos do Regulamento não sejam Dias Úteis, conforme definição deste item, considerar-se-á como a data do referido evento o dia útil imediatamente seguinte. Excluídas as condições previamente elencadas, a Classe Única terá func</w:t>
            </w:r>
            <w:r w:rsidRPr="00F621C0">
              <w:rPr>
                <w:rFonts w:ascii="Arial" w:hAnsi="Arial" w:cs="Arial"/>
                <w:color w:val="000000"/>
                <w:sz w:val="20"/>
                <w:szCs w:val="20"/>
              </w:rPr>
              <w:t>i</w:t>
            </w:r>
            <w:r w:rsidRPr="00F621C0">
              <w:rPr>
                <w:rFonts w:ascii="Arial" w:hAnsi="Arial" w:cs="Arial"/>
                <w:sz w:val="20"/>
                <w:szCs w:val="20"/>
              </w:rPr>
              <w:t>onamento normal nos dias de feriado municipal e estadual na praça em que o Administrador estiver sediado.  A Classe Única,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 Única.</w:t>
            </w:r>
          </w:p>
        </w:tc>
      </w:tr>
      <w:tr w:rsidR="00A97AF1" w:rsidRPr="00F621C0" w14:paraId="6EA31873" w14:textId="77777777" w:rsidTr="0075351C">
        <w:trPr>
          <w:gridAfter w:val="1"/>
          <w:wAfter w:w="16" w:type="pct"/>
        </w:trPr>
        <w:tc>
          <w:tcPr>
            <w:tcW w:w="1742" w:type="pct"/>
            <w:gridSpan w:val="3"/>
            <w:tcBorders>
              <w:top w:val="single" w:sz="4" w:space="0" w:color="auto"/>
              <w:bottom w:val="single" w:sz="4" w:space="0" w:color="auto"/>
            </w:tcBorders>
            <w:vAlign w:val="center"/>
          </w:tcPr>
          <w:p w14:paraId="76E3F254" w14:textId="77777777" w:rsidR="00A97AF1" w:rsidRPr="00F621C0" w:rsidRDefault="00A97AF1" w:rsidP="0075351C">
            <w:pPr>
              <w:jc w:val="center"/>
              <w:rPr>
                <w:rFonts w:ascii="Arial" w:hAnsi="Arial" w:cs="Arial"/>
                <w:b/>
                <w:bCs/>
                <w:smallCaps/>
                <w:color w:val="000000"/>
                <w:sz w:val="20"/>
                <w:szCs w:val="20"/>
                <w:highlight w:val="green"/>
              </w:rPr>
            </w:pPr>
          </w:p>
        </w:tc>
        <w:tc>
          <w:tcPr>
            <w:tcW w:w="3242" w:type="pct"/>
            <w:gridSpan w:val="4"/>
            <w:tcBorders>
              <w:top w:val="single" w:sz="4" w:space="0" w:color="auto"/>
              <w:bottom w:val="single" w:sz="4" w:space="0" w:color="auto"/>
            </w:tcBorders>
          </w:tcPr>
          <w:p w14:paraId="21D47542" w14:textId="77777777" w:rsidR="00A97AF1" w:rsidRPr="00F621C0" w:rsidRDefault="00A97AF1" w:rsidP="0075351C">
            <w:pPr>
              <w:jc w:val="both"/>
              <w:rPr>
                <w:rFonts w:ascii="Arial" w:hAnsi="Arial" w:cs="Arial"/>
                <w:sz w:val="20"/>
                <w:szCs w:val="20"/>
                <w:highlight w:val="yellow"/>
              </w:rPr>
            </w:pPr>
          </w:p>
        </w:tc>
      </w:tr>
      <w:tr w:rsidR="00A97AF1" w:rsidRPr="00F621C0" w14:paraId="0219159D" w14:textId="77777777" w:rsidTr="0075351C">
        <w:trPr>
          <w:gridAfter w:val="1"/>
          <w:wAfter w:w="16" w:type="pct"/>
        </w:trPr>
        <w:tc>
          <w:tcPr>
            <w:tcW w:w="1742" w:type="pct"/>
            <w:gridSpan w:val="3"/>
            <w:tcBorders>
              <w:top w:val="single" w:sz="4" w:space="0" w:color="auto"/>
              <w:bottom w:val="single" w:sz="4" w:space="0" w:color="auto"/>
            </w:tcBorders>
            <w:vAlign w:val="center"/>
          </w:tcPr>
          <w:p w14:paraId="01EDEBD1" w14:textId="77777777" w:rsidR="00A97AF1" w:rsidRPr="00F621C0" w:rsidRDefault="00A97AF1" w:rsidP="00A97AF1">
            <w:pPr>
              <w:pStyle w:val="PargrafodaLista"/>
              <w:numPr>
                <w:ilvl w:val="1"/>
                <w:numId w:val="36"/>
              </w:numPr>
              <w:ind w:left="0" w:firstLine="0"/>
              <w:jc w:val="center"/>
              <w:rPr>
                <w:rFonts w:ascii="Arial" w:hAnsi="Arial" w:cs="Arial"/>
                <w:b/>
                <w:bCs/>
                <w:smallCaps/>
                <w:color w:val="000000"/>
              </w:rPr>
            </w:pPr>
            <w:r w:rsidRPr="00F621C0">
              <w:rPr>
                <w:rFonts w:ascii="Arial" w:hAnsi="Arial" w:cs="Arial"/>
                <w:b/>
                <w:bCs/>
                <w:smallCaps/>
                <w:color w:val="000000"/>
              </w:rPr>
              <w:t>Recusa de Aplicações</w:t>
            </w:r>
          </w:p>
        </w:tc>
        <w:tc>
          <w:tcPr>
            <w:tcW w:w="3242" w:type="pct"/>
            <w:gridSpan w:val="4"/>
            <w:tcBorders>
              <w:top w:val="single" w:sz="4" w:space="0" w:color="auto"/>
              <w:bottom w:val="single" w:sz="4" w:space="0" w:color="auto"/>
            </w:tcBorders>
          </w:tcPr>
          <w:p w14:paraId="1F7C641B" w14:textId="77777777" w:rsidR="00A97AF1" w:rsidRPr="00F621C0" w:rsidRDefault="00A97AF1" w:rsidP="0075351C">
            <w:pPr>
              <w:jc w:val="both"/>
              <w:rPr>
                <w:rFonts w:ascii="Arial" w:hAnsi="Arial" w:cs="Arial"/>
                <w:sz w:val="20"/>
                <w:szCs w:val="20"/>
                <w:highlight w:val="yellow"/>
              </w:rPr>
            </w:pPr>
            <w:r w:rsidRPr="00F621C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97AF1" w:rsidRPr="00F621C0" w14:paraId="6D956DBF" w14:textId="77777777" w:rsidTr="0075351C">
        <w:trPr>
          <w:gridAfter w:val="1"/>
          <w:wAfter w:w="16" w:type="pct"/>
        </w:trPr>
        <w:tc>
          <w:tcPr>
            <w:tcW w:w="1742" w:type="pct"/>
            <w:gridSpan w:val="3"/>
            <w:tcBorders>
              <w:top w:val="single" w:sz="4" w:space="0" w:color="auto"/>
              <w:bottom w:val="single" w:sz="4" w:space="0" w:color="auto"/>
            </w:tcBorders>
            <w:vAlign w:val="center"/>
          </w:tcPr>
          <w:p w14:paraId="175EDC30" w14:textId="77777777" w:rsidR="00A97AF1" w:rsidRPr="00F621C0" w:rsidRDefault="00A97AF1" w:rsidP="0075351C">
            <w:pPr>
              <w:jc w:val="center"/>
              <w:rPr>
                <w:rFonts w:ascii="Arial" w:hAnsi="Arial" w:cs="Arial"/>
                <w:b/>
                <w:bCs/>
                <w:smallCaps/>
                <w:color w:val="000000"/>
                <w:sz w:val="20"/>
                <w:szCs w:val="20"/>
              </w:rPr>
            </w:pPr>
          </w:p>
        </w:tc>
        <w:tc>
          <w:tcPr>
            <w:tcW w:w="3242" w:type="pct"/>
            <w:gridSpan w:val="4"/>
            <w:tcBorders>
              <w:top w:val="single" w:sz="4" w:space="0" w:color="auto"/>
              <w:bottom w:val="single" w:sz="4" w:space="0" w:color="auto"/>
            </w:tcBorders>
          </w:tcPr>
          <w:p w14:paraId="2D31E11A" w14:textId="77777777" w:rsidR="00A97AF1" w:rsidRPr="00F621C0" w:rsidRDefault="00A97AF1" w:rsidP="0075351C">
            <w:pPr>
              <w:jc w:val="both"/>
              <w:rPr>
                <w:rFonts w:ascii="Arial" w:hAnsi="Arial" w:cs="Arial"/>
                <w:sz w:val="20"/>
                <w:szCs w:val="20"/>
              </w:rPr>
            </w:pPr>
          </w:p>
        </w:tc>
      </w:tr>
      <w:tr w:rsidR="00A97AF1" w:rsidRPr="00F621C0" w14:paraId="1F87E9B1" w14:textId="77777777" w:rsidTr="0075351C">
        <w:trPr>
          <w:gridAfter w:val="1"/>
          <w:wAfter w:w="16" w:type="pct"/>
        </w:trPr>
        <w:tc>
          <w:tcPr>
            <w:tcW w:w="1742" w:type="pct"/>
            <w:gridSpan w:val="3"/>
            <w:tcBorders>
              <w:top w:val="single" w:sz="4" w:space="0" w:color="auto"/>
              <w:bottom w:val="single" w:sz="4" w:space="0" w:color="auto"/>
            </w:tcBorders>
            <w:vAlign w:val="center"/>
          </w:tcPr>
          <w:p w14:paraId="18A02749" w14:textId="77777777" w:rsidR="00A97AF1" w:rsidRPr="00F621C0" w:rsidRDefault="00A97AF1" w:rsidP="00A97AF1">
            <w:pPr>
              <w:pStyle w:val="PargrafodaLista"/>
              <w:numPr>
                <w:ilvl w:val="1"/>
                <w:numId w:val="36"/>
              </w:numPr>
              <w:ind w:left="0" w:firstLine="0"/>
              <w:jc w:val="center"/>
              <w:rPr>
                <w:rFonts w:ascii="Arial" w:hAnsi="Arial" w:cs="Arial"/>
                <w:b/>
                <w:bCs/>
              </w:rPr>
            </w:pPr>
            <w:r w:rsidRPr="00F621C0">
              <w:rPr>
                <w:rFonts w:ascii="Arial" w:hAnsi="Arial" w:cs="Arial"/>
                <w:b/>
                <w:bCs/>
                <w:smallCaps/>
                <w:color w:val="000000"/>
              </w:rPr>
              <w:t>Atraso no Pagamento de Resgates</w:t>
            </w:r>
          </w:p>
        </w:tc>
        <w:tc>
          <w:tcPr>
            <w:tcW w:w="3242" w:type="pct"/>
            <w:gridSpan w:val="4"/>
            <w:tcBorders>
              <w:top w:val="single" w:sz="4" w:space="0" w:color="auto"/>
              <w:bottom w:val="single" w:sz="4" w:space="0" w:color="auto"/>
            </w:tcBorders>
          </w:tcPr>
          <w:p w14:paraId="530FC867"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Será devida ao Cotista uma multa de 0,5% (cinquenta centésimos por cento)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A97AF1" w:rsidRPr="00F621C0" w14:paraId="4C9ADD69" w14:textId="77777777" w:rsidTr="0075351C">
        <w:trPr>
          <w:gridAfter w:val="1"/>
          <w:wAfter w:w="16" w:type="pct"/>
        </w:trPr>
        <w:tc>
          <w:tcPr>
            <w:tcW w:w="1742" w:type="pct"/>
            <w:gridSpan w:val="3"/>
            <w:tcBorders>
              <w:top w:val="single" w:sz="4" w:space="0" w:color="auto"/>
              <w:bottom w:val="single" w:sz="4" w:space="0" w:color="auto"/>
            </w:tcBorders>
            <w:vAlign w:val="center"/>
          </w:tcPr>
          <w:p w14:paraId="3C1CEFB6" w14:textId="77777777" w:rsidR="00A97AF1" w:rsidRPr="00F621C0" w:rsidRDefault="00A97AF1" w:rsidP="0075351C">
            <w:pPr>
              <w:pStyle w:val="PargrafodaLista"/>
              <w:ind w:left="0"/>
              <w:rPr>
                <w:rFonts w:ascii="Arial" w:hAnsi="Arial" w:cs="Arial"/>
                <w:b/>
                <w:bCs/>
                <w:smallCaps/>
                <w:color w:val="000000"/>
              </w:rPr>
            </w:pPr>
          </w:p>
        </w:tc>
        <w:tc>
          <w:tcPr>
            <w:tcW w:w="3242" w:type="pct"/>
            <w:gridSpan w:val="4"/>
            <w:tcBorders>
              <w:top w:val="single" w:sz="4" w:space="0" w:color="auto"/>
              <w:bottom w:val="single" w:sz="4" w:space="0" w:color="auto"/>
            </w:tcBorders>
          </w:tcPr>
          <w:p w14:paraId="3D24ECBD" w14:textId="77777777" w:rsidR="00A97AF1" w:rsidRPr="00F621C0" w:rsidRDefault="00A97AF1" w:rsidP="0075351C">
            <w:pPr>
              <w:jc w:val="both"/>
              <w:rPr>
                <w:rFonts w:ascii="Arial" w:hAnsi="Arial" w:cs="Arial"/>
                <w:sz w:val="20"/>
                <w:szCs w:val="20"/>
              </w:rPr>
            </w:pPr>
          </w:p>
        </w:tc>
      </w:tr>
      <w:tr w:rsidR="00A97AF1" w:rsidRPr="00F621C0" w14:paraId="0FE6618F" w14:textId="77777777" w:rsidTr="0075351C">
        <w:tblPrEx>
          <w:jc w:val="center"/>
          <w:tblInd w:w="0" w:type="dxa"/>
        </w:tblPrEx>
        <w:trPr>
          <w:gridAfter w:val="1"/>
          <w:wAfter w:w="17" w:type="pct"/>
          <w:jc w:val="center"/>
        </w:trPr>
        <w:tc>
          <w:tcPr>
            <w:tcW w:w="4980" w:type="pct"/>
            <w:gridSpan w:val="7"/>
            <w:shd w:val="clear" w:color="auto" w:fill="C00000"/>
          </w:tcPr>
          <w:p w14:paraId="6C2CDB4F" w14:textId="77777777" w:rsidR="00A97AF1" w:rsidRPr="00F621C0" w:rsidRDefault="00A97AF1" w:rsidP="00A97AF1">
            <w:pPr>
              <w:pStyle w:val="PargrafodaLista"/>
              <w:numPr>
                <w:ilvl w:val="0"/>
                <w:numId w:val="7"/>
              </w:numPr>
              <w:ind w:left="0" w:firstLine="0"/>
              <w:jc w:val="center"/>
              <w:rPr>
                <w:rFonts w:ascii="Arial" w:hAnsi="Arial" w:cs="Arial"/>
                <w:b/>
                <w:bCs/>
                <w:color w:val="FFFFFF" w:themeColor="background1"/>
              </w:rPr>
            </w:pPr>
            <w:r w:rsidRPr="00F621C0">
              <w:rPr>
                <w:rFonts w:ascii="Arial" w:hAnsi="Arial" w:cs="Arial"/>
                <w:b/>
                <w:bCs/>
                <w:color w:val="FFFFFF" w:themeColor="background1"/>
              </w:rPr>
              <w:t>PATRIMÔNIO LÍQUIDO NEGATIVO</w:t>
            </w:r>
          </w:p>
        </w:tc>
      </w:tr>
      <w:tr w:rsidR="00A97AF1" w:rsidRPr="00F621C0" w14:paraId="25AAEF3E" w14:textId="77777777" w:rsidTr="0075351C">
        <w:tblPrEx>
          <w:jc w:val="center"/>
          <w:tblInd w:w="0" w:type="dxa"/>
        </w:tblPrEx>
        <w:trPr>
          <w:gridAfter w:val="1"/>
          <w:wAfter w:w="17" w:type="pct"/>
          <w:jc w:val="center"/>
        </w:trPr>
        <w:tc>
          <w:tcPr>
            <w:tcW w:w="1448" w:type="pct"/>
            <w:gridSpan w:val="2"/>
            <w:tcBorders>
              <w:bottom w:val="single" w:sz="4" w:space="0" w:color="auto"/>
            </w:tcBorders>
            <w:vAlign w:val="center"/>
          </w:tcPr>
          <w:p w14:paraId="1439682B" w14:textId="77777777" w:rsidR="00A97AF1" w:rsidRPr="00F621C0" w:rsidRDefault="00A97AF1" w:rsidP="0075351C">
            <w:pPr>
              <w:jc w:val="center"/>
              <w:rPr>
                <w:rFonts w:ascii="Arial" w:hAnsi="Arial" w:cs="Arial"/>
                <w:b/>
                <w:bCs/>
                <w:sz w:val="20"/>
                <w:szCs w:val="20"/>
              </w:rPr>
            </w:pPr>
          </w:p>
        </w:tc>
        <w:tc>
          <w:tcPr>
            <w:tcW w:w="3532" w:type="pct"/>
            <w:gridSpan w:val="5"/>
            <w:tcBorders>
              <w:bottom w:val="single" w:sz="4" w:space="0" w:color="auto"/>
            </w:tcBorders>
          </w:tcPr>
          <w:p w14:paraId="795DFC74" w14:textId="77777777" w:rsidR="00A97AF1" w:rsidRPr="00F621C0" w:rsidRDefault="00A97AF1" w:rsidP="0075351C">
            <w:pPr>
              <w:rPr>
                <w:rFonts w:ascii="Arial" w:hAnsi="Arial" w:cs="Arial"/>
                <w:sz w:val="20"/>
                <w:szCs w:val="20"/>
              </w:rPr>
            </w:pPr>
          </w:p>
        </w:tc>
      </w:tr>
      <w:tr w:rsidR="00A97AF1" w:rsidRPr="00F621C0" w14:paraId="7453BDDA" w14:textId="77777777" w:rsidTr="0075351C">
        <w:tblPrEx>
          <w:jc w:val="center"/>
          <w:tblInd w:w="0" w:type="dxa"/>
        </w:tblPrEx>
        <w:trPr>
          <w:gridAfter w:val="1"/>
          <w:wAfter w:w="17" w:type="pct"/>
          <w:jc w:val="center"/>
        </w:trPr>
        <w:tc>
          <w:tcPr>
            <w:tcW w:w="1377" w:type="pct"/>
            <w:tcBorders>
              <w:top w:val="single" w:sz="4" w:space="0" w:color="auto"/>
              <w:bottom w:val="single" w:sz="4" w:space="0" w:color="auto"/>
            </w:tcBorders>
            <w:vAlign w:val="center"/>
          </w:tcPr>
          <w:p w14:paraId="29A8F62A" w14:textId="77777777" w:rsidR="00A97AF1" w:rsidRPr="00F621C0" w:rsidRDefault="00A97AF1" w:rsidP="00A97AF1">
            <w:pPr>
              <w:pStyle w:val="PargrafodaLista"/>
              <w:numPr>
                <w:ilvl w:val="1"/>
                <w:numId w:val="7"/>
              </w:numPr>
              <w:ind w:left="0" w:firstLine="0"/>
              <w:contextualSpacing w:val="0"/>
              <w:jc w:val="center"/>
              <w:rPr>
                <w:rFonts w:ascii="Arial" w:hAnsi="Arial" w:cs="Arial"/>
                <w:smallCaps/>
              </w:rPr>
            </w:pPr>
            <w:r w:rsidRPr="00F621C0">
              <w:rPr>
                <w:rFonts w:ascii="Arial" w:hAnsi="Arial" w:cs="Arial"/>
                <w:b/>
                <w:smallCaps/>
                <w:color w:val="000000"/>
              </w:rPr>
              <w:t xml:space="preserve">Responsabilidade e Segregação Patrimonial </w:t>
            </w:r>
          </w:p>
        </w:tc>
        <w:tc>
          <w:tcPr>
            <w:tcW w:w="3603" w:type="pct"/>
            <w:gridSpan w:val="6"/>
            <w:tcBorders>
              <w:top w:val="single" w:sz="4" w:space="0" w:color="auto"/>
              <w:bottom w:val="single" w:sz="4" w:space="0" w:color="auto"/>
            </w:tcBorders>
          </w:tcPr>
          <w:p w14:paraId="51F87E87"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 patrimônio líquido da Classe Única estará negativo quando o seu passivo exigível for superior ao ativo total (“</w:t>
            </w:r>
            <w:r w:rsidRPr="00F621C0">
              <w:rPr>
                <w:rFonts w:ascii="Arial" w:hAnsi="Arial" w:cs="Arial"/>
                <w:sz w:val="20"/>
                <w:szCs w:val="20"/>
                <w:u w:val="single"/>
              </w:rPr>
              <w:t>Patrimônio Líquido Negativo</w:t>
            </w:r>
            <w:r w:rsidRPr="00F621C0">
              <w:rPr>
                <w:rFonts w:ascii="Arial" w:hAnsi="Arial" w:cs="Arial"/>
                <w:sz w:val="20"/>
                <w:szCs w:val="20"/>
              </w:rPr>
              <w:t xml:space="preserve">”). </w:t>
            </w:r>
          </w:p>
          <w:p w14:paraId="451ACFA5" w14:textId="77777777" w:rsidR="00A97AF1" w:rsidRPr="00F621C0" w:rsidRDefault="00A97AF1" w:rsidP="0075351C">
            <w:pPr>
              <w:jc w:val="both"/>
              <w:rPr>
                <w:rFonts w:ascii="Arial" w:hAnsi="Arial" w:cs="Arial"/>
                <w:sz w:val="20"/>
                <w:szCs w:val="20"/>
              </w:rPr>
            </w:pPr>
          </w:p>
          <w:p w14:paraId="309CB52C"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Nestas ocasiões, os credores da Classe Única não poderão recorrer ao patrimônio das demais Classes do Fundo (se houver) para satisfazerem as dívidas contraídas pela Classe Única, por força do regime de segregação patrimonial introduzido pelo Código Civil e regulamentada pela Resolução CVM 175, e nem poderão recorrer ao patrimônio pessoal dos Cotistas da Classe Única, posto que a responsabilidade destes é limitada ao valor por eles subscrito. Não há solidariedade ou qualquer outra forma de coobrigação entre classes do Fundo e/ou seus respectivos Cotistas</w:t>
            </w:r>
            <w:r w:rsidRPr="00F621C0">
              <w:rPr>
                <w:rFonts w:ascii="Arial" w:hAnsi="Arial" w:cs="Arial"/>
                <w:b/>
                <w:bCs/>
                <w:sz w:val="20"/>
                <w:szCs w:val="20"/>
              </w:rPr>
              <w:t>.</w:t>
            </w:r>
          </w:p>
          <w:p w14:paraId="06DF36B9" w14:textId="77777777" w:rsidR="00A97AF1" w:rsidRPr="00F621C0" w:rsidRDefault="00A97AF1" w:rsidP="0075351C">
            <w:pPr>
              <w:jc w:val="both"/>
              <w:rPr>
                <w:rFonts w:ascii="Arial" w:hAnsi="Arial" w:cs="Arial"/>
                <w:sz w:val="20"/>
                <w:szCs w:val="20"/>
              </w:rPr>
            </w:pPr>
          </w:p>
          <w:p w14:paraId="3C43139A"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Os Cotistas poderão, em âmbito de Assembleia Especial de Cotistas, aprovar um plano de resolução do Patrimônio Líquido Negativo ou deliberar quaisquer outras medidas previstas no art. 122 e seguintes da Resolução CVM 175, estando a Classe Única inclusive sujeita à insolvência.</w:t>
            </w:r>
          </w:p>
        </w:tc>
      </w:tr>
    </w:tbl>
    <w:p w14:paraId="4BA75C44"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97AF1" w:rsidRPr="00F621C0" w14:paraId="76808D7A" w14:textId="77777777" w:rsidTr="0075351C">
        <w:tc>
          <w:tcPr>
            <w:tcW w:w="5000" w:type="pct"/>
            <w:gridSpan w:val="3"/>
            <w:shd w:val="clear" w:color="auto" w:fill="C00000"/>
          </w:tcPr>
          <w:p w14:paraId="6E8B7125" w14:textId="77777777" w:rsidR="00A97AF1" w:rsidRPr="00F621C0" w:rsidRDefault="00A97AF1" w:rsidP="00A97AF1">
            <w:pPr>
              <w:pStyle w:val="PargrafodaLista"/>
              <w:numPr>
                <w:ilvl w:val="0"/>
                <w:numId w:val="7"/>
              </w:numPr>
              <w:ind w:left="0" w:firstLine="0"/>
              <w:jc w:val="center"/>
              <w:rPr>
                <w:rFonts w:ascii="Arial" w:hAnsi="Arial" w:cs="Arial"/>
                <w:b/>
                <w:bCs/>
                <w:color w:val="FFFFFF" w:themeColor="background1"/>
              </w:rPr>
            </w:pPr>
            <w:r w:rsidRPr="00F621C0">
              <w:rPr>
                <w:rFonts w:ascii="Arial" w:hAnsi="Arial" w:cs="Arial"/>
                <w:b/>
                <w:bCs/>
                <w:color w:val="FFFFFF" w:themeColor="background1"/>
              </w:rPr>
              <w:t>EVENTOS DE AVALIAÇÃO DO PATRIMÔNIO LÍQUIDO</w:t>
            </w:r>
          </w:p>
        </w:tc>
      </w:tr>
      <w:tr w:rsidR="00A97AF1" w:rsidRPr="00F621C0" w14:paraId="1B152444" w14:textId="77777777" w:rsidTr="0075351C">
        <w:tc>
          <w:tcPr>
            <w:tcW w:w="1786" w:type="pct"/>
            <w:gridSpan w:val="2"/>
            <w:tcBorders>
              <w:bottom w:val="single" w:sz="4" w:space="0" w:color="auto"/>
            </w:tcBorders>
            <w:vAlign w:val="center"/>
          </w:tcPr>
          <w:p w14:paraId="3CC07708" w14:textId="77777777" w:rsidR="00A97AF1" w:rsidRPr="00F621C0" w:rsidRDefault="00A97AF1" w:rsidP="0075351C">
            <w:pPr>
              <w:jc w:val="center"/>
              <w:rPr>
                <w:rFonts w:ascii="Arial" w:hAnsi="Arial" w:cs="Arial"/>
                <w:b/>
                <w:bCs/>
                <w:sz w:val="20"/>
                <w:szCs w:val="20"/>
              </w:rPr>
            </w:pPr>
          </w:p>
        </w:tc>
        <w:tc>
          <w:tcPr>
            <w:tcW w:w="3214" w:type="pct"/>
            <w:tcBorders>
              <w:bottom w:val="single" w:sz="4" w:space="0" w:color="auto"/>
            </w:tcBorders>
          </w:tcPr>
          <w:p w14:paraId="3EA35588" w14:textId="77777777" w:rsidR="00A97AF1" w:rsidRPr="00F621C0" w:rsidRDefault="00A97AF1" w:rsidP="0075351C">
            <w:pPr>
              <w:rPr>
                <w:rFonts w:ascii="Arial" w:hAnsi="Arial" w:cs="Arial"/>
                <w:sz w:val="20"/>
                <w:szCs w:val="20"/>
              </w:rPr>
            </w:pPr>
          </w:p>
        </w:tc>
      </w:tr>
      <w:tr w:rsidR="00A97AF1" w:rsidRPr="00F621C0" w14:paraId="787A8686" w14:textId="77777777" w:rsidTr="0075351C">
        <w:tc>
          <w:tcPr>
            <w:tcW w:w="1382" w:type="pct"/>
            <w:tcBorders>
              <w:bottom w:val="single" w:sz="4" w:space="0" w:color="auto"/>
            </w:tcBorders>
            <w:vAlign w:val="center"/>
          </w:tcPr>
          <w:p w14:paraId="151D00B9" w14:textId="77777777" w:rsidR="00A97AF1" w:rsidRPr="00F621C0" w:rsidRDefault="00A97AF1" w:rsidP="00A97AF1">
            <w:pPr>
              <w:pStyle w:val="PargrafodaLista"/>
              <w:numPr>
                <w:ilvl w:val="1"/>
                <w:numId w:val="7"/>
              </w:numPr>
              <w:ind w:left="0" w:firstLine="0"/>
              <w:jc w:val="center"/>
              <w:rPr>
                <w:rFonts w:ascii="Arial" w:hAnsi="Arial" w:cs="Arial"/>
                <w:b/>
                <w:bCs/>
                <w:smallCaps/>
              </w:rPr>
            </w:pPr>
            <w:r w:rsidRPr="00F621C0">
              <w:rPr>
                <w:rFonts w:ascii="Arial" w:hAnsi="Arial" w:cs="Arial"/>
                <w:b/>
                <w:bCs/>
                <w:smallCaps/>
              </w:rPr>
              <w:t>Eventos de Avaliação</w:t>
            </w:r>
          </w:p>
        </w:tc>
        <w:tc>
          <w:tcPr>
            <w:tcW w:w="3618" w:type="pct"/>
            <w:gridSpan w:val="2"/>
            <w:tcBorders>
              <w:bottom w:val="single" w:sz="4" w:space="0" w:color="auto"/>
            </w:tcBorders>
          </w:tcPr>
          <w:p w14:paraId="14B17FA5" w14:textId="77777777" w:rsidR="00A97AF1" w:rsidRPr="00F621C0" w:rsidRDefault="00A97AF1" w:rsidP="0075351C">
            <w:pPr>
              <w:ind w:left="-75"/>
              <w:jc w:val="both"/>
              <w:rPr>
                <w:rFonts w:ascii="Arial" w:hAnsi="Arial" w:cs="Arial"/>
                <w:sz w:val="20"/>
                <w:szCs w:val="20"/>
              </w:rPr>
            </w:pPr>
            <w:r w:rsidRPr="00F621C0">
              <w:rPr>
                <w:rFonts w:ascii="Arial" w:hAnsi="Arial" w:cs="Arial"/>
                <w:sz w:val="20"/>
                <w:szCs w:val="20"/>
              </w:rPr>
              <w:t>O Administrador está obrigado a verificar se o patrimônio líquido da Classe Única está negativo caso tenha ciência de qualquer pedido de declaração judicial de insolvência do patrimônio da Classe Única.</w:t>
            </w:r>
          </w:p>
        </w:tc>
      </w:tr>
    </w:tbl>
    <w:p w14:paraId="0F87BB9E"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7AF1" w:rsidRPr="00F621C0" w14:paraId="4A430AAA" w14:textId="77777777" w:rsidTr="0075351C">
        <w:tc>
          <w:tcPr>
            <w:tcW w:w="5000" w:type="pct"/>
            <w:gridSpan w:val="2"/>
            <w:shd w:val="clear" w:color="auto" w:fill="C00000"/>
          </w:tcPr>
          <w:p w14:paraId="65355677" w14:textId="77777777" w:rsidR="00A97AF1" w:rsidRPr="00F621C0" w:rsidRDefault="00A97AF1" w:rsidP="00A97AF1">
            <w:pPr>
              <w:pStyle w:val="PargrafodaLista"/>
              <w:numPr>
                <w:ilvl w:val="0"/>
                <w:numId w:val="7"/>
              </w:numPr>
              <w:ind w:left="0" w:firstLine="0"/>
              <w:jc w:val="center"/>
              <w:rPr>
                <w:rFonts w:ascii="Arial" w:hAnsi="Arial" w:cs="Arial"/>
                <w:b/>
                <w:bCs/>
                <w:color w:val="FFFFFF" w:themeColor="background1"/>
              </w:rPr>
            </w:pPr>
            <w:r w:rsidRPr="00F621C0">
              <w:rPr>
                <w:rFonts w:ascii="Arial" w:hAnsi="Arial" w:cs="Arial"/>
                <w:b/>
                <w:bCs/>
                <w:color w:val="FFFFFF" w:themeColor="background1"/>
              </w:rPr>
              <w:t>ASSEMBLEIA ESPECIAL DE COTISTAS</w:t>
            </w:r>
          </w:p>
        </w:tc>
      </w:tr>
      <w:tr w:rsidR="00A97AF1" w:rsidRPr="00F621C0" w14:paraId="6747AD0B" w14:textId="77777777" w:rsidTr="0075351C">
        <w:tc>
          <w:tcPr>
            <w:tcW w:w="1382" w:type="pct"/>
            <w:tcBorders>
              <w:bottom w:val="single" w:sz="4" w:space="0" w:color="auto"/>
            </w:tcBorders>
            <w:vAlign w:val="center"/>
          </w:tcPr>
          <w:p w14:paraId="08FD0A22" w14:textId="77777777" w:rsidR="00A97AF1" w:rsidRPr="00F621C0" w:rsidRDefault="00A97AF1" w:rsidP="0075351C">
            <w:pPr>
              <w:jc w:val="center"/>
              <w:rPr>
                <w:rFonts w:ascii="Arial" w:hAnsi="Arial" w:cs="Arial"/>
                <w:b/>
                <w:bCs/>
                <w:sz w:val="20"/>
                <w:szCs w:val="20"/>
              </w:rPr>
            </w:pPr>
          </w:p>
        </w:tc>
        <w:tc>
          <w:tcPr>
            <w:tcW w:w="3618" w:type="pct"/>
            <w:tcBorders>
              <w:bottom w:val="single" w:sz="4" w:space="0" w:color="auto"/>
            </w:tcBorders>
          </w:tcPr>
          <w:p w14:paraId="6E7A5CD1" w14:textId="77777777" w:rsidR="00A97AF1" w:rsidRPr="00F621C0" w:rsidRDefault="00A97AF1" w:rsidP="0075351C">
            <w:pPr>
              <w:rPr>
                <w:rFonts w:ascii="Arial" w:hAnsi="Arial" w:cs="Arial"/>
                <w:sz w:val="20"/>
                <w:szCs w:val="20"/>
              </w:rPr>
            </w:pPr>
          </w:p>
        </w:tc>
      </w:tr>
      <w:tr w:rsidR="00A97AF1" w:rsidRPr="00F621C0" w14:paraId="269FB5E8" w14:textId="77777777" w:rsidTr="0075351C">
        <w:tc>
          <w:tcPr>
            <w:tcW w:w="1382" w:type="pct"/>
            <w:tcBorders>
              <w:top w:val="single" w:sz="4" w:space="0" w:color="auto"/>
              <w:bottom w:val="single" w:sz="4" w:space="0" w:color="auto"/>
            </w:tcBorders>
            <w:vAlign w:val="center"/>
          </w:tcPr>
          <w:p w14:paraId="43C66739" w14:textId="77777777" w:rsidR="00A97AF1" w:rsidRPr="00F621C0" w:rsidRDefault="00A97AF1" w:rsidP="00A97AF1">
            <w:pPr>
              <w:pStyle w:val="PargrafodaLista"/>
              <w:numPr>
                <w:ilvl w:val="1"/>
                <w:numId w:val="7"/>
              </w:numPr>
              <w:ind w:left="0" w:firstLine="0"/>
              <w:jc w:val="center"/>
              <w:rPr>
                <w:rFonts w:ascii="Arial" w:hAnsi="Arial" w:cs="Arial"/>
                <w:b/>
                <w:bCs/>
              </w:rPr>
            </w:pPr>
            <w:r w:rsidRPr="00F621C0">
              <w:rPr>
                <w:rFonts w:ascii="Arial" w:hAnsi="Arial" w:cs="Arial"/>
                <w:b/>
                <w:bCs/>
                <w:smallCaps/>
              </w:rPr>
              <w:t>Competência</w:t>
            </w:r>
          </w:p>
        </w:tc>
        <w:tc>
          <w:tcPr>
            <w:tcW w:w="3618" w:type="pct"/>
            <w:tcBorders>
              <w:top w:val="single" w:sz="4" w:space="0" w:color="auto"/>
              <w:bottom w:val="single" w:sz="4" w:space="0" w:color="auto"/>
            </w:tcBorders>
          </w:tcPr>
          <w:p w14:paraId="2D72C296" w14:textId="77777777" w:rsidR="00A97AF1" w:rsidRPr="00F621C0" w:rsidRDefault="00A97AF1" w:rsidP="0075351C">
            <w:pPr>
              <w:jc w:val="both"/>
              <w:rPr>
                <w:rFonts w:ascii="Arial" w:hAnsi="Arial" w:cs="Arial"/>
                <w:sz w:val="20"/>
                <w:szCs w:val="20"/>
                <w:highlight w:val="yellow"/>
              </w:rPr>
            </w:pPr>
            <w:r w:rsidRPr="00F621C0">
              <w:rPr>
                <w:rFonts w:ascii="Arial" w:hAnsi="Arial" w:cs="Arial"/>
                <w:sz w:val="20"/>
                <w:szCs w:val="20"/>
              </w:rPr>
              <w:t>Compete à Assembleia de Cotistas do Fundo e de sua Classe Única, inclusive da Assembleia Especial de Cotistas do Fundo, deliberar pelas matérias indicadas na regulamentação em vigor e de cujo interesse seja exclusivo da Classe Única.</w:t>
            </w:r>
          </w:p>
        </w:tc>
      </w:tr>
      <w:tr w:rsidR="00A97AF1" w:rsidRPr="00F621C0" w14:paraId="495F8928" w14:textId="77777777" w:rsidTr="0075351C">
        <w:tc>
          <w:tcPr>
            <w:tcW w:w="1382" w:type="pct"/>
            <w:tcBorders>
              <w:top w:val="single" w:sz="4" w:space="0" w:color="auto"/>
              <w:bottom w:val="single" w:sz="4" w:space="0" w:color="auto"/>
            </w:tcBorders>
            <w:vAlign w:val="center"/>
          </w:tcPr>
          <w:p w14:paraId="58124EB6" w14:textId="77777777" w:rsidR="00A97AF1" w:rsidRPr="00F621C0" w:rsidRDefault="00A97AF1" w:rsidP="0075351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1627641" w14:textId="77777777" w:rsidR="00A97AF1" w:rsidRPr="00F621C0" w:rsidRDefault="00A97AF1" w:rsidP="0075351C">
            <w:pPr>
              <w:jc w:val="both"/>
              <w:rPr>
                <w:rFonts w:ascii="Arial" w:hAnsi="Arial" w:cs="Arial"/>
                <w:sz w:val="20"/>
                <w:szCs w:val="20"/>
              </w:rPr>
            </w:pPr>
          </w:p>
        </w:tc>
      </w:tr>
      <w:tr w:rsidR="00A97AF1" w:rsidRPr="00F621C0" w14:paraId="45ED821E" w14:textId="77777777" w:rsidTr="0075351C">
        <w:trPr>
          <w:trHeight w:val="64"/>
        </w:trPr>
        <w:tc>
          <w:tcPr>
            <w:tcW w:w="1382" w:type="pct"/>
            <w:tcBorders>
              <w:top w:val="single" w:sz="4" w:space="0" w:color="auto"/>
              <w:bottom w:val="single" w:sz="4" w:space="0" w:color="auto"/>
            </w:tcBorders>
            <w:vAlign w:val="center"/>
          </w:tcPr>
          <w:p w14:paraId="711DB2CC" w14:textId="77777777" w:rsidR="00A97AF1" w:rsidRPr="00F621C0" w:rsidRDefault="00A97AF1" w:rsidP="00A97AF1">
            <w:pPr>
              <w:pStyle w:val="PargrafodaLista"/>
              <w:numPr>
                <w:ilvl w:val="1"/>
                <w:numId w:val="7"/>
              </w:numPr>
              <w:ind w:left="0" w:firstLine="0"/>
              <w:jc w:val="center"/>
              <w:rPr>
                <w:rFonts w:ascii="Arial" w:hAnsi="Arial" w:cs="Arial"/>
                <w:b/>
                <w:bCs/>
                <w:smallCaps/>
              </w:rPr>
            </w:pPr>
            <w:r w:rsidRPr="00F621C0">
              <w:rPr>
                <w:rFonts w:ascii="Arial" w:hAnsi="Arial" w:cs="Arial"/>
                <w:b/>
                <w:bCs/>
                <w:smallCaps/>
              </w:rPr>
              <w:t>Quóruns</w:t>
            </w:r>
          </w:p>
        </w:tc>
        <w:tc>
          <w:tcPr>
            <w:tcW w:w="3618" w:type="pct"/>
            <w:tcBorders>
              <w:top w:val="single" w:sz="4" w:space="0" w:color="auto"/>
              <w:bottom w:val="single" w:sz="4" w:space="0" w:color="auto"/>
            </w:tcBorders>
          </w:tcPr>
          <w:p w14:paraId="1B613233"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As deliberações da Assembleia Especial de Cotistas serão realizadas de acordo com as matérias e quóruns previstos na Resolução CVM 175, sendo tais deliberações tomadas pela maioria dos presentes, exceto em relação às deliberações abaixo, que serão tomadas considerando as Cotas emitidas do Fundo e de sua Classe Única:</w:t>
            </w:r>
          </w:p>
          <w:p w14:paraId="7ACF8C31" w14:textId="77777777" w:rsidR="00A97AF1" w:rsidRPr="00F621C0" w:rsidRDefault="00A97AF1" w:rsidP="0075351C">
            <w:pPr>
              <w:jc w:val="both"/>
              <w:rPr>
                <w:rFonts w:ascii="Arial" w:hAnsi="Arial" w:cs="Arial"/>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8"/>
              <w:gridCol w:w="3599"/>
            </w:tblGrid>
            <w:tr w:rsidR="00A97AF1" w:rsidRPr="00F621C0" w14:paraId="4D2EE8F0" w14:textId="77777777" w:rsidTr="0075351C">
              <w:tc>
                <w:tcPr>
                  <w:tcW w:w="2457" w:type="pct"/>
                  <w:shd w:val="clear" w:color="auto" w:fill="D9D9D9" w:themeFill="background1" w:themeFillShade="D9"/>
                </w:tcPr>
                <w:p w14:paraId="07422073" w14:textId="77777777" w:rsidR="00A97AF1" w:rsidRPr="00F621C0" w:rsidRDefault="00A97AF1" w:rsidP="0075351C">
                  <w:pPr>
                    <w:jc w:val="center"/>
                    <w:rPr>
                      <w:rFonts w:ascii="Arial" w:hAnsi="Arial" w:cs="Arial"/>
                      <w:b/>
                      <w:bCs/>
                    </w:rPr>
                  </w:pPr>
                  <w:r w:rsidRPr="00F621C0">
                    <w:rPr>
                      <w:rFonts w:ascii="Arial" w:hAnsi="Arial" w:cs="Arial"/>
                      <w:b/>
                      <w:bCs/>
                    </w:rPr>
                    <w:t>Deliberação sobre</w:t>
                  </w:r>
                </w:p>
              </w:tc>
              <w:tc>
                <w:tcPr>
                  <w:tcW w:w="2543" w:type="pct"/>
                  <w:shd w:val="clear" w:color="auto" w:fill="D9D9D9" w:themeFill="background1" w:themeFillShade="D9"/>
                </w:tcPr>
                <w:p w14:paraId="0EE39DF1" w14:textId="77777777" w:rsidR="00A97AF1" w:rsidRPr="00F621C0" w:rsidRDefault="00A97AF1" w:rsidP="0075351C">
                  <w:pPr>
                    <w:jc w:val="center"/>
                    <w:rPr>
                      <w:rFonts w:ascii="Arial" w:hAnsi="Arial" w:cs="Arial"/>
                      <w:b/>
                      <w:bCs/>
                    </w:rPr>
                  </w:pPr>
                  <w:r w:rsidRPr="00F621C0">
                    <w:rPr>
                      <w:rFonts w:ascii="Arial" w:hAnsi="Arial" w:cs="Arial"/>
                      <w:b/>
                      <w:bCs/>
                    </w:rPr>
                    <w:t>Quórum de Aprovação</w:t>
                  </w:r>
                </w:p>
              </w:tc>
            </w:tr>
            <w:tr w:rsidR="00A97AF1" w:rsidRPr="00F621C0" w14:paraId="0A844E17" w14:textId="77777777" w:rsidTr="0075351C">
              <w:tc>
                <w:tcPr>
                  <w:tcW w:w="2457" w:type="pct"/>
                </w:tcPr>
                <w:p w14:paraId="1BAB167B" w14:textId="77777777" w:rsidR="00A97AF1" w:rsidRPr="00F621C0" w:rsidRDefault="00A97AF1" w:rsidP="00A97AF1">
                  <w:pPr>
                    <w:pStyle w:val="PargrafodaLista"/>
                    <w:numPr>
                      <w:ilvl w:val="0"/>
                      <w:numId w:val="32"/>
                    </w:numPr>
                    <w:spacing w:after="160" w:line="259" w:lineRule="auto"/>
                    <w:ind w:left="0" w:firstLine="0"/>
                    <w:jc w:val="both"/>
                    <w:rPr>
                      <w:rFonts w:ascii="Arial" w:hAnsi="Arial" w:cs="Arial"/>
                    </w:rPr>
                  </w:pPr>
                  <w:r w:rsidRPr="00F621C0">
                    <w:rPr>
                      <w:rFonts w:ascii="Arial" w:hAnsi="Arial" w:cs="Arial"/>
                    </w:rPr>
                    <w:t>liquidação do Fundo antes do término do Prazo de Duração por iniciativa dos Cotistas;</w:t>
                  </w:r>
                </w:p>
              </w:tc>
              <w:tc>
                <w:tcPr>
                  <w:tcW w:w="2543" w:type="pct"/>
                </w:tcPr>
                <w:p w14:paraId="0D8A379E" w14:textId="77777777" w:rsidR="00A97AF1" w:rsidRPr="00F621C0" w:rsidRDefault="00A97AF1" w:rsidP="0075351C">
                  <w:pPr>
                    <w:jc w:val="both"/>
                    <w:rPr>
                      <w:rFonts w:ascii="Arial" w:hAnsi="Arial" w:cs="Arial"/>
                    </w:rPr>
                  </w:pPr>
                  <w:r w:rsidRPr="00F621C0">
                    <w:rPr>
                      <w:rFonts w:ascii="Arial" w:hAnsi="Arial" w:cs="Arial"/>
                    </w:rPr>
                    <w:t>maior ou igual a 75% das Cotas emitidas</w:t>
                  </w:r>
                </w:p>
              </w:tc>
            </w:tr>
            <w:tr w:rsidR="00A97AF1" w:rsidRPr="00F621C0" w14:paraId="4D5061AA" w14:textId="77777777" w:rsidTr="0075351C">
              <w:tc>
                <w:tcPr>
                  <w:tcW w:w="2457" w:type="pct"/>
                </w:tcPr>
                <w:p w14:paraId="10B489D9" w14:textId="77777777" w:rsidR="00A97AF1" w:rsidRPr="00F621C0" w:rsidRDefault="00A97AF1" w:rsidP="00A97AF1">
                  <w:pPr>
                    <w:pStyle w:val="PargrafodaLista"/>
                    <w:numPr>
                      <w:ilvl w:val="0"/>
                      <w:numId w:val="32"/>
                    </w:numPr>
                    <w:spacing w:after="160" w:line="259" w:lineRule="auto"/>
                    <w:ind w:left="0" w:firstLine="0"/>
                    <w:jc w:val="both"/>
                    <w:rPr>
                      <w:rFonts w:ascii="Arial" w:hAnsi="Arial" w:cs="Arial"/>
                    </w:rPr>
                  </w:pPr>
                  <w:r w:rsidRPr="00F621C0">
                    <w:rPr>
                      <w:rFonts w:ascii="Arial" w:hAnsi="Arial" w:cs="Arial"/>
                    </w:rPr>
                    <w:t xml:space="preserve">alterações deste Regulamento e/ou outras deliberações que impeçam ou prejudiquem o funcionamento da Estrutura </w:t>
                  </w:r>
                  <w:r w:rsidRPr="00F621C0">
                    <w:rPr>
                      <w:rFonts w:ascii="Arial" w:hAnsi="Arial" w:cs="Arial"/>
                      <w:i/>
                      <w:iCs/>
                    </w:rPr>
                    <w:t>Side by Side</w:t>
                  </w:r>
                  <w:r w:rsidRPr="00F621C0">
                    <w:rPr>
                      <w:rFonts w:ascii="Arial" w:hAnsi="Arial" w:cs="Arial"/>
                    </w:rPr>
                    <w:t xml:space="preserve">, incluindo, sem se limitar a, o Mecanismo de Aporte Automático, o Aporte de Liquidez, o mandato irrevogável outorgado ao Administrador e ao Distribuidor no âmbito da Estrutura </w:t>
                  </w:r>
                  <w:r w:rsidRPr="00F621C0">
                    <w:rPr>
                      <w:rFonts w:ascii="Arial" w:hAnsi="Arial" w:cs="Arial"/>
                      <w:i/>
                      <w:iCs/>
                    </w:rPr>
                    <w:t>Side by Side</w:t>
                  </w:r>
                  <w:r w:rsidRPr="00F621C0">
                    <w:rPr>
                      <w:rFonts w:ascii="Arial" w:hAnsi="Arial" w:cs="Arial"/>
                    </w:rPr>
                    <w:t>, bem como todas as demais disposições constantes do item 6.2 deste Anexo;</w:t>
                  </w:r>
                </w:p>
              </w:tc>
              <w:tc>
                <w:tcPr>
                  <w:tcW w:w="2543" w:type="pct"/>
                </w:tcPr>
                <w:p w14:paraId="7918F3DD" w14:textId="77777777" w:rsidR="00A97AF1" w:rsidRPr="00F621C0" w:rsidRDefault="00A97AF1" w:rsidP="0075351C">
                  <w:pPr>
                    <w:jc w:val="both"/>
                    <w:rPr>
                      <w:rFonts w:ascii="Arial" w:hAnsi="Arial" w:cs="Arial"/>
                    </w:rPr>
                  </w:pPr>
                  <w:r w:rsidRPr="00F621C0">
                    <w:rPr>
                      <w:rFonts w:ascii="Arial" w:hAnsi="Arial" w:cs="Arial"/>
                    </w:rPr>
                    <w:t>maior ou igual a 75% das Cotas emitidas</w:t>
                  </w:r>
                </w:p>
              </w:tc>
            </w:tr>
            <w:tr w:rsidR="00A97AF1" w:rsidRPr="00F621C0" w14:paraId="01DBE4B4" w14:textId="77777777" w:rsidTr="0075351C">
              <w:tc>
                <w:tcPr>
                  <w:tcW w:w="2457" w:type="pct"/>
                </w:tcPr>
                <w:p w14:paraId="1FBFA4AE" w14:textId="77777777" w:rsidR="00A97AF1" w:rsidRPr="00F621C0" w:rsidRDefault="00A97AF1" w:rsidP="00A97AF1">
                  <w:pPr>
                    <w:pStyle w:val="PargrafodaLista"/>
                    <w:numPr>
                      <w:ilvl w:val="0"/>
                      <w:numId w:val="32"/>
                    </w:numPr>
                    <w:spacing w:after="160" w:line="259" w:lineRule="auto"/>
                    <w:ind w:left="0" w:firstLine="0"/>
                    <w:jc w:val="both"/>
                    <w:rPr>
                      <w:rFonts w:ascii="Arial" w:hAnsi="Arial" w:cs="Arial"/>
                    </w:rPr>
                  </w:pPr>
                  <w:r w:rsidRPr="00F621C0">
                    <w:rPr>
                      <w:rFonts w:ascii="Arial" w:hAnsi="Arial" w:cs="Arial"/>
                    </w:rPr>
                    <w:t xml:space="preserve">a orientação de voto sobre a destituição </w:t>
                  </w:r>
                  <w:r w:rsidRPr="00F621C0">
                    <w:rPr>
                      <w:rFonts w:ascii="Arial" w:hAnsi="Arial" w:cs="Arial"/>
                      <w:u w:val="single"/>
                    </w:rPr>
                    <w:t>sem</w:t>
                  </w:r>
                  <w:r w:rsidRPr="00F621C0">
                    <w:rPr>
                      <w:rFonts w:ascii="Arial" w:hAnsi="Arial" w:cs="Arial"/>
                    </w:rPr>
                    <w:t xml:space="preserve"> justa causa do gestor do FIP Vinci, ou quaisquer alterações nas regras de substituição do Gestor e/ou do Administrador do FIP Vinci, incluindo as definições de Justa Causa e Renúncia Motivada, no âmbito de assembleia do FIP Vinci para este fim;</w:t>
                  </w:r>
                </w:p>
              </w:tc>
              <w:tc>
                <w:tcPr>
                  <w:tcW w:w="2543" w:type="pct"/>
                </w:tcPr>
                <w:p w14:paraId="161D6C99" w14:textId="77777777" w:rsidR="00A97AF1" w:rsidRPr="00F621C0" w:rsidRDefault="00A97AF1" w:rsidP="0075351C">
                  <w:pPr>
                    <w:jc w:val="both"/>
                    <w:rPr>
                      <w:rFonts w:ascii="Arial" w:hAnsi="Arial" w:cs="Arial"/>
                    </w:rPr>
                  </w:pPr>
                  <w:r w:rsidRPr="00F621C0">
                    <w:rPr>
                      <w:rFonts w:ascii="Arial" w:hAnsi="Arial" w:cs="Arial"/>
                    </w:rPr>
                    <w:t>maior ou igual a 90% das Cotas emitidas</w:t>
                  </w:r>
                </w:p>
              </w:tc>
            </w:tr>
            <w:tr w:rsidR="00A97AF1" w:rsidRPr="00F621C0" w14:paraId="5BF15094" w14:textId="77777777" w:rsidTr="0075351C">
              <w:tc>
                <w:tcPr>
                  <w:tcW w:w="2457" w:type="pct"/>
                </w:tcPr>
                <w:p w14:paraId="6BE18CED" w14:textId="77777777" w:rsidR="00A97AF1" w:rsidRPr="00F621C0" w:rsidRDefault="00A97AF1" w:rsidP="00A97AF1">
                  <w:pPr>
                    <w:pStyle w:val="PargrafodaLista"/>
                    <w:numPr>
                      <w:ilvl w:val="0"/>
                      <w:numId w:val="32"/>
                    </w:numPr>
                    <w:spacing w:after="160" w:line="259" w:lineRule="auto"/>
                    <w:ind w:left="0" w:firstLine="0"/>
                    <w:jc w:val="both"/>
                    <w:rPr>
                      <w:rFonts w:ascii="Arial" w:hAnsi="Arial" w:cs="Arial"/>
                    </w:rPr>
                  </w:pPr>
                  <w:r w:rsidRPr="00F621C0">
                    <w:rPr>
                      <w:rFonts w:ascii="Arial" w:hAnsi="Arial" w:cs="Arial"/>
                    </w:rPr>
                    <w:t xml:space="preserve">a orientação de voto sobre a destituição </w:t>
                  </w:r>
                  <w:r w:rsidRPr="00F621C0">
                    <w:rPr>
                      <w:rFonts w:ascii="Arial" w:hAnsi="Arial" w:cs="Arial"/>
                      <w:u w:val="single"/>
                    </w:rPr>
                    <w:t>com</w:t>
                  </w:r>
                  <w:r w:rsidRPr="00F621C0">
                    <w:rPr>
                      <w:rFonts w:ascii="Arial" w:hAnsi="Arial" w:cs="Arial"/>
                    </w:rPr>
                    <w:t xml:space="preserve"> justa causa do gestor do FIP Vinci no âmbito de assembleia do FIP Vinci para este fim;</w:t>
                  </w:r>
                </w:p>
              </w:tc>
              <w:tc>
                <w:tcPr>
                  <w:tcW w:w="2543" w:type="pct"/>
                </w:tcPr>
                <w:p w14:paraId="46E86180" w14:textId="77777777" w:rsidR="00A97AF1" w:rsidRPr="00F621C0" w:rsidRDefault="00A97AF1" w:rsidP="0075351C">
                  <w:pPr>
                    <w:jc w:val="both"/>
                    <w:rPr>
                      <w:rFonts w:ascii="Arial" w:hAnsi="Arial" w:cs="Arial"/>
                    </w:rPr>
                  </w:pPr>
                  <w:r w:rsidRPr="00F621C0">
                    <w:rPr>
                      <w:rFonts w:ascii="Arial" w:hAnsi="Arial" w:cs="Arial"/>
                    </w:rPr>
                    <w:t>maior ou igual a 75% das Cotas emitidas</w:t>
                  </w:r>
                </w:p>
              </w:tc>
            </w:tr>
            <w:tr w:rsidR="00A97AF1" w:rsidRPr="00F621C0" w14:paraId="23D21D14" w14:textId="77777777" w:rsidTr="0075351C">
              <w:tc>
                <w:tcPr>
                  <w:tcW w:w="2457" w:type="pct"/>
                </w:tcPr>
                <w:p w14:paraId="53AD18E1" w14:textId="77777777" w:rsidR="00A97AF1" w:rsidRPr="00F621C0" w:rsidRDefault="00A97AF1" w:rsidP="00A97AF1">
                  <w:pPr>
                    <w:pStyle w:val="PargrafodaLista"/>
                    <w:numPr>
                      <w:ilvl w:val="0"/>
                      <w:numId w:val="32"/>
                    </w:numPr>
                    <w:spacing w:after="160" w:line="259" w:lineRule="auto"/>
                    <w:ind w:left="0" w:firstLine="0"/>
                    <w:jc w:val="both"/>
                    <w:rPr>
                      <w:rFonts w:ascii="Arial" w:hAnsi="Arial" w:cs="Arial"/>
                    </w:rPr>
                  </w:pPr>
                  <w:r w:rsidRPr="00F621C0">
                    <w:rPr>
                      <w:rFonts w:ascii="Arial" w:hAnsi="Arial" w:cs="Arial"/>
                    </w:rPr>
                    <w:t>a orientação de voto sobre a liquidação antecipada do FIP Vinci por iniciativa dos cotistas do FIP Vinci no âmbito de assembleia do FIP Vinci para este fim;</w:t>
                  </w:r>
                </w:p>
              </w:tc>
              <w:tc>
                <w:tcPr>
                  <w:tcW w:w="2543" w:type="pct"/>
                </w:tcPr>
                <w:p w14:paraId="32A044C8" w14:textId="77777777" w:rsidR="00A97AF1" w:rsidRPr="00F621C0" w:rsidRDefault="00A97AF1" w:rsidP="0075351C">
                  <w:pPr>
                    <w:jc w:val="both"/>
                    <w:rPr>
                      <w:rFonts w:ascii="Arial" w:hAnsi="Arial" w:cs="Arial"/>
                    </w:rPr>
                  </w:pPr>
                  <w:r w:rsidRPr="00F621C0">
                    <w:rPr>
                      <w:rFonts w:ascii="Arial" w:hAnsi="Arial" w:cs="Arial"/>
                    </w:rPr>
                    <w:t>maior ou igual a 75% das Cotas emitidas</w:t>
                  </w:r>
                </w:p>
                <w:p w14:paraId="497B8CB7" w14:textId="77777777" w:rsidR="00A97AF1" w:rsidRPr="00F621C0" w:rsidRDefault="00A97AF1" w:rsidP="0075351C">
                  <w:pPr>
                    <w:jc w:val="both"/>
                    <w:rPr>
                      <w:rFonts w:ascii="Arial" w:hAnsi="Arial" w:cs="Arial"/>
                    </w:rPr>
                  </w:pPr>
                </w:p>
              </w:tc>
            </w:tr>
            <w:tr w:rsidR="00A97AF1" w:rsidRPr="00F621C0" w14:paraId="31DFA78B" w14:textId="77777777" w:rsidTr="0075351C">
              <w:tc>
                <w:tcPr>
                  <w:tcW w:w="2457" w:type="pct"/>
                </w:tcPr>
                <w:p w14:paraId="4EB23E83" w14:textId="77777777" w:rsidR="00A97AF1" w:rsidRPr="00F621C0" w:rsidRDefault="00A97AF1" w:rsidP="00A97AF1">
                  <w:pPr>
                    <w:pStyle w:val="PargrafodaLista"/>
                    <w:numPr>
                      <w:ilvl w:val="0"/>
                      <w:numId w:val="32"/>
                    </w:numPr>
                    <w:spacing w:after="160" w:line="259" w:lineRule="auto"/>
                    <w:ind w:left="0" w:firstLine="0"/>
                    <w:jc w:val="both"/>
                    <w:rPr>
                      <w:rFonts w:ascii="Arial" w:hAnsi="Arial" w:cs="Arial"/>
                    </w:rPr>
                  </w:pPr>
                  <w:r w:rsidRPr="00F621C0">
                    <w:rPr>
                      <w:rFonts w:ascii="Arial" w:hAnsi="Arial" w:cs="Arial"/>
                    </w:rPr>
                    <w:t>a orientação de voto sobre a Liquidação com Entrega de Ativos do FIP Vinci, com a consequente liquidação do Fundo, no âmbito de assembleia do FIP Vinci para este fim;</w:t>
                  </w:r>
                </w:p>
              </w:tc>
              <w:tc>
                <w:tcPr>
                  <w:tcW w:w="2543" w:type="pct"/>
                </w:tcPr>
                <w:p w14:paraId="271514E9" w14:textId="77777777" w:rsidR="00A97AF1" w:rsidRPr="00F621C0" w:rsidRDefault="00A97AF1" w:rsidP="0075351C">
                  <w:pPr>
                    <w:jc w:val="both"/>
                    <w:rPr>
                      <w:rFonts w:ascii="Arial" w:hAnsi="Arial" w:cs="Arial"/>
                    </w:rPr>
                  </w:pPr>
                  <w:r w:rsidRPr="00F621C0">
                    <w:rPr>
                      <w:rFonts w:ascii="Arial" w:hAnsi="Arial" w:cs="Arial"/>
                    </w:rPr>
                    <w:t>maior ou igual a 75% das Cotas emitidas</w:t>
                  </w:r>
                </w:p>
                <w:p w14:paraId="6ED00901" w14:textId="77777777" w:rsidR="00A97AF1" w:rsidRPr="00F621C0" w:rsidRDefault="00A97AF1" w:rsidP="0075351C">
                  <w:pPr>
                    <w:jc w:val="both"/>
                    <w:rPr>
                      <w:rFonts w:ascii="Arial" w:hAnsi="Arial" w:cs="Arial"/>
                    </w:rPr>
                  </w:pPr>
                </w:p>
                <w:p w14:paraId="3DF66DD0" w14:textId="77777777" w:rsidR="00A97AF1" w:rsidRPr="00F621C0" w:rsidRDefault="00A97AF1" w:rsidP="0075351C">
                  <w:pPr>
                    <w:jc w:val="both"/>
                    <w:rPr>
                      <w:rFonts w:ascii="Arial" w:hAnsi="Arial" w:cs="Arial"/>
                    </w:rPr>
                  </w:pPr>
                </w:p>
              </w:tc>
            </w:tr>
            <w:tr w:rsidR="00A97AF1" w:rsidRPr="00F621C0" w14:paraId="21A994AE" w14:textId="77777777" w:rsidTr="0075351C">
              <w:tc>
                <w:tcPr>
                  <w:tcW w:w="2457" w:type="pct"/>
                </w:tcPr>
                <w:p w14:paraId="6C2B574F" w14:textId="77777777" w:rsidR="00A97AF1" w:rsidRPr="00F621C0" w:rsidRDefault="00A97AF1" w:rsidP="00A97AF1">
                  <w:pPr>
                    <w:pStyle w:val="PargrafodaLista"/>
                    <w:numPr>
                      <w:ilvl w:val="0"/>
                      <w:numId w:val="32"/>
                    </w:numPr>
                    <w:spacing w:after="160" w:line="259" w:lineRule="auto"/>
                    <w:ind w:left="0" w:firstLine="0"/>
                    <w:jc w:val="both"/>
                    <w:rPr>
                      <w:rFonts w:ascii="Arial" w:hAnsi="Arial" w:cs="Arial"/>
                    </w:rPr>
                  </w:pPr>
                  <w:bookmarkStart w:id="10" w:name="_Hlk173943639"/>
                  <w:r w:rsidRPr="00F621C0">
                    <w:rPr>
                      <w:rFonts w:ascii="Arial" w:hAnsi="Arial" w:cs="Arial"/>
                      <w:bCs/>
                    </w:rPr>
                    <w:t xml:space="preserve">a orientação sobre o veto de profissional indicado para ser integrante da equipe </w:t>
                  </w:r>
                  <w:r w:rsidRPr="00F621C0">
                    <w:rPr>
                      <w:rFonts w:ascii="Arial" w:hAnsi="Arial" w:cs="Arial"/>
                    </w:rPr>
                    <w:t xml:space="preserve">chave do </w:t>
                  </w:r>
                  <w:bookmarkEnd w:id="10"/>
                  <w:r w:rsidRPr="00F621C0">
                    <w:rPr>
                      <w:rFonts w:ascii="Arial" w:hAnsi="Arial" w:cs="Arial"/>
                    </w:rPr>
                    <w:t>FIP Vinci Master, no âmbito de assembleia do FIP Vinci para este fim.</w:t>
                  </w:r>
                </w:p>
              </w:tc>
              <w:tc>
                <w:tcPr>
                  <w:tcW w:w="2543" w:type="pct"/>
                </w:tcPr>
                <w:p w14:paraId="55C16D68" w14:textId="77777777" w:rsidR="00A97AF1" w:rsidRPr="00F621C0" w:rsidRDefault="00A97AF1" w:rsidP="0075351C">
                  <w:pPr>
                    <w:jc w:val="both"/>
                    <w:rPr>
                      <w:rFonts w:ascii="Arial" w:hAnsi="Arial" w:cs="Arial"/>
                    </w:rPr>
                  </w:pPr>
                  <w:r w:rsidRPr="00F621C0">
                    <w:rPr>
                      <w:rFonts w:ascii="Arial" w:hAnsi="Arial" w:cs="Arial"/>
                    </w:rPr>
                    <w:t>maior ou igual a 75% das Cotas emitidas</w:t>
                  </w:r>
                </w:p>
                <w:p w14:paraId="788F046C" w14:textId="77777777" w:rsidR="00A97AF1" w:rsidRPr="00F621C0" w:rsidRDefault="00A97AF1" w:rsidP="0075351C">
                  <w:pPr>
                    <w:jc w:val="both"/>
                    <w:rPr>
                      <w:rFonts w:ascii="Arial" w:hAnsi="Arial" w:cs="Arial"/>
                    </w:rPr>
                  </w:pPr>
                </w:p>
              </w:tc>
            </w:tr>
          </w:tbl>
          <w:p w14:paraId="01B98AFE" w14:textId="77777777" w:rsidR="00A97AF1" w:rsidRPr="00F621C0" w:rsidRDefault="00A97AF1" w:rsidP="0075351C">
            <w:pPr>
              <w:jc w:val="both"/>
              <w:rPr>
                <w:rFonts w:ascii="Arial" w:hAnsi="Arial" w:cs="Arial"/>
                <w:sz w:val="20"/>
                <w:szCs w:val="20"/>
              </w:rPr>
            </w:pPr>
          </w:p>
          <w:p w14:paraId="4615D31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Única.</w:t>
            </w:r>
          </w:p>
          <w:p w14:paraId="4E5008A0" w14:textId="77777777" w:rsidR="00A97AF1" w:rsidRPr="00F621C0" w:rsidRDefault="00A97AF1" w:rsidP="0075351C">
            <w:pPr>
              <w:jc w:val="both"/>
              <w:rPr>
                <w:rFonts w:ascii="Arial" w:hAnsi="Arial" w:cs="Arial"/>
                <w:sz w:val="20"/>
                <w:szCs w:val="20"/>
              </w:rPr>
            </w:pPr>
          </w:p>
          <w:p w14:paraId="6F67C8D9"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Poderão, ainda, participar da Assembleia Especial, desde que figurem como únicos Cotistas da Classe Única, os prestadores de serviços da Classe Única, bem como seus sócios, diretores, empregados e partes a eles relacionados e Cotistas que estejam em conflito de interesses com o Fundo ou com a Classe Única no que se refere à matéria a ser votada.</w:t>
            </w:r>
          </w:p>
          <w:p w14:paraId="7B912E28" w14:textId="77777777" w:rsidR="00A97AF1" w:rsidRPr="00F621C0" w:rsidRDefault="00A97AF1" w:rsidP="0075351C">
            <w:pPr>
              <w:jc w:val="both"/>
              <w:rPr>
                <w:rFonts w:ascii="Arial" w:hAnsi="Arial" w:cs="Arial"/>
                <w:sz w:val="20"/>
                <w:szCs w:val="20"/>
              </w:rPr>
            </w:pPr>
          </w:p>
          <w:p w14:paraId="0BA4A22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As matérias previstas nos itens (iii), (iv), (v), (vi) e (vii) dizem respeito a deliberações da assembleia geral e/ou especial do FIP Vinci nas quais o Fundo deverá manifestar seu voto. Nestes casos, o Fundo </w:t>
            </w:r>
            <w:r w:rsidRPr="00F621C0">
              <w:rPr>
                <w:rFonts w:ascii="Arial" w:eastAsia="Arial" w:hAnsi="Arial" w:cs="Arial"/>
                <w:sz w:val="20"/>
                <w:szCs w:val="20"/>
              </w:rPr>
              <w:t xml:space="preserve">votará nas respectivas assembleias do FIP Vinci com base na decisão tomada na Assembleia de Cotistas do Fundo convocada para estes fins. </w:t>
            </w:r>
            <w:r w:rsidRPr="00F621C0">
              <w:rPr>
                <w:rFonts w:ascii="Arial" w:hAnsi="Arial" w:cs="Arial"/>
                <w:sz w:val="20"/>
                <w:szCs w:val="20"/>
              </w:rPr>
              <w:t>Excetuadas as matérias previstas nos itens (iii) a (vii) acima, outras matérias de competência da assembleia geral e/ou especial do FIP Vinci serão direta e discricionariamente deliberadas pelo Gestor, representando o Fundo, como investidor.</w:t>
            </w:r>
          </w:p>
        </w:tc>
      </w:tr>
      <w:tr w:rsidR="00A97AF1" w:rsidRPr="00F621C0" w14:paraId="10E95DA0" w14:textId="77777777" w:rsidTr="0075351C">
        <w:trPr>
          <w:trHeight w:val="64"/>
        </w:trPr>
        <w:tc>
          <w:tcPr>
            <w:tcW w:w="1382" w:type="pct"/>
            <w:tcBorders>
              <w:top w:val="single" w:sz="4" w:space="0" w:color="auto"/>
              <w:bottom w:val="single" w:sz="4" w:space="0" w:color="auto"/>
            </w:tcBorders>
            <w:vAlign w:val="center"/>
          </w:tcPr>
          <w:p w14:paraId="43A58B78" w14:textId="77777777" w:rsidR="00A97AF1" w:rsidRPr="00F621C0" w:rsidRDefault="00A97AF1" w:rsidP="00A97AF1">
            <w:pPr>
              <w:pStyle w:val="PargrafodaLista"/>
              <w:numPr>
                <w:ilvl w:val="1"/>
                <w:numId w:val="7"/>
              </w:numPr>
              <w:ind w:left="0" w:firstLine="0"/>
              <w:jc w:val="center"/>
              <w:rPr>
                <w:rFonts w:ascii="Arial" w:hAnsi="Arial" w:cs="Arial"/>
                <w:b/>
                <w:bCs/>
                <w:smallCaps/>
              </w:rPr>
            </w:pPr>
          </w:p>
        </w:tc>
        <w:tc>
          <w:tcPr>
            <w:tcW w:w="3618" w:type="pct"/>
            <w:tcBorders>
              <w:top w:val="single" w:sz="4" w:space="0" w:color="auto"/>
              <w:bottom w:val="single" w:sz="4" w:space="0" w:color="auto"/>
            </w:tcBorders>
          </w:tcPr>
          <w:p w14:paraId="40E45AE0"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Qualquer ajuste de natureza cadastral no regulamento do FIP Vinci deverá ser refletido, caso aplicável, no Anexo da Classe Única, sem a necessidade de deliberação em Assembleia de Cotistas da Classe Única.</w:t>
            </w:r>
          </w:p>
          <w:p w14:paraId="137F2CE1" w14:textId="77777777" w:rsidR="00A97AF1" w:rsidRPr="00F621C0" w:rsidRDefault="00A97AF1" w:rsidP="0075351C">
            <w:pPr>
              <w:jc w:val="both"/>
              <w:rPr>
                <w:rFonts w:ascii="Arial" w:hAnsi="Arial" w:cs="Arial"/>
                <w:sz w:val="20"/>
                <w:szCs w:val="20"/>
              </w:rPr>
            </w:pPr>
          </w:p>
        </w:tc>
      </w:tr>
    </w:tbl>
    <w:p w14:paraId="63B98B34" w14:textId="77777777" w:rsidR="00A97AF1" w:rsidRPr="00F621C0" w:rsidRDefault="00A97AF1" w:rsidP="00F62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97AF1" w:rsidRPr="00F621C0" w14:paraId="038C1DB9" w14:textId="77777777" w:rsidTr="0075351C">
        <w:tc>
          <w:tcPr>
            <w:tcW w:w="5000" w:type="pct"/>
            <w:gridSpan w:val="3"/>
            <w:shd w:val="clear" w:color="auto" w:fill="C00000"/>
          </w:tcPr>
          <w:p w14:paraId="601E400D" w14:textId="77777777" w:rsidR="00A97AF1" w:rsidRPr="00F621C0" w:rsidRDefault="00A97AF1" w:rsidP="00A97AF1">
            <w:pPr>
              <w:pStyle w:val="PargrafodaLista"/>
              <w:numPr>
                <w:ilvl w:val="0"/>
                <w:numId w:val="7"/>
              </w:numPr>
              <w:ind w:left="0" w:firstLine="0"/>
              <w:jc w:val="center"/>
              <w:rPr>
                <w:rFonts w:ascii="Arial" w:hAnsi="Arial" w:cs="Arial"/>
                <w:b/>
                <w:bCs/>
                <w:color w:val="FFFFFF" w:themeColor="background1"/>
              </w:rPr>
            </w:pPr>
            <w:r w:rsidRPr="00F621C0">
              <w:rPr>
                <w:rFonts w:ascii="Arial" w:hAnsi="Arial" w:cs="Arial"/>
                <w:b/>
                <w:bCs/>
                <w:color w:val="FFFFFF" w:themeColor="background1"/>
              </w:rPr>
              <w:t>DISPOSIÇÕES GERAIS</w:t>
            </w:r>
          </w:p>
        </w:tc>
      </w:tr>
      <w:tr w:rsidR="00A97AF1" w:rsidRPr="00F621C0" w14:paraId="5FADB8D8" w14:textId="77777777" w:rsidTr="0075351C">
        <w:tc>
          <w:tcPr>
            <w:tcW w:w="1779" w:type="pct"/>
            <w:gridSpan w:val="2"/>
            <w:tcBorders>
              <w:bottom w:val="single" w:sz="4" w:space="0" w:color="auto"/>
            </w:tcBorders>
            <w:vAlign w:val="center"/>
          </w:tcPr>
          <w:p w14:paraId="315D045F" w14:textId="77777777" w:rsidR="00A97AF1" w:rsidRPr="00F621C0" w:rsidRDefault="00A97AF1" w:rsidP="0075351C">
            <w:pPr>
              <w:jc w:val="center"/>
              <w:rPr>
                <w:rFonts w:ascii="Arial" w:hAnsi="Arial" w:cs="Arial"/>
                <w:b/>
                <w:bCs/>
                <w:sz w:val="20"/>
                <w:szCs w:val="20"/>
              </w:rPr>
            </w:pPr>
          </w:p>
        </w:tc>
        <w:tc>
          <w:tcPr>
            <w:tcW w:w="3221" w:type="pct"/>
            <w:tcBorders>
              <w:bottom w:val="single" w:sz="4" w:space="0" w:color="auto"/>
            </w:tcBorders>
          </w:tcPr>
          <w:p w14:paraId="587D72E6" w14:textId="77777777" w:rsidR="00A97AF1" w:rsidRPr="00F621C0" w:rsidRDefault="00A97AF1" w:rsidP="0075351C">
            <w:pPr>
              <w:rPr>
                <w:rFonts w:ascii="Arial" w:hAnsi="Arial" w:cs="Arial"/>
                <w:sz w:val="20"/>
                <w:szCs w:val="20"/>
              </w:rPr>
            </w:pPr>
          </w:p>
        </w:tc>
      </w:tr>
      <w:tr w:rsidR="00A97AF1" w:rsidRPr="00F621C0" w14:paraId="2F1525AE" w14:textId="77777777" w:rsidTr="0075351C">
        <w:tc>
          <w:tcPr>
            <w:tcW w:w="1382" w:type="pct"/>
            <w:tcBorders>
              <w:bottom w:val="single" w:sz="4" w:space="0" w:color="auto"/>
            </w:tcBorders>
            <w:vAlign w:val="center"/>
          </w:tcPr>
          <w:p w14:paraId="269927C3" w14:textId="77777777" w:rsidR="00A97AF1" w:rsidRPr="00F621C0" w:rsidRDefault="00A97AF1" w:rsidP="00A97AF1">
            <w:pPr>
              <w:pStyle w:val="PargrafodaLista"/>
              <w:numPr>
                <w:ilvl w:val="1"/>
                <w:numId w:val="7"/>
              </w:numPr>
              <w:ind w:left="0" w:firstLine="0"/>
              <w:jc w:val="center"/>
              <w:rPr>
                <w:rFonts w:ascii="Arial" w:hAnsi="Arial" w:cs="Arial"/>
                <w:b/>
                <w:bCs/>
              </w:rPr>
            </w:pPr>
            <w:r w:rsidRPr="00F621C0">
              <w:rPr>
                <w:rFonts w:ascii="Arial" w:hAnsi="Arial" w:cs="Arial"/>
                <w:b/>
                <w:bCs/>
                <w:smallCaps/>
                <w:color w:val="000000"/>
              </w:rPr>
              <w:t>Obrigações Legais e Contratuais</w:t>
            </w:r>
          </w:p>
        </w:tc>
        <w:tc>
          <w:tcPr>
            <w:tcW w:w="3618" w:type="pct"/>
            <w:gridSpan w:val="2"/>
            <w:tcBorders>
              <w:bottom w:val="single" w:sz="4" w:space="0" w:color="auto"/>
            </w:tcBorders>
          </w:tcPr>
          <w:p w14:paraId="5C972FE4"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 Classe Única responde por todas as obrigações legais e contratuais por ela assumidas, não respondendo os prestadores de serviços por tais obrigações, salvo nas hipóteses de prejuízos causados quando procederem com dolo ou má-fé.</w:t>
            </w:r>
          </w:p>
        </w:tc>
      </w:tr>
      <w:tr w:rsidR="00A97AF1" w:rsidRPr="00F621C0" w14:paraId="2AC3DFDC" w14:textId="77777777" w:rsidTr="0075351C">
        <w:tc>
          <w:tcPr>
            <w:tcW w:w="1382" w:type="pct"/>
            <w:tcBorders>
              <w:bottom w:val="single" w:sz="4" w:space="0" w:color="auto"/>
            </w:tcBorders>
            <w:vAlign w:val="center"/>
          </w:tcPr>
          <w:p w14:paraId="5953549C" w14:textId="77777777" w:rsidR="00A97AF1" w:rsidRPr="00F621C0" w:rsidRDefault="00A97AF1" w:rsidP="0075351C">
            <w:pPr>
              <w:jc w:val="center"/>
              <w:rPr>
                <w:rFonts w:ascii="Arial" w:hAnsi="Arial" w:cs="Arial"/>
                <w:b/>
                <w:bCs/>
                <w:sz w:val="20"/>
                <w:szCs w:val="20"/>
              </w:rPr>
            </w:pPr>
          </w:p>
        </w:tc>
        <w:tc>
          <w:tcPr>
            <w:tcW w:w="3618" w:type="pct"/>
            <w:gridSpan w:val="2"/>
            <w:tcBorders>
              <w:bottom w:val="single" w:sz="4" w:space="0" w:color="auto"/>
            </w:tcBorders>
          </w:tcPr>
          <w:p w14:paraId="6CE1BAB0" w14:textId="77777777" w:rsidR="00A97AF1" w:rsidRPr="00F621C0" w:rsidRDefault="00A97AF1" w:rsidP="0075351C">
            <w:pPr>
              <w:rPr>
                <w:rFonts w:ascii="Arial" w:hAnsi="Arial" w:cs="Arial"/>
                <w:sz w:val="20"/>
                <w:szCs w:val="20"/>
              </w:rPr>
            </w:pPr>
          </w:p>
        </w:tc>
      </w:tr>
      <w:tr w:rsidR="00A97AF1" w:rsidRPr="00F621C0" w14:paraId="319736E1" w14:textId="77777777" w:rsidTr="0075351C">
        <w:tc>
          <w:tcPr>
            <w:tcW w:w="1382" w:type="pct"/>
            <w:tcBorders>
              <w:bottom w:val="single" w:sz="4" w:space="0" w:color="auto"/>
            </w:tcBorders>
            <w:vAlign w:val="center"/>
          </w:tcPr>
          <w:p w14:paraId="376FC062" w14:textId="77777777" w:rsidR="00A97AF1" w:rsidRPr="00F621C0" w:rsidRDefault="00A97AF1" w:rsidP="00A97AF1">
            <w:pPr>
              <w:pStyle w:val="PargrafodaLista"/>
              <w:numPr>
                <w:ilvl w:val="1"/>
                <w:numId w:val="7"/>
              </w:numPr>
              <w:ind w:left="0" w:firstLine="0"/>
              <w:jc w:val="center"/>
              <w:rPr>
                <w:rFonts w:ascii="Arial" w:hAnsi="Arial" w:cs="Arial"/>
                <w:b/>
                <w:bCs/>
              </w:rPr>
            </w:pPr>
            <w:r w:rsidRPr="00F621C0">
              <w:rPr>
                <w:rFonts w:ascii="Arial" w:hAnsi="Arial" w:cs="Arial"/>
                <w:b/>
                <w:bCs/>
                <w:smallCaps/>
                <w:color w:val="000000"/>
              </w:rPr>
              <w:t>Comunicação</w:t>
            </w:r>
          </w:p>
        </w:tc>
        <w:tc>
          <w:tcPr>
            <w:tcW w:w="3618" w:type="pct"/>
            <w:gridSpan w:val="2"/>
            <w:tcBorders>
              <w:bottom w:val="single" w:sz="4" w:space="0" w:color="auto"/>
            </w:tcBorders>
          </w:tcPr>
          <w:p w14:paraId="553431B0"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 xml:space="preserve">Todas as correspondências aos Cotistas previstas no Regulamento e neste Anexo serão enviadas exclusivamente por meio eletrônico, ao endereço informado pelo Cotista em seu cadastro. Cabe ao Cotista manter o seu cadastro atualizado. </w:t>
            </w:r>
          </w:p>
          <w:p w14:paraId="4E630EB8" w14:textId="77777777" w:rsidR="00A97AF1" w:rsidRPr="00F621C0" w:rsidRDefault="00A97AF1" w:rsidP="0075351C">
            <w:pPr>
              <w:jc w:val="both"/>
              <w:rPr>
                <w:rFonts w:ascii="Arial" w:hAnsi="Arial" w:cs="Arial"/>
                <w:sz w:val="20"/>
                <w:szCs w:val="20"/>
              </w:rPr>
            </w:pPr>
          </w:p>
          <w:p w14:paraId="49388442"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As comunicações referentes a convocações de Assembleias de Cotistas, a amortizações de Cotas da Classe Única e aquelas referentes às decisões do Administrador e do Gestor sobre a Liquidação Ordinária do Fundo e de sua Classe Única serão realizadas previamente à sua ocorrência, nos termos da legislação e deste Anexo.</w:t>
            </w:r>
          </w:p>
          <w:p w14:paraId="1836A288"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br/>
              <w:t xml:space="preserve">As comunicações referentes a comunicados, fatos relevantes, comprovantes de realização e integralização de chamadas de capital, extratos e recibos, inclusive aquelas relacionadas a situações previstas no Regulamento e no Anexo da Classe Única em relação ao Fundo e ao FIP Vinci serão realizadas </w:t>
            </w:r>
            <w:r w:rsidRPr="00F621C0">
              <w:rPr>
                <w:rFonts w:ascii="Arial" w:hAnsi="Arial" w:cs="Arial"/>
                <w:i/>
                <w:iCs/>
                <w:sz w:val="20"/>
                <w:szCs w:val="20"/>
              </w:rPr>
              <w:t>a posteriori</w:t>
            </w:r>
            <w:r w:rsidRPr="00F621C0">
              <w:rPr>
                <w:rFonts w:ascii="Arial" w:hAnsi="Arial" w:cs="Arial"/>
                <w:sz w:val="20"/>
                <w:szCs w:val="20"/>
              </w:rPr>
              <w:t>.</w:t>
            </w:r>
          </w:p>
          <w:p w14:paraId="03060AFC" w14:textId="77777777" w:rsidR="00A97AF1" w:rsidRPr="00F621C0" w:rsidRDefault="00A97AF1" w:rsidP="0075351C">
            <w:pPr>
              <w:jc w:val="both"/>
              <w:rPr>
                <w:rFonts w:ascii="Arial" w:hAnsi="Arial" w:cs="Arial"/>
                <w:sz w:val="20"/>
                <w:szCs w:val="20"/>
              </w:rPr>
            </w:pPr>
          </w:p>
          <w:p w14:paraId="19E01547"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49D1352" w14:textId="77777777" w:rsidR="00A97AF1" w:rsidRPr="00F621C0" w:rsidRDefault="00A97AF1" w:rsidP="0075351C">
            <w:pPr>
              <w:jc w:val="both"/>
              <w:rPr>
                <w:rFonts w:ascii="Arial" w:hAnsi="Arial" w:cs="Arial"/>
                <w:sz w:val="20"/>
                <w:szCs w:val="20"/>
              </w:rPr>
            </w:pPr>
          </w:p>
          <w:p w14:paraId="58FB090E"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97AF1" w:rsidRPr="00F621C0" w14:paraId="77FD1863" w14:textId="77777777" w:rsidTr="0075351C">
        <w:tc>
          <w:tcPr>
            <w:tcW w:w="1382" w:type="pct"/>
            <w:tcBorders>
              <w:bottom w:val="single" w:sz="4" w:space="0" w:color="auto"/>
            </w:tcBorders>
            <w:vAlign w:val="center"/>
          </w:tcPr>
          <w:p w14:paraId="11211295" w14:textId="77777777" w:rsidR="00A97AF1" w:rsidRPr="00F621C0" w:rsidRDefault="00A97AF1" w:rsidP="0075351C">
            <w:pPr>
              <w:jc w:val="center"/>
              <w:rPr>
                <w:rFonts w:ascii="Arial" w:hAnsi="Arial" w:cs="Arial"/>
                <w:b/>
                <w:bCs/>
                <w:sz w:val="20"/>
                <w:szCs w:val="20"/>
              </w:rPr>
            </w:pPr>
          </w:p>
        </w:tc>
        <w:tc>
          <w:tcPr>
            <w:tcW w:w="3618" w:type="pct"/>
            <w:gridSpan w:val="2"/>
            <w:tcBorders>
              <w:bottom w:val="single" w:sz="4" w:space="0" w:color="auto"/>
            </w:tcBorders>
          </w:tcPr>
          <w:p w14:paraId="3CD2A47D" w14:textId="77777777" w:rsidR="00A97AF1" w:rsidRPr="00F621C0" w:rsidRDefault="00A97AF1" w:rsidP="0075351C">
            <w:pPr>
              <w:rPr>
                <w:rFonts w:ascii="Arial" w:hAnsi="Arial" w:cs="Arial"/>
                <w:sz w:val="20"/>
                <w:szCs w:val="20"/>
              </w:rPr>
            </w:pPr>
          </w:p>
        </w:tc>
      </w:tr>
      <w:tr w:rsidR="00A97AF1" w:rsidRPr="00F621C0" w14:paraId="5484DBD0" w14:textId="77777777" w:rsidTr="0075351C">
        <w:tc>
          <w:tcPr>
            <w:tcW w:w="1382" w:type="pct"/>
            <w:tcBorders>
              <w:bottom w:val="single" w:sz="4" w:space="0" w:color="auto"/>
            </w:tcBorders>
            <w:vAlign w:val="center"/>
          </w:tcPr>
          <w:p w14:paraId="439D8B05" w14:textId="77777777" w:rsidR="00A97AF1" w:rsidRPr="00F621C0" w:rsidRDefault="00A97AF1" w:rsidP="00A97AF1">
            <w:pPr>
              <w:pStyle w:val="PargrafodaLista"/>
              <w:numPr>
                <w:ilvl w:val="1"/>
                <w:numId w:val="7"/>
              </w:numPr>
              <w:ind w:left="0" w:firstLine="0"/>
              <w:jc w:val="center"/>
              <w:rPr>
                <w:rFonts w:ascii="Arial" w:hAnsi="Arial" w:cs="Arial"/>
                <w:b/>
                <w:bCs/>
              </w:rPr>
            </w:pPr>
            <w:r w:rsidRPr="00F621C0">
              <w:rPr>
                <w:rFonts w:ascii="Arial" w:hAnsi="Arial" w:cs="Arial"/>
                <w:b/>
                <w:bCs/>
                <w:smallCaps/>
                <w:color w:val="000000"/>
              </w:rPr>
              <w:t>Distribuição de Resultados</w:t>
            </w:r>
          </w:p>
        </w:tc>
        <w:tc>
          <w:tcPr>
            <w:tcW w:w="3618" w:type="pct"/>
            <w:gridSpan w:val="2"/>
            <w:tcBorders>
              <w:bottom w:val="single" w:sz="4" w:space="0" w:color="auto"/>
            </w:tcBorders>
          </w:tcPr>
          <w:p w14:paraId="0DEB1ECE" w14:textId="77777777" w:rsidR="00A97AF1" w:rsidRPr="00F621C0" w:rsidRDefault="00A97AF1" w:rsidP="0075351C">
            <w:pPr>
              <w:jc w:val="both"/>
              <w:rPr>
                <w:rFonts w:ascii="Arial" w:hAnsi="Arial" w:cs="Arial"/>
                <w:sz w:val="20"/>
                <w:szCs w:val="20"/>
              </w:rPr>
            </w:pPr>
            <w:r w:rsidRPr="00F621C0">
              <w:rPr>
                <w:rFonts w:ascii="Arial" w:hAnsi="Arial" w:cs="Arial"/>
                <w:sz w:val="20"/>
                <w:szCs w:val="20"/>
              </w:rPr>
              <w:t>Os resultados oriundos dos ativos financeiros integrantes da carteira da Classe Única serão incorporados ao seu patrimônio.</w:t>
            </w:r>
          </w:p>
          <w:p w14:paraId="10096C1A" w14:textId="77777777" w:rsidR="00A97AF1" w:rsidRPr="00F621C0" w:rsidRDefault="00A97AF1" w:rsidP="0075351C">
            <w:pPr>
              <w:pStyle w:val="Default"/>
              <w:jc w:val="both"/>
              <w:rPr>
                <w:sz w:val="20"/>
                <w:szCs w:val="20"/>
              </w:rPr>
            </w:pPr>
          </w:p>
        </w:tc>
      </w:tr>
      <w:tr w:rsidR="00A97AF1" w:rsidRPr="00F621C0" w14:paraId="010E96DE" w14:textId="77777777" w:rsidTr="0075351C">
        <w:tc>
          <w:tcPr>
            <w:tcW w:w="1382" w:type="pct"/>
            <w:tcBorders>
              <w:top w:val="single" w:sz="4" w:space="0" w:color="auto"/>
              <w:bottom w:val="single" w:sz="4" w:space="0" w:color="auto"/>
            </w:tcBorders>
            <w:vAlign w:val="center"/>
          </w:tcPr>
          <w:p w14:paraId="07F1A783" w14:textId="77777777" w:rsidR="00A97AF1" w:rsidRPr="00F621C0" w:rsidRDefault="00A97AF1" w:rsidP="0075351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CB4041C" w14:textId="77777777" w:rsidR="00A97AF1" w:rsidRPr="00F621C0" w:rsidRDefault="00A97AF1" w:rsidP="0075351C">
            <w:pPr>
              <w:jc w:val="both"/>
              <w:rPr>
                <w:rFonts w:ascii="Arial" w:hAnsi="Arial" w:cs="Arial"/>
                <w:color w:val="000000"/>
                <w:sz w:val="20"/>
                <w:szCs w:val="20"/>
                <w:highlight w:val="yellow"/>
              </w:rPr>
            </w:pPr>
          </w:p>
        </w:tc>
      </w:tr>
      <w:tr w:rsidR="00A97AF1" w:rsidRPr="00F621C0" w14:paraId="43DCAD01" w14:textId="77777777" w:rsidTr="0075351C">
        <w:tc>
          <w:tcPr>
            <w:tcW w:w="1382" w:type="pct"/>
            <w:tcBorders>
              <w:top w:val="single" w:sz="4" w:space="0" w:color="auto"/>
              <w:bottom w:val="single" w:sz="4" w:space="0" w:color="auto"/>
            </w:tcBorders>
            <w:vAlign w:val="center"/>
          </w:tcPr>
          <w:p w14:paraId="27BE7D52" w14:textId="77777777" w:rsidR="00A97AF1" w:rsidRPr="00F621C0" w:rsidRDefault="00A97AF1" w:rsidP="00A97AF1">
            <w:pPr>
              <w:pStyle w:val="PargrafodaLista"/>
              <w:numPr>
                <w:ilvl w:val="1"/>
                <w:numId w:val="7"/>
              </w:numPr>
              <w:ind w:left="0" w:firstLine="0"/>
              <w:jc w:val="center"/>
              <w:rPr>
                <w:rFonts w:ascii="Arial" w:hAnsi="Arial" w:cs="Arial"/>
                <w:b/>
                <w:bCs/>
                <w:smallCaps/>
                <w:color w:val="000000"/>
              </w:rPr>
            </w:pPr>
            <w:r w:rsidRPr="00F621C0">
              <w:rPr>
                <w:rFonts w:ascii="Arial" w:hAnsi="Arial" w:cs="Arial"/>
                <w:b/>
                <w:bCs/>
                <w:smallCaps/>
                <w:color w:val="000000"/>
              </w:rPr>
              <w:t>Liquidação Antecipada da Classe Única</w:t>
            </w:r>
          </w:p>
        </w:tc>
        <w:tc>
          <w:tcPr>
            <w:tcW w:w="3618" w:type="pct"/>
            <w:gridSpan w:val="2"/>
            <w:tcBorders>
              <w:top w:val="single" w:sz="4" w:space="0" w:color="auto"/>
              <w:bottom w:val="single" w:sz="4" w:space="0" w:color="auto"/>
            </w:tcBorders>
          </w:tcPr>
          <w:p w14:paraId="51DA6EE2" w14:textId="77777777" w:rsidR="00A97AF1" w:rsidRPr="00F621C0" w:rsidRDefault="00A97AF1" w:rsidP="0075351C">
            <w:pPr>
              <w:jc w:val="both"/>
              <w:rPr>
                <w:rFonts w:ascii="Arial" w:hAnsi="Arial" w:cs="Arial"/>
                <w:color w:val="000000"/>
                <w:sz w:val="20"/>
                <w:szCs w:val="20"/>
                <w:highlight w:val="yellow"/>
              </w:rPr>
            </w:pPr>
            <w:r w:rsidRPr="00F621C0">
              <w:rPr>
                <w:rFonts w:ascii="Arial" w:hAnsi="Arial" w:cs="Arial"/>
                <w:color w:val="000000"/>
                <w:sz w:val="20"/>
                <w:szCs w:val="20"/>
              </w:rPr>
              <w:t>Em acréscimo ao previsto no item 6.4, a Classe Única poderá ser liquidada antecipadamente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e do Gestor, ativos, aos Cotistas, além das respectivas justificativas para arbitramento de tais prazos e condições, conforme aplicável, e forma de encerramento da Classe Única, observadas as regras previstas no regulamento do FIP Vinci.</w:t>
            </w:r>
          </w:p>
        </w:tc>
      </w:tr>
      <w:tr w:rsidR="00A97AF1" w:rsidRPr="00F621C0" w14:paraId="08ED33B9" w14:textId="77777777" w:rsidTr="0075351C">
        <w:tc>
          <w:tcPr>
            <w:tcW w:w="1382" w:type="pct"/>
            <w:tcBorders>
              <w:top w:val="single" w:sz="4" w:space="0" w:color="auto"/>
              <w:bottom w:val="single" w:sz="4" w:space="0" w:color="auto"/>
            </w:tcBorders>
            <w:vAlign w:val="center"/>
          </w:tcPr>
          <w:p w14:paraId="03E5D9E1" w14:textId="77777777" w:rsidR="00A97AF1" w:rsidRPr="00F621C0" w:rsidRDefault="00A97AF1" w:rsidP="0075351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3E45067" w14:textId="77777777" w:rsidR="00A97AF1" w:rsidRPr="00F621C0" w:rsidRDefault="00A97AF1" w:rsidP="0075351C">
            <w:pPr>
              <w:jc w:val="both"/>
              <w:rPr>
                <w:rFonts w:ascii="Arial" w:hAnsi="Arial" w:cs="Arial"/>
                <w:color w:val="000000"/>
                <w:sz w:val="20"/>
                <w:szCs w:val="20"/>
              </w:rPr>
            </w:pPr>
          </w:p>
        </w:tc>
      </w:tr>
      <w:tr w:rsidR="00A97AF1" w:rsidRPr="00F621C0" w14:paraId="2598944E" w14:textId="77777777" w:rsidTr="0075351C">
        <w:tc>
          <w:tcPr>
            <w:tcW w:w="1382" w:type="pct"/>
            <w:tcBorders>
              <w:top w:val="single" w:sz="4" w:space="0" w:color="auto"/>
              <w:bottom w:val="single" w:sz="4" w:space="0" w:color="auto"/>
            </w:tcBorders>
            <w:vAlign w:val="center"/>
          </w:tcPr>
          <w:p w14:paraId="0EE5EB72" w14:textId="77777777" w:rsidR="00A97AF1" w:rsidRPr="00F621C0" w:rsidRDefault="00A97AF1" w:rsidP="00A97AF1">
            <w:pPr>
              <w:pStyle w:val="PargrafodaLista"/>
              <w:numPr>
                <w:ilvl w:val="1"/>
                <w:numId w:val="7"/>
              </w:numPr>
              <w:ind w:left="0" w:firstLine="0"/>
              <w:jc w:val="center"/>
              <w:rPr>
                <w:rFonts w:ascii="Arial" w:hAnsi="Arial" w:cs="Arial"/>
                <w:b/>
                <w:bCs/>
                <w:smallCaps/>
                <w:color w:val="000000"/>
              </w:rPr>
            </w:pPr>
            <w:r w:rsidRPr="00F621C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5862079" w14:textId="77777777" w:rsidR="00A97AF1" w:rsidRPr="00F621C0" w:rsidRDefault="00A97AF1" w:rsidP="0075351C">
            <w:pPr>
              <w:jc w:val="both"/>
              <w:rPr>
                <w:rFonts w:ascii="Arial" w:hAnsi="Arial" w:cs="Arial"/>
                <w:color w:val="000000"/>
                <w:sz w:val="20"/>
                <w:szCs w:val="20"/>
              </w:rPr>
            </w:pPr>
            <w:r w:rsidRPr="00F621C0">
              <w:rPr>
                <w:rFonts w:ascii="Arial" w:hAnsi="Arial" w:cs="Arial"/>
                <w:color w:val="000000"/>
                <w:sz w:val="20"/>
                <w:szCs w:val="20"/>
              </w:rPr>
              <w:t xml:space="preserve">O exercício social da Classe Única é aquele identificado no Regulamento em relação ao Fundo, encerrando-se no mesmo mês em que encerrado o exercício social do Fundo. </w:t>
            </w:r>
          </w:p>
        </w:tc>
      </w:tr>
    </w:tbl>
    <w:p w14:paraId="697E3FB6" w14:textId="77777777" w:rsidR="00A97AF1" w:rsidRPr="00F621C0" w:rsidRDefault="00A97AF1" w:rsidP="00F621C0">
      <w:pPr>
        <w:pBdr>
          <w:bar w:val="single" w:sz="4" w:color="auto"/>
        </w:pBdr>
        <w:rPr>
          <w:rFonts w:ascii="Arial" w:hAnsi="Arial" w:cs="Arial"/>
        </w:rPr>
      </w:pPr>
    </w:p>
    <w:p w14:paraId="2B5F1EFB" w14:textId="77777777" w:rsidR="00A97AF1" w:rsidRPr="00F621C0" w:rsidRDefault="00A97AF1" w:rsidP="005D6F50">
      <w:pPr>
        <w:pStyle w:val="Corpodetexto"/>
        <w:spacing w:line="300" w:lineRule="exact"/>
        <w:jc w:val="both"/>
        <w:rPr>
          <w:rFonts w:ascii="Arial" w:hAnsi="Arial" w:cs="Arial"/>
          <w:b w:val="0"/>
          <w:bCs/>
          <w:sz w:val="20"/>
          <w:lang w:val="pt-BR"/>
        </w:rPr>
      </w:pPr>
    </w:p>
    <w:p w14:paraId="7ED4C3E0" w14:textId="77777777" w:rsidR="00A97AF1" w:rsidRPr="00995F1A" w:rsidRDefault="00A97AF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8"/>
      <w:footerReference w:type="default" r:id="rId19"/>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1C1590"/>
    <w:multiLevelType w:val="multilevel"/>
    <w:tmpl w:val="407C69B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A296BE8"/>
    <w:multiLevelType w:val="hybridMultilevel"/>
    <w:tmpl w:val="5B924506"/>
    <w:lvl w:ilvl="0" w:tplc="03A07ACC">
      <w:start w:val="1"/>
      <w:numFmt w:val="lowerRoman"/>
      <w:lvlText w:val="(%1)"/>
      <w:lvlJc w:val="left"/>
      <w:pPr>
        <w:ind w:left="972" w:hanging="870"/>
      </w:pPr>
      <w:rPr>
        <w:rFonts w:hint="default"/>
        <w:b/>
      </w:rPr>
    </w:lvl>
    <w:lvl w:ilvl="1" w:tplc="4A82AEA8">
      <w:start w:val="1"/>
      <w:numFmt w:val="lowerLetter"/>
      <w:lvlText w:val="%2."/>
      <w:lvlJc w:val="left"/>
      <w:pPr>
        <w:ind w:left="1182" w:hanging="360"/>
      </w:pPr>
    </w:lvl>
    <w:lvl w:ilvl="2" w:tplc="F7DC5848">
      <w:start w:val="1"/>
      <w:numFmt w:val="lowerRoman"/>
      <w:lvlText w:val="%3."/>
      <w:lvlJc w:val="right"/>
      <w:pPr>
        <w:ind w:left="1902" w:hanging="180"/>
      </w:pPr>
    </w:lvl>
    <w:lvl w:ilvl="3" w:tplc="21D2FA50" w:tentative="1">
      <w:start w:val="1"/>
      <w:numFmt w:val="decimal"/>
      <w:lvlText w:val="%4."/>
      <w:lvlJc w:val="left"/>
      <w:pPr>
        <w:ind w:left="2622" w:hanging="360"/>
      </w:pPr>
    </w:lvl>
    <w:lvl w:ilvl="4" w:tplc="684EE832" w:tentative="1">
      <w:start w:val="1"/>
      <w:numFmt w:val="lowerLetter"/>
      <w:lvlText w:val="%5."/>
      <w:lvlJc w:val="left"/>
      <w:pPr>
        <w:ind w:left="3342" w:hanging="360"/>
      </w:pPr>
    </w:lvl>
    <w:lvl w:ilvl="5" w:tplc="43DCBC2C" w:tentative="1">
      <w:start w:val="1"/>
      <w:numFmt w:val="lowerRoman"/>
      <w:lvlText w:val="%6."/>
      <w:lvlJc w:val="right"/>
      <w:pPr>
        <w:ind w:left="4062" w:hanging="180"/>
      </w:pPr>
    </w:lvl>
    <w:lvl w:ilvl="6" w:tplc="6504B098" w:tentative="1">
      <w:start w:val="1"/>
      <w:numFmt w:val="decimal"/>
      <w:lvlText w:val="%7."/>
      <w:lvlJc w:val="left"/>
      <w:pPr>
        <w:ind w:left="4782" w:hanging="360"/>
      </w:pPr>
    </w:lvl>
    <w:lvl w:ilvl="7" w:tplc="6AD4C1B8" w:tentative="1">
      <w:start w:val="1"/>
      <w:numFmt w:val="lowerLetter"/>
      <w:lvlText w:val="%8."/>
      <w:lvlJc w:val="left"/>
      <w:pPr>
        <w:ind w:left="5502" w:hanging="360"/>
      </w:pPr>
    </w:lvl>
    <w:lvl w:ilvl="8" w:tplc="259C1854" w:tentative="1">
      <w:start w:val="1"/>
      <w:numFmt w:val="lowerRoman"/>
      <w:lvlText w:val="%9."/>
      <w:lvlJc w:val="right"/>
      <w:pPr>
        <w:ind w:left="6222" w:hanging="180"/>
      </w:pPr>
    </w:lvl>
  </w:abstractNum>
  <w:abstractNum w:abstractNumId="5"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E12C52"/>
    <w:multiLevelType w:val="multilevel"/>
    <w:tmpl w:val="466C2D34"/>
    <w:lvl w:ilvl="0">
      <w:start w:val="3"/>
      <w:numFmt w:val="decimal"/>
      <w:suff w:val="space"/>
      <w:lvlText w:val="%1."/>
      <w:lvlJc w:val="left"/>
      <w:pPr>
        <w:ind w:left="3903" w:hanging="360"/>
      </w:pPr>
      <w:rPr>
        <w:rFonts w:hint="default"/>
      </w:rPr>
    </w:lvl>
    <w:lvl w:ilvl="1">
      <w:start w:val="7"/>
      <w:numFmt w:val="decimal"/>
      <w:isLgl/>
      <w:suff w:val="space"/>
      <w:lvlText w:val="%1.%2."/>
      <w:lvlJc w:val="left"/>
      <w:pPr>
        <w:ind w:left="3054" w:hanging="360"/>
      </w:pPr>
      <w:rPr>
        <w:rFonts w:ascii="Arial" w:hAnsi="Arial" w:cs="Arial" w:hint="default"/>
        <w:b/>
        <w:bCs/>
        <w:sz w:val="20"/>
        <w:szCs w:val="20"/>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7F29F4"/>
    <w:multiLevelType w:val="hybridMultilevel"/>
    <w:tmpl w:val="ABDA3C72"/>
    <w:lvl w:ilvl="0" w:tplc="58342FB6">
      <w:numFmt w:val="decimal"/>
      <w:lvlText w:val="%1."/>
      <w:lvlJc w:val="left"/>
      <w:pPr>
        <w:ind w:left="720" w:hanging="360"/>
      </w:pPr>
      <w:rPr>
        <w:rFonts w:hint="default"/>
      </w:rPr>
    </w:lvl>
    <w:lvl w:ilvl="1" w:tplc="9E968B44" w:tentative="1">
      <w:start w:val="1"/>
      <w:numFmt w:val="lowerLetter"/>
      <w:lvlText w:val="%2."/>
      <w:lvlJc w:val="left"/>
      <w:pPr>
        <w:ind w:left="1440" w:hanging="360"/>
      </w:pPr>
    </w:lvl>
    <w:lvl w:ilvl="2" w:tplc="42481872" w:tentative="1">
      <w:start w:val="1"/>
      <w:numFmt w:val="lowerRoman"/>
      <w:lvlText w:val="%3."/>
      <w:lvlJc w:val="right"/>
      <w:pPr>
        <w:ind w:left="2160" w:hanging="180"/>
      </w:pPr>
    </w:lvl>
    <w:lvl w:ilvl="3" w:tplc="1C9E3046" w:tentative="1">
      <w:start w:val="1"/>
      <w:numFmt w:val="decimal"/>
      <w:lvlText w:val="%4."/>
      <w:lvlJc w:val="left"/>
      <w:pPr>
        <w:ind w:left="2880" w:hanging="360"/>
      </w:pPr>
    </w:lvl>
    <w:lvl w:ilvl="4" w:tplc="707231C6" w:tentative="1">
      <w:start w:val="1"/>
      <w:numFmt w:val="lowerLetter"/>
      <w:lvlText w:val="%5."/>
      <w:lvlJc w:val="left"/>
      <w:pPr>
        <w:ind w:left="3600" w:hanging="360"/>
      </w:pPr>
    </w:lvl>
    <w:lvl w:ilvl="5" w:tplc="D2F6A1E6" w:tentative="1">
      <w:start w:val="1"/>
      <w:numFmt w:val="lowerRoman"/>
      <w:lvlText w:val="%6."/>
      <w:lvlJc w:val="right"/>
      <w:pPr>
        <w:ind w:left="4320" w:hanging="180"/>
      </w:pPr>
    </w:lvl>
    <w:lvl w:ilvl="6" w:tplc="9B80FCF6" w:tentative="1">
      <w:start w:val="1"/>
      <w:numFmt w:val="decimal"/>
      <w:lvlText w:val="%7."/>
      <w:lvlJc w:val="left"/>
      <w:pPr>
        <w:ind w:left="5040" w:hanging="360"/>
      </w:pPr>
    </w:lvl>
    <w:lvl w:ilvl="7" w:tplc="20D4ACE6" w:tentative="1">
      <w:start w:val="1"/>
      <w:numFmt w:val="lowerLetter"/>
      <w:lvlText w:val="%8."/>
      <w:lvlJc w:val="left"/>
      <w:pPr>
        <w:ind w:left="5760" w:hanging="360"/>
      </w:pPr>
    </w:lvl>
    <w:lvl w:ilvl="8" w:tplc="7134521C" w:tentative="1">
      <w:start w:val="1"/>
      <w:numFmt w:val="lowerRoman"/>
      <w:lvlText w:val="%9."/>
      <w:lvlJc w:val="right"/>
      <w:pPr>
        <w:ind w:left="6480" w:hanging="180"/>
      </w:pPr>
    </w:lvl>
  </w:abstractNum>
  <w:abstractNum w:abstractNumId="11" w15:restartNumberingAfterBreak="0">
    <w:nsid w:val="1B6109B8"/>
    <w:multiLevelType w:val="multilevel"/>
    <w:tmpl w:val="9CB434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A921EA"/>
    <w:multiLevelType w:val="hybridMultilevel"/>
    <w:tmpl w:val="36F259FA"/>
    <w:lvl w:ilvl="0" w:tplc="999C86C6">
      <w:start w:val="1"/>
      <w:numFmt w:val="lowerRoman"/>
      <w:lvlText w:val="(%1)"/>
      <w:lvlJc w:val="left"/>
      <w:pPr>
        <w:ind w:left="1080" w:hanging="720"/>
      </w:pPr>
      <w:rPr>
        <w:rFonts w:ascii="Arial" w:hAnsi="Arial" w:cs="Arial" w:hint="default"/>
        <w:color w:val="000000"/>
        <w:sz w:val="20"/>
        <w:szCs w:val="20"/>
      </w:rPr>
    </w:lvl>
    <w:lvl w:ilvl="1" w:tplc="CF580F9A" w:tentative="1">
      <w:start w:val="1"/>
      <w:numFmt w:val="lowerLetter"/>
      <w:lvlText w:val="%2."/>
      <w:lvlJc w:val="left"/>
      <w:pPr>
        <w:ind w:left="1440" w:hanging="360"/>
      </w:pPr>
    </w:lvl>
    <w:lvl w:ilvl="2" w:tplc="FEA835FA" w:tentative="1">
      <w:start w:val="1"/>
      <w:numFmt w:val="lowerRoman"/>
      <w:lvlText w:val="%3."/>
      <w:lvlJc w:val="right"/>
      <w:pPr>
        <w:ind w:left="2160" w:hanging="180"/>
      </w:pPr>
    </w:lvl>
    <w:lvl w:ilvl="3" w:tplc="209EA840" w:tentative="1">
      <w:start w:val="1"/>
      <w:numFmt w:val="decimal"/>
      <w:lvlText w:val="%4."/>
      <w:lvlJc w:val="left"/>
      <w:pPr>
        <w:ind w:left="2880" w:hanging="360"/>
      </w:pPr>
    </w:lvl>
    <w:lvl w:ilvl="4" w:tplc="4C7245A0" w:tentative="1">
      <w:start w:val="1"/>
      <w:numFmt w:val="lowerLetter"/>
      <w:lvlText w:val="%5."/>
      <w:lvlJc w:val="left"/>
      <w:pPr>
        <w:ind w:left="3600" w:hanging="360"/>
      </w:pPr>
    </w:lvl>
    <w:lvl w:ilvl="5" w:tplc="880CA838" w:tentative="1">
      <w:start w:val="1"/>
      <w:numFmt w:val="lowerRoman"/>
      <w:lvlText w:val="%6."/>
      <w:lvlJc w:val="right"/>
      <w:pPr>
        <w:ind w:left="4320" w:hanging="180"/>
      </w:pPr>
    </w:lvl>
    <w:lvl w:ilvl="6" w:tplc="082CC5EC" w:tentative="1">
      <w:start w:val="1"/>
      <w:numFmt w:val="decimal"/>
      <w:lvlText w:val="%7."/>
      <w:lvlJc w:val="left"/>
      <w:pPr>
        <w:ind w:left="5040" w:hanging="360"/>
      </w:pPr>
    </w:lvl>
    <w:lvl w:ilvl="7" w:tplc="770A2DCE" w:tentative="1">
      <w:start w:val="1"/>
      <w:numFmt w:val="lowerLetter"/>
      <w:lvlText w:val="%8."/>
      <w:lvlJc w:val="left"/>
      <w:pPr>
        <w:ind w:left="5760" w:hanging="360"/>
      </w:pPr>
    </w:lvl>
    <w:lvl w:ilvl="8" w:tplc="BFBC155E" w:tentative="1">
      <w:start w:val="1"/>
      <w:numFmt w:val="lowerRoman"/>
      <w:lvlText w:val="%9."/>
      <w:lvlJc w:val="right"/>
      <w:pPr>
        <w:ind w:left="6480" w:hanging="180"/>
      </w:pPr>
    </w:lvl>
  </w:abstractNum>
  <w:abstractNum w:abstractNumId="1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3A1E4F12"/>
    <w:multiLevelType w:val="multilevel"/>
    <w:tmpl w:val="3DB814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B83136"/>
    <w:multiLevelType w:val="hybridMultilevel"/>
    <w:tmpl w:val="E0223B0A"/>
    <w:lvl w:ilvl="0" w:tplc="C8ACE764">
      <w:start w:val="1"/>
      <w:numFmt w:val="decimal"/>
      <w:lvlText w:val="%1."/>
      <w:lvlJc w:val="left"/>
      <w:pPr>
        <w:ind w:left="360" w:hanging="360"/>
      </w:pPr>
      <w:rPr>
        <w:rFonts w:hint="default"/>
        <w:b/>
      </w:rPr>
    </w:lvl>
    <w:lvl w:ilvl="1" w:tplc="A106D600">
      <w:start w:val="1"/>
      <w:numFmt w:val="lowerLetter"/>
      <w:lvlText w:val="%2."/>
      <w:lvlJc w:val="left"/>
      <w:pPr>
        <w:ind w:left="1440" w:hanging="360"/>
      </w:pPr>
    </w:lvl>
    <w:lvl w:ilvl="2" w:tplc="80A6D122" w:tentative="1">
      <w:start w:val="1"/>
      <w:numFmt w:val="lowerRoman"/>
      <w:lvlText w:val="%3."/>
      <w:lvlJc w:val="right"/>
      <w:pPr>
        <w:ind w:left="2160" w:hanging="180"/>
      </w:pPr>
    </w:lvl>
    <w:lvl w:ilvl="3" w:tplc="89029940" w:tentative="1">
      <w:start w:val="1"/>
      <w:numFmt w:val="decimal"/>
      <w:lvlText w:val="%4."/>
      <w:lvlJc w:val="left"/>
      <w:pPr>
        <w:ind w:left="2880" w:hanging="360"/>
      </w:pPr>
    </w:lvl>
    <w:lvl w:ilvl="4" w:tplc="AB48643A" w:tentative="1">
      <w:start w:val="1"/>
      <w:numFmt w:val="lowerLetter"/>
      <w:lvlText w:val="%5."/>
      <w:lvlJc w:val="left"/>
      <w:pPr>
        <w:ind w:left="3600" w:hanging="360"/>
      </w:pPr>
    </w:lvl>
    <w:lvl w:ilvl="5" w:tplc="763EBA7A" w:tentative="1">
      <w:start w:val="1"/>
      <w:numFmt w:val="lowerRoman"/>
      <w:lvlText w:val="%6."/>
      <w:lvlJc w:val="right"/>
      <w:pPr>
        <w:ind w:left="4320" w:hanging="180"/>
      </w:pPr>
    </w:lvl>
    <w:lvl w:ilvl="6" w:tplc="5712E344" w:tentative="1">
      <w:start w:val="1"/>
      <w:numFmt w:val="decimal"/>
      <w:lvlText w:val="%7."/>
      <w:lvlJc w:val="left"/>
      <w:pPr>
        <w:ind w:left="5040" w:hanging="360"/>
      </w:pPr>
    </w:lvl>
    <w:lvl w:ilvl="7" w:tplc="5D3A01C6" w:tentative="1">
      <w:start w:val="1"/>
      <w:numFmt w:val="lowerLetter"/>
      <w:lvlText w:val="%8."/>
      <w:lvlJc w:val="left"/>
      <w:pPr>
        <w:ind w:left="5760" w:hanging="360"/>
      </w:pPr>
    </w:lvl>
    <w:lvl w:ilvl="8" w:tplc="858A8260" w:tentative="1">
      <w:start w:val="1"/>
      <w:numFmt w:val="lowerRoman"/>
      <w:lvlText w:val="%9."/>
      <w:lvlJc w:val="right"/>
      <w:pPr>
        <w:ind w:left="6480" w:hanging="180"/>
      </w:pPr>
    </w:lvl>
  </w:abstractNum>
  <w:abstractNum w:abstractNumId="1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B80ADC"/>
    <w:multiLevelType w:val="hybridMultilevel"/>
    <w:tmpl w:val="36E41954"/>
    <w:lvl w:ilvl="0" w:tplc="633A1E9A">
      <w:start w:val="1"/>
      <w:numFmt w:val="lowerRoman"/>
      <w:lvlText w:val="(%1)"/>
      <w:lvlJc w:val="left"/>
      <w:pPr>
        <w:ind w:left="1080" w:hanging="720"/>
      </w:pPr>
      <w:rPr>
        <w:rFonts w:hint="default"/>
      </w:rPr>
    </w:lvl>
    <w:lvl w:ilvl="1" w:tplc="6BF2A458" w:tentative="1">
      <w:start w:val="1"/>
      <w:numFmt w:val="lowerLetter"/>
      <w:lvlText w:val="%2."/>
      <w:lvlJc w:val="left"/>
      <w:pPr>
        <w:ind w:left="1440" w:hanging="360"/>
      </w:pPr>
    </w:lvl>
    <w:lvl w:ilvl="2" w:tplc="60A643C4" w:tentative="1">
      <w:start w:val="1"/>
      <w:numFmt w:val="lowerRoman"/>
      <w:lvlText w:val="%3."/>
      <w:lvlJc w:val="right"/>
      <w:pPr>
        <w:ind w:left="2160" w:hanging="180"/>
      </w:pPr>
    </w:lvl>
    <w:lvl w:ilvl="3" w:tplc="339420DE" w:tentative="1">
      <w:start w:val="1"/>
      <w:numFmt w:val="decimal"/>
      <w:lvlText w:val="%4."/>
      <w:lvlJc w:val="left"/>
      <w:pPr>
        <w:ind w:left="2880" w:hanging="360"/>
      </w:pPr>
    </w:lvl>
    <w:lvl w:ilvl="4" w:tplc="2F4CC554" w:tentative="1">
      <w:start w:val="1"/>
      <w:numFmt w:val="lowerLetter"/>
      <w:lvlText w:val="%5."/>
      <w:lvlJc w:val="left"/>
      <w:pPr>
        <w:ind w:left="3600" w:hanging="360"/>
      </w:pPr>
    </w:lvl>
    <w:lvl w:ilvl="5" w:tplc="D5C6A6A6" w:tentative="1">
      <w:start w:val="1"/>
      <w:numFmt w:val="lowerRoman"/>
      <w:lvlText w:val="%6."/>
      <w:lvlJc w:val="right"/>
      <w:pPr>
        <w:ind w:left="4320" w:hanging="180"/>
      </w:pPr>
    </w:lvl>
    <w:lvl w:ilvl="6" w:tplc="BF9C51A0" w:tentative="1">
      <w:start w:val="1"/>
      <w:numFmt w:val="decimal"/>
      <w:lvlText w:val="%7."/>
      <w:lvlJc w:val="left"/>
      <w:pPr>
        <w:ind w:left="5040" w:hanging="360"/>
      </w:pPr>
    </w:lvl>
    <w:lvl w:ilvl="7" w:tplc="CC92AE4C" w:tentative="1">
      <w:start w:val="1"/>
      <w:numFmt w:val="lowerLetter"/>
      <w:lvlText w:val="%8."/>
      <w:lvlJc w:val="left"/>
      <w:pPr>
        <w:ind w:left="5760" w:hanging="360"/>
      </w:pPr>
    </w:lvl>
    <w:lvl w:ilvl="8" w:tplc="34446864"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AEB49B90">
      <w:start w:val="1"/>
      <w:numFmt w:val="lowerLetter"/>
      <w:suff w:val="space"/>
      <w:lvlText w:val="%1)"/>
      <w:lvlJc w:val="left"/>
      <w:pPr>
        <w:ind w:left="720" w:hanging="360"/>
      </w:pPr>
      <w:rPr>
        <w:rFonts w:hint="default"/>
        <w:b/>
        <w:bCs/>
      </w:rPr>
    </w:lvl>
    <w:lvl w:ilvl="1" w:tplc="7A7A3EF2" w:tentative="1">
      <w:start w:val="1"/>
      <w:numFmt w:val="lowerLetter"/>
      <w:lvlText w:val="%2."/>
      <w:lvlJc w:val="left"/>
      <w:pPr>
        <w:ind w:left="1440" w:hanging="360"/>
      </w:pPr>
    </w:lvl>
    <w:lvl w:ilvl="2" w:tplc="553AE806" w:tentative="1">
      <w:start w:val="1"/>
      <w:numFmt w:val="lowerRoman"/>
      <w:lvlText w:val="%3."/>
      <w:lvlJc w:val="right"/>
      <w:pPr>
        <w:ind w:left="2160" w:hanging="180"/>
      </w:pPr>
    </w:lvl>
    <w:lvl w:ilvl="3" w:tplc="AE56AA8E" w:tentative="1">
      <w:start w:val="1"/>
      <w:numFmt w:val="decimal"/>
      <w:lvlText w:val="%4."/>
      <w:lvlJc w:val="left"/>
      <w:pPr>
        <w:ind w:left="2880" w:hanging="360"/>
      </w:pPr>
    </w:lvl>
    <w:lvl w:ilvl="4" w:tplc="9432E8C2" w:tentative="1">
      <w:start w:val="1"/>
      <w:numFmt w:val="lowerLetter"/>
      <w:lvlText w:val="%5."/>
      <w:lvlJc w:val="left"/>
      <w:pPr>
        <w:ind w:left="3600" w:hanging="360"/>
      </w:pPr>
    </w:lvl>
    <w:lvl w:ilvl="5" w:tplc="F95CCCAC" w:tentative="1">
      <w:start w:val="1"/>
      <w:numFmt w:val="lowerRoman"/>
      <w:lvlText w:val="%6."/>
      <w:lvlJc w:val="right"/>
      <w:pPr>
        <w:ind w:left="4320" w:hanging="180"/>
      </w:pPr>
    </w:lvl>
    <w:lvl w:ilvl="6" w:tplc="9B7A2E5A" w:tentative="1">
      <w:start w:val="1"/>
      <w:numFmt w:val="decimal"/>
      <w:lvlText w:val="%7."/>
      <w:lvlJc w:val="left"/>
      <w:pPr>
        <w:ind w:left="5040" w:hanging="360"/>
      </w:pPr>
    </w:lvl>
    <w:lvl w:ilvl="7" w:tplc="9758A240" w:tentative="1">
      <w:start w:val="1"/>
      <w:numFmt w:val="lowerLetter"/>
      <w:lvlText w:val="%8."/>
      <w:lvlJc w:val="left"/>
      <w:pPr>
        <w:ind w:left="5760" w:hanging="360"/>
      </w:pPr>
    </w:lvl>
    <w:lvl w:ilvl="8" w:tplc="032639C0"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A57617"/>
    <w:multiLevelType w:val="hybridMultilevel"/>
    <w:tmpl w:val="11904620"/>
    <w:lvl w:ilvl="0" w:tplc="5B229A62">
      <w:start w:val="6"/>
      <w:numFmt w:val="decimal"/>
      <w:lvlText w:val="%1."/>
      <w:lvlJc w:val="left"/>
      <w:pPr>
        <w:ind w:left="720" w:hanging="360"/>
      </w:pPr>
      <w:rPr>
        <w:rFonts w:hint="default"/>
        <w:b/>
        <w:u w:val="single"/>
      </w:rPr>
    </w:lvl>
    <w:lvl w:ilvl="1" w:tplc="47A29912" w:tentative="1">
      <w:start w:val="1"/>
      <w:numFmt w:val="lowerLetter"/>
      <w:lvlText w:val="%2."/>
      <w:lvlJc w:val="left"/>
      <w:pPr>
        <w:ind w:left="1440" w:hanging="360"/>
      </w:pPr>
    </w:lvl>
    <w:lvl w:ilvl="2" w:tplc="D058689A" w:tentative="1">
      <w:start w:val="1"/>
      <w:numFmt w:val="lowerRoman"/>
      <w:lvlText w:val="%3."/>
      <w:lvlJc w:val="right"/>
      <w:pPr>
        <w:ind w:left="2160" w:hanging="180"/>
      </w:pPr>
    </w:lvl>
    <w:lvl w:ilvl="3" w:tplc="60AC3CB0" w:tentative="1">
      <w:start w:val="1"/>
      <w:numFmt w:val="decimal"/>
      <w:lvlText w:val="%4."/>
      <w:lvlJc w:val="left"/>
      <w:pPr>
        <w:ind w:left="2880" w:hanging="360"/>
      </w:pPr>
    </w:lvl>
    <w:lvl w:ilvl="4" w:tplc="BAF4C3B2" w:tentative="1">
      <w:start w:val="1"/>
      <w:numFmt w:val="lowerLetter"/>
      <w:lvlText w:val="%5."/>
      <w:lvlJc w:val="left"/>
      <w:pPr>
        <w:ind w:left="3600" w:hanging="360"/>
      </w:pPr>
    </w:lvl>
    <w:lvl w:ilvl="5" w:tplc="2F124FE2" w:tentative="1">
      <w:start w:val="1"/>
      <w:numFmt w:val="lowerRoman"/>
      <w:lvlText w:val="%6."/>
      <w:lvlJc w:val="right"/>
      <w:pPr>
        <w:ind w:left="4320" w:hanging="180"/>
      </w:pPr>
    </w:lvl>
    <w:lvl w:ilvl="6" w:tplc="EF54F05E" w:tentative="1">
      <w:start w:val="1"/>
      <w:numFmt w:val="decimal"/>
      <w:lvlText w:val="%7."/>
      <w:lvlJc w:val="left"/>
      <w:pPr>
        <w:ind w:left="5040" w:hanging="360"/>
      </w:pPr>
    </w:lvl>
    <w:lvl w:ilvl="7" w:tplc="EC32F33A" w:tentative="1">
      <w:start w:val="1"/>
      <w:numFmt w:val="lowerLetter"/>
      <w:lvlText w:val="%8."/>
      <w:lvlJc w:val="left"/>
      <w:pPr>
        <w:ind w:left="5760" w:hanging="360"/>
      </w:pPr>
    </w:lvl>
    <w:lvl w:ilvl="8" w:tplc="BE681F4A" w:tentative="1">
      <w:start w:val="1"/>
      <w:numFmt w:val="lowerRoman"/>
      <w:lvlText w:val="%9."/>
      <w:lvlJc w:val="right"/>
      <w:pPr>
        <w:ind w:left="6480" w:hanging="180"/>
      </w:pPr>
    </w:lvl>
  </w:abstractNum>
  <w:abstractNum w:abstractNumId="33" w15:restartNumberingAfterBreak="0">
    <w:nsid w:val="79B73FB3"/>
    <w:multiLevelType w:val="hybridMultilevel"/>
    <w:tmpl w:val="BED2FDB8"/>
    <w:lvl w:ilvl="0" w:tplc="028AACDC">
      <w:start w:val="1"/>
      <w:numFmt w:val="lowerLetter"/>
      <w:suff w:val="space"/>
      <w:lvlText w:val="%1)"/>
      <w:lvlJc w:val="left"/>
      <w:pPr>
        <w:ind w:left="720" w:hanging="360"/>
      </w:pPr>
      <w:rPr>
        <w:rFonts w:hint="default"/>
        <w:b/>
        <w:bCs/>
      </w:rPr>
    </w:lvl>
    <w:lvl w:ilvl="1" w:tplc="E500EB44" w:tentative="1">
      <w:start w:val="1"/>
      <w:numFmt w:val="lowerLetter"/>
      <w:lvlText w:val="%2."/>
      <w:lvlJc w:val="left"/>
      <w:pPr>
        <w:ind w:left="1440" w:hanging="360"/>
      </w:pPr>
    </w:lvl>
    <w:lvl w:ilvl="2" w:tplc="274C086A" w:tentative="1">
      <w:start w:val="1"/>
      <w:numFmt w:val="lowerRoman"/>
      <w:lvlText w:val="%3."/>
      <w:lvlJc w:val="right"/>
      <w:pPr>
        <w:ind w:left="2160" w:hanging="180"/>
      </w:pPr>
    </w:lvl>
    <w:lvl w:ilvl="3" w:tplc="1EE0F6DA" w:tentative="1">
      <w:start w:val="1"/>
      <w:numFmt w:val="decimal"/>
      <w:lvlText w:val="%4."/>
      <w:lvlJc w:val="left"/>
      <w:pPr>
        <w:ind w:left="2880" w:hanging="360"/>
      </w:pPr>
    </w:lvl>
    <w:lvl w:ilvl="4" w:tplc="B89A9BB6" w:tentative="1">
      <w:start w:val="1"/>
      <w:numFmt w:val="lowerLetter"/>
      <w:lvlText w:val="%5."/>
      <w:lvlJc w:val="left"/>
      <w:pPr>
        <w:ind w:left="3600" w:hanging="360"/>
      </w:pPr>
    </w:lvl>
    <w:lvl w:ilvl="5" w:tplc="28F0E1BE" w:tentative="1">
      <w:start w:val="1"/>
      <w:numFmt w:val="lowerRoman"/>
      <w:lvlText w:val="%6."/>
      <w:lvlJc w:val="right"/>
      <w:pPr>
        <w:ind w:left="4320" w:hanging="180"/>
      </w:pPr>
    </w:lvl>
    <w:lvl w:ilvl="6" w:tplc="C8062E50" w:tentative="1">
      <w:start w:val="1"/>
      <w:numFmt w:val="decimal"/>
      <w:lvlText w:val="%7."/>
      <w:lvlJc w:val="left"/>
      <w:pPr>
        <w:ind w:left="5040" w:hanging="360"/>
      </w:pPr>
    </w:lvl>
    <w:lvl w:ilvl="7" w:tplc="20606BCA" w:tentative="1">
      <w:start w:val="1"/>
      <w:numFmt w:val="lowerLetter"/>
      <w:lvlText w:val="%8."/>
      <w:lvlJc w:val="left"/>
      <w:pPr>
        <w:ind w:left="5760" w:hanging="360"/>
      </w:pPr>
    </w:lvl>
    <w:lvl w:ilvl="8" w:tplc="A61C1916"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3"/>
  </w:num>
  <w:num w:numId="4" w16cid:durableId="1957372512">
    <w:abstractNumId w:val="6"/>
  </w:num>
  <w:num w:numId="5" w16cid:durableId="1157116843">
    <w:abstractNumId w:val="20"/>
  </w:num>
  <w:num w:numId="6" w16cid:durableId="1042825473">
    <w:abstractNumId w:val="30"/>
  </w:num>
  <w:num w:numId="7" w16cid:durableId="21830877">
    <w:abstractNumId w:val="24"/>
  </w:num>
  <w:num w:numId="8" w16cid:durableId="56754572">
    <w:abstractNumId w:val="5"/>
  </w:num>
  <w:num w:numId="9" w16cid:durableId="412435335">
    <w:abstractNumId w:val="25"/>
  </w:num>
  <w:num w:numId="10" w16cid:durableId="1296908857">
    <w:abstractNumId w:val="18"/>
  </w:num>
  <w:num w:numId="11" w16cid:durableId="690834723">
    <w:abstractNumId w:val="27"/>
  </w:num>
  <w:num w:numId="12" w16cid:durableId="1100876761">
    <w:abstractNumId w:val="1"/>
  </w:num>
  <w:num w:numId="13" w16cid:durableId="869882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147865390">
    <w:abstractNumId w:val="28"/>
  </w:num>
  <w:num w:numId="19" w16cid:durableId="79840297">
    <w:abstractNumId w:val="31"/>
  </w:num>
  <w:num w:numId="20" w16cid:durableId="1244801404">
    <w:abstractNumId w:val="26"/>
  </w:num>
  <w:num w:numId="21" w16cid:durableId="108241618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3"/>
  </w:num>
  <w:num w:numId="24" w16cid:durableId="1915430468">
    <w:abstractNumId w:val="15"/>
  </w:num>
  <w:num w:numId="25" w16cid:durableId="1042173139">
    <w:abstractNumId w:val="22"/>
  </w:num>
  <w:num w:numId="26" w16cid:durableId="555091604">
    <w:abstractNumId w:val="33"/>
  </w:num>
  <w:num w:numId="27" w16cid:durableId="20300566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0993147">
    <w:abstractNumId w:val="19"/>
  </w:num>
  <w:num w:numId="29" w16cid:durableId="632752601">
    <w:abstractNumId w:val="4"/>
  </w:num>
  <w:num w:numId="30" w16cid:durableId="2001234260">
    <w:abstractNumId w:val="17"/>
  </w:num>
  <w:num w:numId="31" w16cid:durableId="1505973977">
    <w:abstractNumId w:val="10"/>
  </w:num>
  <w:num w:numId="32" w16cid:durableId="1505625766">
    <w:abstractNumId w:val="12"/>
  </w:num>
  <w:num w:numId="33" w16cid:durableId="686715357">
    <w:abstractNumId w:val="32"/>
  </w:num>
  <w:num w:numId="34" w16cid:durableId="1323923965">
    <w:abstractNumId w:val="7"/>
  </w:num>
  <w:num w:numId="35" w16cid:durableId="825436759">
    <w:abstractNumId w:val="16"/>
  </w:num>
  <w:num w:numId="36" w16cid:durableId="1200779062">
    <w:abstractNumId w:val="2"/>
  </w:num>
  <w:num w:numId="37" w16cid:durableId="611790731">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55E"/>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4BE8"/>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97AF1"/>
    <w:rsid w:val="00AA2680"/>
    <w:rsid w:val="00AA4587"/>
    <w:rsid w:val="00AB0F74"/>
    <w:rsid w:val="00AB30CF"/>
    <w:rsid w:val="00AB6A6F"/>
    <w:rsid w:val="00AB7949"/>
    <w:rsid w:val="00AC200D"/>
    <w:rsid w:val="00AC783E"/>
    <w:rsid w:val="00AC7852"/>
    <w:rsid w:val="00AD4D4D"/>
    <w:rsid w:val="00AD4F54"/>
    <w:rsid w:val="00AF3257"/>
    <w:rsid w:val="00AF5D36"/>
    <w:rsid w:val="00B00D61"/>
    <w:rsid w:val="00B02880"/>
    <w:rsid w:val="00B02BB3"/>
    <w:rsid w:val="00B03ECA"/>
    <w:rsid w:val="00B0710D"/>
    <w:rsid w:val="00B179EC"/>
    <w:rsid w:val="00B17B14"/>
    <w:rsid w:val="00B212B5"/>
    <w:rsid w:val="00B22C2D"/>
    <w:rsid w:val="00B22CF6"/>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05F0"/>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aliases w:val="Bullets 1,Capítulo,Vitor T,Vitor Título,Vitor T’tulo"/>
    <w:basedOn w:val="Normal"/>
    <w:link w:val="PargrafodaListaChar"/>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97AF1"/>
  </w:style>
  <w:style w:type="character" w:customStyle="1" w:styleId="MenoPendente1">
    <w:name w:val="Menção Pendente1"/>
    <w:basedOn w:val="Fontepargpadro"/>
    <w:uiPriority w:val="99"/>
    <w:semiHidden/>
    <w:unhideWhenUsed/>
    <w:rsid w:val="00A97AF1"/>
    <w:rPr>
      <w:color w:val="605E5C"/>
      <w:shd w:val="clear" w:color="auto" w:fill="E1DFDD"/>
    </w:rPr>
  </w:style>
  <w:style w:type="character" w:customStyle="1" w:styleId="PargrafodaListaChar">
    <w:name w:val="Parágrafo da Lista Char"/>
    <w:aliases w:val="Bullets 1 Char,Capítulo Char,Vitor T Char,Vitor Título Char,Vitor T’tulo Char"/>
    <w:link w:val="PargrafodaLista"/>
    <w:uiPriority w:val="34"/>
    <w:qFormat/>
    <w:locked/>
    <w:rsid w:val="00A97AF1"/>
    <w:rPr>
      <w:rFonts w:ascii="Times New Roman" w:eastAsia="Times New Roman" w:hAnsi="Times New Roman"/>
    </w:rPr>
  </w:style>
  <w:style w:type="table" w:styleId="TabeladeGrade1Clara-nfase3">
    <w:name w:val="Grid Table 1 Light Accent 3"/>
    <w:basedOn w:val="Tabelanormal"/>
    <w:uiPriority w:val="46"/>
    <w:rsid w:val="00A97AF1"/>
    <w:rPr>
      <w:rFonts w:asciiTheme="minorHAnsi" w:eastAsiaTheme="minorHAnsi" w:hAnsiTheme="minorHAnsi" w:cstheme="minorBidi"/>
      <w:sz w:val="22"/>
      <w:szCs w:val="22"/>
      <w:lang w:eastAsia="en-U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i-provider">
    <w:name w:val="ui-provider"/>
    <w:basedOn w:val="Fontepargpadro"/>
    <w:rsid w:val="00A97AF1"/>
  </w:style>
  <w:style w:type="character" w:customStyle="1" w:styleId="MenoPendente2">
    <w:name w:val="Menção Pendente2"/>
    <w:basedOn w:val="Fontepargpadro"/>
    <w:uiPriority w:val="99"/>
    <w:rsid w:val="00A97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ANTANDERDTVM.COM.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antander.com.br/atendimento-santander/" TargetMode="External"/><Relationship Id="rId17" Type="http://schemas.openxmlformats.org/officeDocument/2006/relationships/hyperlink" Target="https://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antanderassetmanagement.com.br/conteudos/relatorio-de-transparencia"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tect.checkpoint.com/v2/___https://www.vincipartners.com/negocios/infraestrutura___.YzJ1OmxvYm9kZXJpenpvOmM6bzo0YTM4NjVlMDA5ZmJlMTgyZDVjMzQ0YjE4ZTJkNzU3Mjo2OjUxODk6NGFlYzlkMmZhNGM3MWFjOWYxNWNmZjYxZmY1N2VjNThhY2FiODVmNWExZGY0ZjI3MzEyODNmODFkZjJmOGM1NTpwOlQ6T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AA367E-CAD5-49B9-9A6A-A87F4D4BC96E}">
  <ds:schemaRefs>
    <ds:schemaRef ds:uri="http://schemas.microsoft.com/sharepoint/v3/contenttype/forms"/>
  </ds:schemaRefs>
</ds:datastoreItem>
</file>

<file path=customXml/itemProps2.xml><?xml version="1.0" encoding="utf-8"?>
<ds:datastoreItem xmlns:ds="http://schemas.openxmlformats.org/officeDocument/2006/customXml" ds:itemID="{F3763231-D049-4A4B-8719-8B23ADF648A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45D47694-C812-4DE5-BB13-15A27FC33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14546</Words>
  <Characters>78550</Characters>
  <Application>Microsoft Office Word</Application>
  <DocSecurity>0</DocSecurity>
  <Lines>654</Lines>
  <Paragraphs>185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92911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2026-02-04T17:26:00Z</dcterms:created>
  <dcterms:modified xsi:type="dcterms:W3CDTF">2026-02-04T17:26:00Z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