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955A4" w14:textId="4D246CBF" w:rsidR="00AC4EFA" w:rsidRPr="00E65AD6" w:rsidRDefault="006900B4">
      <w:pPr>
        <w:spacing w:after="120" w:line="240" w:lineRule="auto"/>
        <w:jc w:val="center"/>
        <w:rPr>
          <w:rFonts w:ascii="Josefin Sans" w:eastAsia="Josefin Sans" w:hAnsi="Josefin Sans" w:cs="Josefin Sans"/>
          <w:b/>
        </w:rPr>
      </w:pPr>
      <w:r w:rsidRPr="00E65AD6">
        <w:rPr>
          <w:rFonts w:ascii="Josefin Sans" w:eastAsia="Josefin Sans" w:hAnsi="Josefin Sans" w:cs="Josefin Sans"/>
          <w:b/>
        </w:rPr>
        <w:t>REGULAMENTO DO</w:t>
      </w:r>
    </w:p>
    <w:p w14:paraId="18C955A5" w14:textId="77777777" w:rsidR="00AC4EFA" w:rsidRPr="00E65AD6" w:rsidRDefault="006900B4">
      <w:pPr>
        <w:spacing w:after="120" w:line="240" w:lineRule="auto"/>
        <w:ind w:left="-567" w:right="-511"/>
        <w:jc w:val="center"/>
        <w:rPr>
          <w:rFonts w:ascii="Josefin Sans" w:eastAsia="Josefin Sans" w:hAnsi="Josefin Sans" w:cs="Josefin Sans"/>
          <w:b/>
        </w:rPr>
      </w:pPr>
      <w:r w:rsidRPr="00E65AD6">
        <w:rPr>
          <w:rFonts w:ascii="Josefin Sans" w:eastAsia="Josefin Sans" w:hAnsi="Josefin Sans" w:cs="Josefin Sans"/>
          <w:b/>
        </w:rPr>
        <w:t>IVI QUANT FUNDO DE INVESTIMENTO FINANCEIRO</w:t>
      </w:r>
    </w:p>
    <w:p w14:paraId="18C955A6" w14:textId="07187904" w:rsidR="00AC4EFA" w:rsidRPr="00E65AD6" w:rsidRDefault="006900B4">
      <w:pPr>
        <w:spacing w:after="120" w:line="240" w:lineRule="auto"/>
        <w:ind w:left="-567" w:right="-511"/>
        <w:jc w:val="center"/>
        <w:rPr>
          <w:rFonts w:ascii="Josefin Sans" w:eastAsia="Josefin Sans" w:hAnsi="Josefin Sans" w:cs="Josefin Sans"/>
          <w:b/>
        </w:rPr>
      </w:pPr>
      <w:r w:rsidRPr="00E65AD6">
        <w:rPr>
          <w:rFonts w:ascii="Josefin Sans" w:eastAsia="Josefin Sans" w:hAnsi="Josefin Sans" w:cs="Josefin Sans"/>
          <w:b/>
        </w:rPr>
        <w:t xml:space="preserve">CNPJ/MF Nº </w:t>
      </w:r>
      <w:r w:rsidR="00777A90" w:rsidRPr="00777A90">
        <w:rPr>
          <w:rFonts w:ascii="Josefin Sans" w:eastAsia="Josefin Sans" w:hAnsi="Josefin Sans" w:cs="Josefin Sans"/>
          <w:b/>
        </w:rPr>
        <w:t>54.934.053/0001-09</w:t>
      </w:r>
    </w:p>
    <w:tbl>
      <w:tblPr>
        <w:tblStyle w:val="a"/>
        <w:tblW w:w="104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827"/>
        <w:gridCol w:w="3538"/>
      </w:tblGrid>
      <w:tr w:rsidR="00AC4EFA" w:rsidRPr="00E65AD6" w14:paraId="18C955A9" w14:textId="77777777">
        <w:trPr>
          <w:trHeight w:val="199"/>
        </w:trPr>
        <w:tc>
          <w:tcPr>
            <w:tcW w:w="10484" w:type="dxa"/>
            <w:gridSpan w:val="3"/>
            <w:shd w:val="clear" w:color="auto" w:fill="C9C9C9"/>
            <w:vAlign w:val="center"/>
          </w:tcPr>
          <w:p w14:paraId="18C955A7" w14:textId="77777777" w:rsidR="00AC4EFA" w:rsidRPr="00E65AD6" w:rsidRDefault="00AC4EFA">
            <w:pPr>
              <w:pBdr>
                <w:top w:val="nil"/>
                <w:left w:val="nil"/>
                <w:bottom w:val="nil"/>
                <w:right w:val="nil"/>
                <w:between w:val="nil"/>
              </w:pBdr>
              <w:spacing w:after="120"/>
              <w:ind w:left="-3368" w:right="-3367"/>
              <w:jc w:val="center"/>
              <w:rPr>
                <w:rFonts w:ascii="Josefin Sans" w:eastAsia="Josefin Sans" w:hAnsi="Josefin Sans" w:cs="Josefin Sans"/>
                <w:b/>
                <w:color w:val="000000"/>
                <w:sz w:val="22"/>
                <w:szCs w:val="22"/>
              </w:rPr>
            </w:pPr>
          </w:p>
          <w:p w14:paraId="18C955A8" w14:textId="77777777" w:rsidR="00AC4EFA" w:rsidRPr="00E65AD6" w:rsidRDefault="006900B4">
            <w:pPr>
              <w:pBdr>
                <w:top w:val="nil"/>
                <w:left w:val="nil"/>
                <w:bottom w:val="nil"/>
                <w:right w:val="nil"/>
                <w:between w:val="nil"/>
              </w:pBdr>
              <w:spacing w:after="120"/>
              <w:ind w:left="-3368" w:right="-3367"/>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CONDIÇÕES GERAIS APLICÁVEIS AO FUNDO</w:t>
            </w:r>
          </w:p>
        </w:tc>
      </w:tr>
      <w:tr w:rsidR="00AC4EFA" w:rsidRPr="00E65AD6" w14:paraId="18C955B1" w14:textId="77777777">
        <w:trPr>
          <w:trHeight w:val="394"/>
        </w:trPr>
        <w:tc>
          <w:tcPr>
            <w:tcW w:w="3119" w:type="dxa"/>
            <w:vAlign w:val="center"/>
          </w:tcPr>
          <w:p w14:paraId="18C955AA" w14:textId="77777777" w:rsidR="00AC4EFA" w:rsidRPr="00E65AD6" w:rsidRDefault="006900B4">
            <w:pPr>
              <w:pBdr>
                <w:top w:val="nil"/>
                <w:left w:val="nil"/>
                <w:bottom w:val="nil"/>
                <w:right w:val="nil"/>
                <w:between w:val="nil"/>
              </w:pBdr>
              <w:spacing w:after="120"/>
              <w:ind w:left="232" w:right="180" w:hanging="141"/>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Prazo de Duração:</w:t>
            </w:r>
          </w:p>
          <w:p w14:paraId="18C955AB" w14:textId="77777777" w:rsidR="00AC4EFA" w:rsidRPr="00E65AD6" w:rsidRDefault="006900B4">
            <w:pPr>
              <w:pBdr>
                <w:top w:val="nil"/>
                <w:left w:val="nil"/>
                <w:bottom w:val="nil"/>
                <w:right w:val="nil"/>
                <w:between w:val="nil"/>
              </w:pBdr>
              <w:spacing w:after="120"/>
              <w:jc w:val="center"/>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Indeterminado</w:t>
            </w:r>
          </w:p>
        </w:tc>
        <w:tc>
          <w:tcPr>
            <w:tcW w:w="3827" w:type="dxa"/>
            <w:vAlign w:val="center"/>
          </w:tcPr>
          <w:p w14:paraId="18C955AC"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Classes:</w:t>
            </w:r>
          </w:p>
          <w:p w14:paraId="18C955AD" w14:textId="77777777" w:rsidR="00AC4EFA" w:rsidRPr="00E65AD6" w:rsidRDefault="006900B4">
            <w:pPr>
              <w:pBdr>
                <w:top w:val="nil"/>
                <w:left w:val="nil"/>
                <w:bottom w:val="nil"/>
                <w:right w:val="nil"/>
                <w:between w:val="nil"/>
              </w:pBdr>
              <w:spacing w:after="120"/>
              <w:ind w:right="33"/>
              <w:jc w:val="center"/>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Classe Única</w:t>
            </w:r>
          </w:p>
        </w:tc>
        <w:tc>
          <w:tcPr>
            <w:tcW w:w="3538" w:type="dxa"/>
            <w:vAlign w:val="center"/>
          </w:tcPr>
          <w:p w14:paraId="18C955AE" w14:textId="77777777" w:rsidR="00AC4EFA" w:rsidRPr="00E65AD6" w:rsidRDefault="00AC4EFA">
            <w:pPr>
              <w:pBdr>
                <w:top w:val="nil"/>
                <w:left w:val="nil"/>
                <w:bottom w:val="nil"/>
                <w:right w:val="nil"/>
                <w:between w:val="nil"/>
              </w:pBdr>
              <w:spacing w:after="120"/>
              <w:ind w:left="-216"/>
              <w:jc w:val="center"/>
              <w:rPr>
                <w:rFonts w:ascii="Josefin Sans" w:eastAsia="Josefin Sans" w:hAnsi="Josefin Sans" w:cs="Josefin Sans"/>
                <w:color w:val="000000"/>
                <w:sz w:val="22"/>
                <w:szCs w:val="22"/>
              </w:rPr>
            </w:pPr>
          </w:p>
          <w:p w14:paraId="18C955AF" w14:textId="77777777" w:rsidR="00AC4EFA" w:rsidRPr="00E65AD6" w:rsidRDefault="006900B4">
            <w:pPr>
              <w:pBdr>
                <w:top w:val="nil"/>
                <w:left w:val="nil"/>
                <w:bottom w:val="nil"/>
                <w:right w:val="nil"/>
                <w:between w:val="nil"/>
              </w:pBdr>
              <w:spacing w:after="120"/>
              <w:ind w:left="-216"/>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Término | Exercício Social:</w:t>
            </w:r>
          </w:p>
          <w:p w14:paraId="18C955B0" w14:textId="77777777" w:rsidR="00AC4EFA" w:rsidRPr="00E65AD6" w:rsidRDefault="006900B4">
            <w:pPr>
              <w:pBdr>
                <w:top w:val="nil"/>
                <w:left w:val="nil"/>
                <w:bottom w:val="nil"/>
                <w:right w:val="nil"/>
                <w:between w:val="nil"/>
              </w:pBdr>
              <w:spacing w:after="120"/>
              <w:ind w:left="42" w:right="30"/>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Duração de 12 meses, encerrando no último Dia Útil do mês de </w:t>
            </w:r>
            <w:sdt>
              <w:sdtPr>
                <w:rPr>
                  <w:rFonts w:ascii="Josefin Sans" w:hAnsi="Josefin Sans"/>
                </w:rPr>
                <w:tag w:val="goog_rdk_0"/>
                <w:id w:val="154651216"/>
              </w:sdtPr>
              <w:sdtEndPr/>
              <w:sdtContent/>
            </w:sdt>
            <w:sdt>
              <w:sdtPr>
                <w:rPr>
                  <w:rFonts w:ascii="Josefin Sans" w:hAnsi="Josefin Sans"/>
                </w:rPr>
                <w:tag w:val="goog_rdk_1"/>
                <w:id w:val="-1137412266"/>
              </w:sdtPr>
              <w:sdtEndPr/>
              <w:sdtContent/>
            </w:sdt>
            <w:r w:rsidRPr="00E65AD6">
              <w:rPr>
                <w:rFonts w:ascii="Josefin Sans" w:eastAsia="Josefin Sans" w:hAnsi="Josefin Sans" w:cs="Josefin Sans"/>
                <w:color w:val="000000"/>
                <w:sz w:val="22"/>
                <w:szCs w:val="22"/>
              </w:rPr>
              <w:t>fevereiro e cada ano</w:t>
            </w:r>
          </w:p>
        </w:tc>
      </w:tr>
    </w:tbl>
    <w:p w14:paraId="18C955B2" w14:textId="77777777" w:rsidR="00AC4EFA" w:rsidRPr="00E65AD6" w:rsidRDefault="006900B4">
      <w:pPr>
        <w:pStyle w:val="Ttulo1"/>
        <w:numPr>
          <w:ilvl w:val="0"/>
          <w:numId w:val="13"/>
        </w:numPr>
        <w:pBdr>
          <w:left w:val="single" w:sz="4" w:space="2" w:color="000000"/>
        </w:pBdr>
        <w:spacing w:before="0" w:after="120"/>
        <w:ind w:left="-142"/>
        <w:rPr>
          <w:rFonts w:ascii="Josefin Sans" w:eastAsia="Josefin Sans" w:hAnsi="Josefin Sans" w:cs="Josefin Sans"/>
          <w:sz w:val="22"/>
          <w:szCs w:val="22"/>
        </w:rPr>
      </w:pPr>
      <w:r w:rsidRPr="00E65AD6">
        <w:rPr>
          <w:rFonts w:ascii="Josefin Sans" w:eastAsia="Josefin Sans" w:hAnsi="Josefin Sans" w:cs="Josefin Sans"/>
          <w:sz w:val="22"/>
          <w:szCs w:val="22"/>
        </w:rPr>
        <w:t>P</w:t>
      </w:r>
      <w:r w:rsidRPr="00E65AD6">
        <w:rPr>
          <w:rFonts w:ascii="Josefin Sans" w:eastAsia="Josefin Sans" w:hAnsi="Josefin Sans" w:cs="Josefin Sans"/>
          <w:smallCaps/>
          <w:sz w:val="22"/>
          <w:szCs w:val="22"/>
        </w:rPr>
        <w:t xml:space="preserve">restadores de </w:t>
      </w:r>
      <w:r w:rsidRPr="00E65AD6">
        <w:rPr>
          <w:rFonts w:ascii="Josefin Sans" w:eastAsia="Josefin Sans" w:hAnsi="Josefin Sans" w:cs="Josefin Sans"/>
          <w:sz w:val="22"/>
          <w:szCs w:val="22"/>
        </w:rPr>
        <w:t>S</w:t>
      </w:r>
      <w:r w:rsidRPr="00E65AD6">
        <w:rPr>
          <w:rFonts w:ascii="Josefin Sans" w:eastAsia="Josefin Sans" w:hAnsi="Josefin Sans" w:cs="Josefin Sans"/>
          <w:smallCaps/>
          <w:sz w:val="22"/>
          <w:szCs w:val="22"/>
        </w:rPr>
        <w:t>erviço</w:t>
      </w:r>
    </w:p>
    <w:tbl>
      <w:tblPr>
        <w:tblStyle w:val="a0"/>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5245"/>
      </w:tblGrid>
      <w:tr w:rsidR="00AC4EFA" w:rsidRPr="00E65AD6" w14:paraId="18C955B4" w14:textId="77777777">
        <w:tc>
          <w:tcPr>
            <w:tcW w:w="10490" w:type="dxa"/>
            <w:gridSpan w:val="2"/>
            <w:shd w:val="clear" w:color="auto" w:fill="BFBFBF"/>
            <w:vAlign w:val="center"/>
          </w:tcPr>
          <w:p w14:paraId="18C955B3"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Prestadores de Serviço Essenciais</w:t>
            </w:r>
          </w:p>
        </w:tc>
      </w:tr>
      <w:tr w:rsidR="00AC4EFA" w:rsidRPr="00E65AD6" w14:paraId="18C955B7" w14:textId="77777777">
        <w:trPr>
          <w:trHeight w:val="444"/>
        </w:trPr>
        <w:tc>
          <w:tcPr>
            <w:tcW w:w="5245" w:type="dxa"/>
            <w:shd w:val="clear" w:color="auto" w:fill="C00000"/>
            <w:vAlign w:val="center"/>
          </w:tcPr>
          <w:p w14:paraId="18C955B5"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Gestor</w:t>
            </w:r>
          </w:p>
        </w:tc>
        <w:tc>
          <w:tcPr>
            <w:tcW w:w="5245" w:type="dxa"/>
            <w:shd w:val="clear" w:color="auto" w:fill="C00000"/>
            <w:vAlign w:val="center"/>
          </w:tcPr>
          <w:p w14:paraId="18C955B6"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Administrador</w:t>
            </w:r>
          </w:p>
        </w:tc>
      </w:tr>
      <w:tr w:rsidR="00AC4EFA" w:rsidRPr="00E65AD6" w14:paraId="18C955C1" w14:textId="77777777">
        <w:tc>
          <w:tcPr>
            <w:tcW w:w="5245" w:type="dxa"/>
            <w:shd w:val="clear" w:color="auto" w:fill="FFFFFF"/>
            <w:vAlign w:val="center"/>
          </w:tcPr>
          <w:p w14:paraId="2DB6F70F" w14:textId="77777777" w:rsidR="00E65AD6" w:rsidRPr="00E65AD6" w:rsidRDefault="00E65AD6">
            <w:pPr>
              <w:pBdr>
                <w:top w:val="nil"/>
                <w:left w:val="nil"/>
                <w:bottom w:val="nil"/>
                <w:right w:val="nil"/>
                <w:between w:val="nil"/>
              </w:pBdr>
              <w:spacing w:after="120"/>
              <w:ind w:left="-107" w:right="-104" w:firstLine="107"/>
              <w:jc w:val="center"/>
              <w:rPr>
                <w:rFonts w:ascii="Josefin Sans" w:eastAsia="Arial" w:hAnsi="Josefin Sans" w:cs="Arial"/>
                <w:b/>
                <w:color w:val="000000"/>
                <w:sz w:val="22"/>
                <w:szCs w:val="22"/>
              </w:rPr>
            </w:pPr>
          </w:p>
          <w:p w14:paraId="18C955B8" w14:textId="6D58C30E" w:rsidR="00AC4EFA" w:rsidRPr="00E65AD6" w:rsidRDefault="006900B4">
            <w:pPr>
              <w:pBdr>
                <w:top w:val="nil"/>
                <w:left w:val="nil"/>
                <w:bottom w:val="nil"/>
                <w:right w:val="nil"/>
                <w:between w:val="nil"/>
              </w:pBdr>
              <w:spacing w:after="120"/>
              <w:ind w:left="-107" w:right="-104" w:firstLine="107"/>
              <w:jc w:val="center"/>
              <w:rPr>
                <w:rFonts w:ascii="Josefin Sans" w:eastAsia="Arial" w:hAnsi="Josefin Sans" w:cs="Arial"/>
                <w:b/>
                <w:color w:val="000000"/>
                <w:sz w:val="22"/>
                <w:szCs w:val="22"/>
              </w:rPr>
            </w:pPr>
            <w:r w:rsidRPr="00E65AD6">
              <w:rPr>
                <w:rFonts w:ascii="Josefin Sans" w:eastAsia="Arial" w:hAnsi="Josefin Sans" w:cs="Arial"/>
                <w:b/>
                <w:color w:val="000000"/>
                <w:sz w:val="22"/>
                <w:szCs w:val="22"/>
              </w:rPr>
              <w:t>IVI CAPITAL MANAGEMENT LTDA.</w:t>
            </w:r>
          </w:p>
          <w:p w14:paraId="18C955B9" w14:textId="77777777" w:rsidR="00AC4EFA" w:rsidRPr="00E65AD6" w:rsidRDefault="006900B4">
            <w:pPr>
              <w:pBdr>
                <w:top w:val="nil"/>
                <w:left w:val="nil"/>
                <w:bottom w:val="nil"/>
                <w:right w:val="nil"/>
                <w:between w:val="nil"/>
              </w:pBdr>
              <w:spacing w:after="120"/>
              <w:ind w:left="-107" w:right="-104" w:firstLine="107"/>
              <w:jc w:val="center"/>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 xml:space="preserve">Ato Declaratório CVM n.º 19.602, </w:t>
            </w:r>
            <w:r w:rsidRPr="00E65AD6">
              <w:rPr>
                <w:rFonts w:ascii="Josefin Sans" w:eastAsia="Josefin Sans" w:hAnsi="Josefin Sans" w:cs="Josefin Sans"/>
                <w:color w:val="000000"/>
                <w:sz w:val="22"/>
                <w:szCs w:val="22"/>
              </w:rPr>
              <w:t>expedido em 04 de março de 2022.</w:t>
            </w:r>
          </w:p>
          <w:p w14:paraId="18C955BA" w14:textId="77777777" w:rsidR="00AC4EFA" w:rsidRPr="00E65AD6" w:rsidRDefault="006900B4">
            <w:pPr>
              <w:pBdr>
                <w:top w:val="nil"/>
                <w:left w:val="nil"/>
                <w:bottom w:val="nil"/>
                <w:right w:val="nil"/>
                <w:between w:val="nil"/>
              </w:pBdr>
              <w:spacing w:after="120"/>
              <w:ind w:left="-107" w:right="-104" w:firstLine="107"/>
              <w:jc w:val="center"/>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CNPJ/ME</w:t>
            </w:r>
            <w:r w:rsidRPr="00E65AD6">
              <w:rPr>
                <w:rFonts w:ascii="Josefin Sans" w:eastAsia="Josefin Sans" w:hAnsi="Josefin Sans" w:cs="Josefin Sans"/>
                <w:color w:val="000000"/>
                <w:sz w:val="22"/>
                <w:szCs w:val="22"/>
              </w:rPr>
              <w:t xml:space="preserve">: </w:t>
            </w:r>
            <w:r w:rsidRPr="00E65AD6">
              <w:rPr>
                <w:rFonts w:ascii="Josefin Sans" w:eastAsia="Arial" w:hAnsi="Josefin Sans" w:cs="Arial"/>
                <w:color w:val="000000"/>
                <w:sz w:val="22"/>
                <w:szCs w:val="22"/>
              </w:rPr>
              <w:t>43.152.502/0001-40</w:t>
            </w:r>
          </w:p>
          <w:p w14:paraId="18C955BB" w14:textId="2DE676FA" w:rsidR="00AC4EFA" w:rsidRPr="00E65AD6" w:rsidRDefault="00AC4EFA" w:rsidP="00E65AD6">
            <w:pPr>
              <w:pBdr>
                <w:top w:val="nil"/>
                <w:left w:val="nil"/>
                <w:bottom w:val="nil"/>
                <w:right w:val="nil"/>
                <w:between w:val="nil"/>
              </w:pBdr>
              <w:spacing w:after="120"/>
              <w:ind w:right="-104"/>
              <w:rPr>
                <w:rFonts w:ascii="Josefin Sans" w:eastAsia="Josefin Sans" w:hAnsi="Josefin Sans" w:cs="Josefin Sans"/>
                <w:b/>
                <w:color w:val="000000"/>
                <w:sz w:val="22"/>
                <w:szCs w:val="22"/>
              </w:rPr>
            </w:pPr>
          </w:p>
        </w:tc>
        <w:tc>
          <w:tcPr>
            <w:tcW w:w="5245" w:type="dxa"/>
            <w:shd w:val="clear" w:color="auto" w:fill="FFFFFF"/>
            <w:vAlign w:val="center"/>
          </w:tcPr>
          <w:p w14:paraId="18C955BC" w14:textId="77777777" w:rsidR="00AC4EFA" w:rsidRPr="00E65AD6" w:rsidRDefault="00AC4EFA">
            <w:pPr>
              <w:pBdr>
                <w:top w:val="nil"/>
                <w:left w:val="nil"/>
                <w:bottom w:val="nil"/>
                <w:right w:val="nil"/>
                <w:between w:val="nil"/>
              </w:pBdr>
              <w:spacing w:after="120"/>
              <w:ind w:left="-107" w:right="-104" w:firstLine="107"/>
              <w:jc w:val="center"/>
              <w:rPr>
                <w:rFonts w:ascii="Josefin Sans" w:eastAsia="Josefin Sans" w:hAnsi="Josefin Sans" w:cs="Josefin Sans"/>
                <w:b/>
                <w:color w:val="000000"/>
                <w:sz w:val="22"/>
                <w:szCs w:val="22"/>
              </w:rPr>
            </w:pPr>
          </w:p>
          <w:p w14:paraId="18C955BD" w14:textId="77777777" w:rsidR="00AC4EFA" w:rsidRPr="00E65AD6" w:rsidRDefault="006900B4">
            <w:pPr>
              <w:pBdr>
                <w:top w:val="nil"/>
                <w:left w:val="nil"/>
                <w:bottom w:val="nil"/>
                <w:right w:val="nil"/>
                <w:between w:val="nil"/>
              </w:pBdr>
              <w:spacing w:after="120"/>
              <w:ind w:left="-107" w:right="-104" w:firstLine="107"/>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VÓRTX DISTRIBUIDORA DE TÍTULOS E VALORES MOBILIÁRIOS LTDA.</w:t>
            </w:r>
          </w:p>
          <w:p w14:paraId="18C955BE" w14:textId="77777777" w:rsidR="00AC4EFA" w:rsidRPr="00E65AD6" w:rsidRDefault="006900B4">
            <w:pPr>
              <w:pBdr>
                <w:top w:val="nil"/>
                <w:left w:val="nil"/>
                <w:bottom w:val="nil"/>
                <w:right w:val="nil"/>
                <w:between w:val="nil"/>
              </w:pBdr>
              <w:spacing w:after="120"/>
              <w:ind w:left="-107" w:right="-104" w:firstLine="107"/>
              <w:jc w:val="center"/>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Ato Declaratório</w:t>
            </w:r>
            <w:r w:rsidRPr="00E65AD6">
              <w:rPr>
                <w:rFonts w:ascii="Josefin Sans" w:eastAsia="Josefin Sans" w:hAnsi="Josefin Sans" w:cs="Josefin Sans"/>
                <w:color w:val="000000"/>
                <w:sz w:val="22"/>
                <w:szCs w:val="22"/>
              </w:rPr>
              <w:t xml:space="preserve"> </w:t>
            </w:r>
            <w:r w:rsidRPr="00E65AD6">
              <w:rPr>
                <w:rFonts w:ascii="Josefin Sans" w:eastAsia="Josefin Sans" w:hAnsi="Josefin Sans" w:cs="Josefin Sans"/>
                <w:b/>
                <w:color w:val="000000"/>
                <w:sz w:val="22"/>
                <w:szCs w:val="22"/>
              </w:rPr>
              <w:t>CVM n.º 14.820</w:t>
            </w:r>
            <w:r w:rsidRPr="00E65AD6">
              <w:rPr>
                <w:rFonts w:ascii="Josefin Sans" w:eastAsia="Josefin Sans" w:hAnsi="Josefin Sans" w:cs="Josefin Sans"/>
                <w:color w:val="000000"/>
                <w:sz w:val="22"/>
                <w:szCs w:val="22"/>
              </w:rPr>
              <w:t xml:space="preserve">, expedido em 8 de janeiro de 2016. </w:t>
            </w:r>
          </w:p>
          <w:p w14:paraId="18C955BF" w14:textId="77777777" w:rsidR="00AC4EFA" w:rsidRPr="00E65AD6" w:rsidRDefault="006900B4">
            <w:pPr>
              <w:pBdr>
                <w:top w:val="nil"/>
                <w:left w:val="nil"/>
                <w:bottom w:val="nil"/>
                <w:right w:val="nil"/>
                <w:between w:val="nil"/>
              </w:pBdr>
              <w:spacing w:after="120"/>
              <w:jc w:val="center"/>
              <w:rPr>
                <w:rFonts w:ascii="Josefin Sans" w:eastAsia="Josefin Sans" w:hAnsi="Josefin Sans" w:cs="Josefin Sans"/>
                <w:color w:val="000000"/>
                <w:sz w:val="22"/>
                <w:szCs w:val="22"/>
                <w:lang w:val="en-US"/>
              </w:rPr>
            </w:pPr>
            <w:r w:rsidRPr="00E65AD6">
              <w:rPr>
                <w:rFonts w:ascii="Josefin Sans" w:eastAsia="Josefin Sans" w:hAnsi="Josefin Sans" w:cs="Josefin Sans"/>
                <w:b/>
                <w:color w:val="000000"/>
                <w:sz w:val="22"/>
                <w:szCs w:val="22"/>
                <w:lang w:val="en-US"/>
              </w:rPr>
              <w:t>CNPJ/ME</w:t>
            </w:r>
            <w:r w:rsidRPr="00E65AD6">
              <w:rPr>
                <w:rFonts w:ascii="Josefin Sans" w:eastAsia="Josefin Sans" w:hAnsi="Josefin Sans" w:cs="Josefin Sans"/>
                <w:color w:val="000000"/>
                <w:sz w:val="22"/>
                <w:szCs w:val="22"/>
                <w:lang w:val="en-US"/>
              </w:rPr>
              <w:t>: 22.610.500/0001-88</w:t>
            </w:r>
          </w:p>
          <w:p w14:paraId="18C955C0" w14:textId="77777777" w:rsidR="00AC4EFA" w:rsidRPr="00E65AD6" w:rsidRDefault="006900B4">
            <w:pPr>
              <w:pBdr>
                <w:top w:val="nil"/>
                <w:left w:val="nil"/>
                <w:bottom w:val="nil"/>
                <w:right w:val="nil"/>
                <w:between w:val="nil"/>
              </w:pBdr>
              <w:spacing w:after="120"/>
              <w:ind w:left="-107" w:right="-104" w:firstLine="107"/>
              <w:jc w:val="center"/>
              <w:rPr>
                <w:rFonts w:ascii="Josefin Sans" w:eastAsia="Josefin Sans" w:hAnsi="Josefin Sans" w:cs="Josefin Sans"/>
                <w:color w:val="000000"/>
                <w:sz w:val="22"/>
                <w:szCs w:val="22"/>
                <w:lang w:val="en-US"/>
              </w:rPr>
            </w:pPr>
            <w:r w:rsidRPr="00E65AD6">
              <w:rPr>
                <w:rFonts w:ascii="Josefin Sans" w:eastAsia="Josefin Sans" w:hAnsi="Josefin Sans" w:cs="Josefin Sans"/>
                <w:b/>
                <w:color w:val="000000"/>
                <w:sz w:val="22"/>
                <w:szCs w:val="22"/>
                <w:lang w:val="en-US"/>
              </w:rPr>
              <w:t>GIIN</w:t>
            </w:r>
            <w:r w:rsidRPr="00E65AD6">
              <w:rPr>
                <w:rFonts w:ascii="Josefin Sans" w:eastAsia="Josefin Sans" w:hAnsi="Josefin Sans" w:cs="Josefin Sans"/>
                <w:color w:val="000000"/>
                <w:sz w:val="22"/>
                <w:szCs w:val="22"/>
                <w:lang w:val="en-US"/>
              </w:rPr>
              <w:t>: W9WKQW.</w:t>
            </w:r>
            <w:proofErr w:type="gramStart"/>
            <w:r w:rsidRPr="00E65AD6">
              <w:rPr>
                <w:rFonts w:ascii="Josefin Sans" w:eastAsia="Josefin Sans" w:hAnsi="Josefin Sans" w:cs="Josefin Sans"/>
                <w:color w:val="000000"/>
                <w:sz w:val="22"/>
                <w:szCs w:val="22"/>
                <w:lang w:val="en-US"/>
              </w:rPr>
              <w:t>00000.SP.</w:t>
            </w:r>
            <w:proofErr w:type="gramEnd"/>
            <w:r w:rsidRPr="00E65AD6">
              <w:rPr>
                <w:rFonts w:ascii="Josefin Sans" w:eastAsia="Josefin Sans" w:hAnsi="Josefin Sans" w:cs="Josefin Sans"/>
                <w:color w:val="000000"/>
                <w:sz w:val="22"/>
                <w:szCs w:val="22"/>
                <w:lang w:val="en-US"/>
              </w:rPr>
              <w:t>076</w:t>
            </w:r>
          </w:p>
        </w:tc>
      </w:tr>
      <w:tr w:rsidR="00AC4EFA" w:rsidRPr="00E65AD6" w14:paraId="18C955C3" w14:textId="77777777">
        <w:tc>
          <w:tcPr>
            <w:tcW w:w="10490" w:type="dxa"/>
            <w:gridSpan w:val="2"/>
            <w:shd w:val="clear" w:color="auto" w:fill="BFBFBF"/>
            <w:vAlign w:val="center"/>
          </w:tcPr>
          <w:p w14:paraId="18C955C2" w14:textId="77777777" w:rsidR="00AC4EFA" w:rsidRPr="00E65AD6" w:rsidRDefault="006900B4">
            <w:pPr>
              <w:keepNext/>
              <w:pBdr>
                <w:top w:val="nil"/>
                <w:left w:val="nil"/>
                <w:bottom w:val="nil"/>
                <w:right w:val="nil"/>
                <w:between w:val="nil"/>
              </w:pBdr>
              <w:spacing w:after="120"/>
              <w:ind w:left="-107" w:right="-104" w:firstLine="107"/>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Outros</w:t>
            </w:r>
          </w:p>
        </w:tc>
      </w:tr>
      <w:tr w:rsidR="00AC4EFA" w:rsidRPr="00E65AD6" w14:paraId="18C955C6" w14:textId="77777777">
        <w:tc>
          <w:tcPr>
            <w:tcW w:w="5245" w:type="dxa"/>
            <w:shd w:val="clear" w:color="auto" w:fill="C00000"/>
            <w:vAlign w:val="center"/>
          </w:tcPr>
          <w:p w14:paraId="18C955C4" w14:textId="77777777" w:rsidR="00AC4EFA" w:rsidRPr="00E65AD6" w:rsidRDefault="006900B4">
            <w:pPr>
              <w:keepNext/>
              <w:pBdr>
                <w:top w:val="nil"/>
                <w:left w:val="nil"/>
                <w:bottom w:val="nil"/>
                <w:right w:val="nil"/>
                <w:between w:val="nil"/>
              </w:pBdr>
              <w:spacing w:after="120"/>
              <w:ind w:left="-107" w:right="-104" w:firstLine="107"/>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Custódia</w:t>
            </w:r>
          </w:p>
        </w:tc>
        <w:tc>
          <w:tcPr>
            <w:tcW w:w="5245" w:type="dxa"/>
            <w:shd w:val="clear" w:color="auto" w:fill="C00000"/>
            <w:vAlign w:val="center"/>
          </w:tcPr>
          <w:p w14:paraId="18C955C5" w14:textId="77777777" w:rsidR="00AC4EFA" w:rsidRPr="00E65AD6" w:rsidRDefault="006900B4">
            <w:pPr>
              <w:keepNext/>
              <w:pBdr>
                <w:top w:val="nil"/>
                <w:left w:val="nil"/>
                <w:bottom w:val="nil"/>
                <w:right w:val="nil"/>
                <w:between w:val="nil"/>
              </w:pBdr>
              <w:spacing w:after="120"/>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Distribuição</w:t>
            </w:r>
          </w:p>
        </w:tc>
      </w:tr>
      <w:tr w:rsidR="00AC4EFA" w:rsidRPr="00E65AD6" w14:paraId="18C955CF" w14:textId="77777777">
        <w:tc>
          <w:tcPr>
            <w:tcW w:w="5245" w:type="dxa"/>
            <w:shd w:val="clear" w:color="auto" w:fill="FFFFFF"/>
            <w:vAlign w:val="center"/>
          </w:tcPr>
          <w:p w14:paraId="0C08F139" w14:textId="77777777" w:rsidR="008E375B" w:rsidRDefault="008E375B">
            <w:pPr>
              <w:keepNext/>
              <w:pBdr>
                <w:top w:val="nil"/>
                <w:left w:val="nil"/>
                <w:bottom w:val="nil"/>
                <w:right w:val="nil"/>
                <w:between w:val="nil"/>
              </w:pBdr>
              <w:spacing w:after="120"/>
              <w:ind w:left="-107" w:right="-104" w:firstLine="107"/>
              <w:jc w:val="center"/>
              <w:rPr>
                <w:rFonts w:ascii="Josefin Sans" w:eastAsia="Arial" w:hAnsi="Josefin Sans" w:cs="Arial"/>
                <w:b/>
                <w:sz w:val="22"/>
                <w:szCs w:val="22"/>
              </w:rPr>
            </w:pPr>
            <w:r w:rsidRPr="008E375B">
              <w:rPr>
                <w:rFonts w:ascii="Josefin Sans" w:eastAsia="Arial" w:hAnsi="Josefin Sans" w:cs="Arial"/>
                <w:b/>
                <w:sz w:val="22"/>
                <w:szCs w:val="22"/>
              </w:rPr>
              <w:t>S3 CACEIS BRASIL DISTRIBUIDORA DE TITULOS E VALORES MOBILIARIOS S.A</w:t>
            </w:r>
          </w:p>
          <w:p w14:paraId="18C955C8" w14:textId="6930B126" w:rsidR="00AC4EFA" w:rsidRPr="00E65AD6" w:rsidRDefault="006900B4">
            <w:pPr>
              <w:keepNext/>
              <w:pBdr>
                <w:top w:val="nil"/>
                <w:left w:val="nil"/>
                <w:bottom w:val="nil"/>
                <w:right w:val="nil"/>
                <w:between w:val="nil"/>
              </w:pBdr>
              <w:spacing w:after="120"/>
              <w:ind w:left="-107" w:right="-104" w:firstLine="107"/>
              <w:jc w:val="center"/>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Ato Declaratório CVM n.º</w:t>
            </w:r>
            <w:r w:rsidRPr="00E65AD6">
              <w:rPr>
                <w:rFonts w:ascii="Josefin Sans" w:eastAsia="Josefin Sans" w:hAnsi="Josefin Sans" w:cs="Josefin Sans"/>
                <w:color w:val="000000"/>
                <w:sz w:val="22"/>
                <w:szCs w:val="22"/>
              </w:rPr>
              <w:t xml:space="preserve"> </w:t>
            </w:r>
            <w:r w:rsidRPr="00E65AD6">
              <w:rPr>
                <w:rFonts w:ascii="Josefin Sans" w:eastAsia="Josefin Sans" w:hAnsi="Josefin Sans" w:cs="Josefin Sans"/>
                <w:b/>
                <w:color w:val="000000"/>
                <w:sz w:val="22"/>
                <w:szCs w:val="22"/>
              </w:rPr>
              <w:t>12.676,</w:t>
            </w:r>
            <w:r w:rsidRPr="00E65AD6">
              <w:rPr>
                <w:rFonts w:ascii="Josefin Sans" w:eastAsia="Josefin Sans" w:hAnsi="Josefin Sans" w:cs="Josefin Sans"/>
                <w:color w:val="000000"/>
                <w:sz w:val="22"/>
                <w:szCs w:val="22"/>
              </w:rPr>
              <w:t xml:space="preserve"> expedido em 07 de novembro de 2012</w:t>
            </w:r>
          </w:p>
          <w:p w14:paraId="18C955C9" w14:textId="77777777" w:rsidR="00AC4EFA" w:rsidRPr="00E65AD6" w:rsidRDefault="006900B4">
            <w:pPr>
              <w:keepNext/>
              <w:spacing w:after="120"/>
              <w:jc w:val="center"/>
              <w:rPr>
                <w:rFonts w:ascii="Josefin Sans" w:eastAsia="Josefin Sans" w:hAnsi="Josefin Sans" w:cs="Josefin Sans"/>
                <w:b/>
                <w:sz w:val="22"/>
                <w:szCs w:val="22"/>
              </w:rPr>
            </w:pPr>
            <w:r w:rsidRPr="00E65AD6">
              <w:rPr>
                <w:rFonts w:ascii="Josefin Sans" w:eastAsia="Josefin Sans" w:hAnsi="Josefin Sans" w:cs="Josefin Sans"/>
                <w:b/>
                <w:sz w:val="22"/>
                <w:szCs w:val="22"/>
              </w:rPr>
              <w:t>CNPJ/ME</w:t>
            </w:r>
            <w:r w:rsidRPr="00E65AD6">
              <w:rPr>
                <w:rFonts w:ascii="Josefin Sans" w:eastAsia="Josefin Sans" w:hAnsi="Josefin Sans" w:cs="Josefin Sans"/>
                <w:sz w:val="22"/>
                <w:szCs w:val="22"/>
              </w:rPr>
              <w:t xml:space="preserve">: </w:t>
            </w:r>
            <w:r w:rsidRPr="00E65AD6">
              <w:rPr>
                <w:rFonts w:ascii="Josefin Sans" w:eastAsia="Arial" w:hAnsi="Josefin Sans" w:cs="Arial"/>
                <w:sz w:val="22"/>
                <w:szCs w:val="22"/>
              </w:rPr>
              <w:t>62.318.407/0001-19.</w:t>
            </w:r>
          </w:p>
        </w:tc>
        <w:tc>
          <w:tcPr>
            <w:tcW w:w="5245" w:type="dxa"/>
            <w:shd w:val="clear" w:color="auto" w:fill="FFFFFF"/>
            <w:vAlign w:val="center"/>
          </w:tcPr>
          <w:p w14:paraId="18C955CA" w14:textId="77777777" w:rsidR="00AC4EFA" w:rsidRPr="00E65AD6" w:rsidRDefault="00AC4EFA">
            <w:pPr>
              <w:pBdr>
                <w:top w:val="nil"/>
                <w:left w:val="nil"/>
                <w:bottom w:val="nil"/>
                <w:right w:val="nil"/>
                <w:between w:val="nil"/>
              </w:pBdr>
              <w:spacing w:after="120"/>
              <w:ind w:left="-107" w:right="-104" w:firstLine="107"/>
              <w:jc w:val="center"/>
              <w:rPr>
                <w:rFonts w:ascii="Josefin Sans" w:eastAsia="Josefin Sans" w:hAnsi="Josefin Sans" w:cs="Josefin Sans"/>
                <w:b/>
                <w:color w:val="000000"/>
                <w:sz w:val="22"/>
                <w:szCs w:val="22"/>
              </w:rPr>
            </w:pPr>
          </w:p>
          <w:p w14:paraId="18C955CB" w14:textId="77777777" w:rsidR="00AC4EFA" w:rsidRPr="00E65AD6" w:rsidRDefault="006900B4">
            <w:pPr>
              <w:spacing w:after="120"/>
              <w:ind w:right="-104"/>
              <w:jc w:val="center"/>
              <w:rPr>
                <w:rFonts w:ascii="Josefin Sans" w:eastAsia="Josefin Sans" w:hAnsi="Josefin Sans" w:cs="Josefin Sans"/>
                <w:b/>
                <w:sz w:val="22"/>
                <w:szCs w:val="22"/>
              </w:rPr>
            </w:pPr>
            <w:r w:rsidRPr="00E65AD6">
              <w:rPr>
                <w:rFonts w:ascii="Josefin Sans" w:eastAsia="Josefin Sans" w:hAnsi="Josefin Sans" w:cs="Josefin Sans"/>
                <w:b/>
                <w:sz w:val="22"/>
                <w:szCs w:val="22"/>
              </w:rPr>
              <w:t>VÓRTX DISTRIBUIDORA DE TÍTULOS E VALORES MOBILIÁRIOS LTDA.</w:t>
            </w:r>
          </w:p>
          <w:p w14:paraId="18C955CC" w14:textId="77777777" w:rsidR="00AC4EFA" w:rsidRPr="00E65AD6" w:rsidRDefault="006900B4">
            <w:pPr>
              <w:pBdr>
                <w:top w:val="nil"/>
                <w:left w:val="nil"/>
                <w:bottom w:val="nil"/>
                <w:right w:val="nil"/>
                <w:between w:val="nil"/>
              </w:pBdr>
              <w:spacing w:after="120"/>
              <w:ind w:left="-107" w:right="-104" w:firstLine="107"/>
              <w:jc w:val="center"/>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Ato Declaratório</w:t>
            </w:r>
            <w:r w:rsidRPr="00E65AD6">
              <w:rPr>
                <w:rFonts w:ascii="Josefin Sans" w:eastAsia="Josefin Sans" w:hAnsi="Josefin Sans" w:cs="Josefin Sans"/>
                <w:color w:val="000000"/>
                <w:sz w:val="22"/>
                <w:szCs w:val="22"/>
              </w:rPr>
              <w:t xml:space="preserve"> </w:t>
            </w:r>
            <w:r w:rsidRPr="00E65AD6">
              <w:rPr>
                <w:rFonts w:ascii="Josefin Sans" w:eastAsia="Josefin Sans" w:hAnsi="Josefin Sans" w:cs="Josefin Sans"/>
                <w:b/>
                <w:color w:val="000000"/>
                <w:sz w:val="22"/>
                <w:szCs w:val="22"/>
              </w:rPr>
              <w:t>CVM n.º 14.820</w:t>
            </w:r>
            <w:r w:rsidRPr="00E65AD6">
              <w:rPr>
                <w:rFonts w:ascii="Josefin Sans" w:eastAsia="Josefin Sans" w:hAnsi="Josefin Sans" w:cs="Josefin Sans"/>
                <w:color w:val="000000"/>
                <w:sz w:val="22"/>
                <w:szCs w:val="22"/>
              </w:rPr>
              <w:t>, expedido em 8 de janeiro de 2016.</w:t>
            </w:r>
          </w:p>
          <w:p w14:paraId="18C955CD" w14:textId="77777777" w:rsidR="00AC4EFA" w:rsidRPr="00E65AD6" w:rsidRDefault="006900B4">
            <w:pPr>
              <w:pBdr>
                <w:top w:val="nil"/>
                <w:left w:val="nil"/>
                <w:bottom w:val="nil"/>
                <w:right w:val="nil"/>
                <w:between w:val="nil"/>
              </w:pBdr>
              <w:spacing w:after="120"/>
              <w:jc w:val="center"/>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CNPJ/ME</w:t>
            </w:r>
            <w:r w:rsidRPr="00E65AD6">
              <w:rPr>
                <w:rFonts w:ascii="Josefin Sans" w:eastAsia="Josefin Sans" w:hAnsi="Josefin Sans" w:cs="Josefin Sans"/>
                <w:color w:val="000000"/>
                <w:sz w:val="22"/>
                <w:szCs w:val="22"/>
              </w:rPr>
              <w:t>: 22.610.500/0001-88</w:t>
            </w:r>
          </w:p>
          <w:p w14:paraId="18C955CE" w14:textId="77777777" w:rsidR="00AC4EFA" w:rsidRPr="00E65AD6" w:rsidRDefault="00AC4EFA">
            <w:pPr>
              <w:keepNext/>
              <w:pBdr>
                <w:top w:val="nil"/>
                <w:left w:val="nil"/>
                <w:bottom w:val="nil"/>
                <w:right w:val="nil"/>
                <w:between w:val="nil"/>
              </w:pBdr>
              <w:spacing w:after="120"/>
              <w:ind w:left="-107" w:right="-104" w:firstLine="107"/>
              <w:jc w:val="center"/>
              <w:rPr>
                <w:rFonts w:ascii="Josefin Sans" w:eastAsia="Josefin Sans" w:hAnsi="Josefin Sans" w:cs="Josefin Sans"/>
                <w:b/>
                <w:color w:val="000000"/>
                <w:sz w:val="22"/>
                <w:szCs w:val="22"/>
              </w:rPr>
            </w:pPr>
          </w:p>
        </w:tc>
      </w:tr>
    </w:tbl>
    <w:p w14:paraId="18C955D0" w14:textId="77777777" w:rsidR="00AC4EFA" w:rsidRPr="00E65AD6" w:rsidRDefault="00AC4EFA">
      <w:pPr>
        <w:spacing w:after="120" w:line="240" w:lineRule="auto"/>
        <w:ind w:left="-567"/>
        <w:rPr>
          <w:rFonts w:ascii="Josefin Sans" w:eastAsia="Josefin Sans" w:hAnsi="Josefin Sans" w:cs="Josefin Sans"/>
        </w:rPr>
      </w:pPr>
    </w:p>
    <w:tbl>
      <w:tblPr>
        <w:tblStyle w:val="a1"/>
        <w:tblW w:w="10490" w:type="dxa"/>
        <w:tblInd w:w="-572" w:type="dxa"/>
        <w:tblBorders>
          <w:top w:val="nil"/>
          <w:left w:val="nil"/>
          <w:bottom w:val="nil"/>
          <w:right w:val="nil"/>
          <w:insideH w:val="nil"/>
          <w:insideV w:val="nil"/>
        </w:tblBorders>
        <w:tblLayout w:type="fixed"/>
        <w:tblLook w:val="0400" w:firstRow="0" w:lastRow="0" w:firstColumn="0" w:lastColumn="0" w:noHBand="0" w:noVBand="1"/>
      </w:tblPr>
      <w:tblGrid>
        <w:gridCol w:w="10490"/>
      </w:tblGrid>
      <w:tr w:rsidR="00AC4EFA" w:rsidRPr="00E65AD6" w14:paraId="18C955DA" w14:textId="77777777" w:rsidTr="00E65AD6">
        <w:trPr>
          <w:trHeight w:val="996"/>
        </w:trPr>
        <w:tc>
          <w:tcPr>
            <w:tcW w:w="10490" w:type="dxa"/>
            <w:tcBorders>
              <w:top w:val="single" w:sz="4" w:space="0" w:color="000000"/>
              <w:left w:val="single" w:sz="4" w:space="0" w:color="000000"/>
              <w:bottom w:val="single" w:sz="4" w:space="0" w:color="000000"/>
              <w:right w:val="single" w:sz="4" w:space="0" w:color="000000"/>
            </w:tcBorders>
          </w:tcPr>
          <w:p w14:paraId="18C955D1" w14:textId="77777777" w:rsidR="00AC4EFA" w:rsidRDefault="006900B4">
            <w:pPr>
              <w:pStyle w:val="Ttulo1"/>
              <w:numPr>
                <w:ilvl w:val="0"/>
                <w:numId w:val="11"/>
              </w:numPr>
              <w:spacing w:before="0" w:after="120"/>
              <w:ind w:left="318"/>
              <w:rPr>
                <w:rFonts w:ascii="Josefin Sans" w:eastAsia="Josefin Sans" w:hAnsi="Josefin Sans" w:cs="Josefin Sans"/>
                <w:smallCaps/>
                <w:sz w:val="22"/>
                <w:szCs w:val="22"/>
              </w:rPr>
            </w:pPr>
            <w:r w:rsidRPr="00E65AD6">
              <w:rPr>
                <w:rFonts w:ascii="Josefin Sans" w:eastAsia="Josefin Sans" w:hAnsi="Josefin Sans" w:cs="Josefin Sans"/>
                <w:smallCaps/>
                <w:sz w:val="22"/>
                <w:szCs w:val="22"/>
              </w:rPr>
              <w:t>Do Fundo</w:t>
            </w:r>
          </w:p>
          <w:p w14:paraId="18C955D2" w14:textId="51271A16" w:rsidR="00AC4EFA" w:rsidRPr="00E65AD6" w:rsidRDefault="006900B4" w:rsidP="00E65AD6">
            <w:pPr>
              <w:pStyle w:val="PargrafodaLista"/>
              <w:numPr>
                <w:ilvl w:val="0"/>
                <w:numId w:val="25"/>
              </w:numPr>
              <w:tabs>
                <w:tab w:val="left" w:pos="321"/>
              </w:tabs>
              <w:ind w:left="37" w:firstLine="0"/>
              <w:rPr>
                <w:rFonts w:ascii="Josefin Sans" w:eastAsia="Josefin Sans" w:hAnsi="Josefin Sans" w:cs="Josefin Sans"/>
                <w:color w:val="000000"/>
              </w:rPr>
            </w:pPr>
            <w:r w:rsidRPr="00E65AD6">
              <w:rPr>
                <w:rFonts w:ascii="Josefin Sans" w:eastAsia="Josefin Sans" w:hAnsi="Josefin Sans" w:cs="Josefin Sans"/>
                <w:color w:val="000000"/>
              </w:rPr>
              <w:t xml:space="preserve"> </w:t>
            </w:r>
            <w:r w:rsidR="00E65AD6">
              <w:rPr>
                <w:rFonts w:ascii="Josefin Sans" w:eastAsia="Josefin Sans" w:hAnsi="Josefin Sans" w:cs="Josefin Sans"/>
                <w:color w:val="000000"/>
              </w:rPr>
              <w:t xml:space="preserve">O </w:t>
            </w:r>
            <w:r w:rsidRPr="00E65AD6">
              <w:rPr>
                <w:rFonts w:ascii="Josefin Sans" w:eastAsia="Josefin Sans" w:hAnsi="Josefin Sans" w:cs="Josefin Sans"/>
                <w:color w:val="000000"/>
              </w:rPr>
              <w:t xml:space="preserve">IVI QUANT FUNDO DE INVESTIMENTO FINANCEIRO é uma comunhão de recursos, constituído sob a forma de condomínio de natureza especial e regido por este regulamento, destinado à aplicação em ativos aderentes à sua política de investimento, com o objetivo de proporcionar aos cotistas a valorização e a rentabilidade de suas cotas (“Fundo”). </w:t>
            </w:r>
          </w:p>
          <w:p w14:paraId="18C955D3" w14:textId="050F9B5F" w:rsidR="00AC4EFA" w:rsidRPr="00E65AD6" w:rsidRDefault="006900B4">
            <w:pPr>
              <w:keepNext/>
              <w:keepLines/>
              <w:numPr>
                <w:ilvl w:val="0"/>
                <w:numId w:val="25"/>
              </w:numPr>
              <w:pBdr>
                <w:top w:val="nil"/>
                <w:left w:val="nil"/>
                <w:bottom w:val="nil"/>
                <w:right w:val="nil"/>
                <w:between w:val="nil"/>
              </w:pBdr>
              <w:tabs>
                <w:tab w:val="left" w:pos="360"/>
              </w:tabs>
              <w:spacing w:after="120"/>
              <w:ind w:left="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lastRenderedPageBreak/>
              <w:t>O Fundo é composto por uma única classe (“Classe”) e poderá ter subclasses de cotas (“Subclasses”), a critério do Administrador, observada a regulamentação vigente. As Subclasses são diferenciadas exclusivamente por: (i) público</w:t>
            </w:r>
            <w:r w:rsidR="00C00432" w:rsidRPr="00E65AD6">
              <w:rPr>
                <w:rFonts w:ascii="Josefin Sans" w:eastAsia="Josefin Sans" w:hAnsi="Josefin Sans" w:cs="Josefin Sans"/>
                <w:color w:val="000000"/>
                <w:sz w:val="22"/>
                <w:szCs w:val="22"/>
              </w:rPr>
              <w:t>-</w:t>
            </w:r>
            <w:r w:rsidRPr="00E65AD6">
              <w:rPr>
                <w:rFonts w:ascii="Josefin Sans" w:eastAsia="Josefin Sans" w:hAnsi="Josefin Sans" w:cs="Josefin Sans"/>
                <w:color w:val="000000"/>
                <w:sz w:val="22"/>
                <w:szCs w:val="22"/>
              </w:rPr>
              <w:t>alvo, (</w:t>
            </w:r>
            <w:proofErr w:type="spellStart"/>
            <w:r w:rsidRPr="00E65AD6">
              <w:rPr>
                <w:rFonts w:ascii="Josefin Sans" w:eastAsia="Josefin Sans" w:hAnsi="Josefin Sans" w:cs="Josefin Sans"/>
                <w:color w:val="000000"/>
                <w:sz w:val="22"/>
                <w:szCs w:val="22"/>
              </w:rPr>
              <w:t>ii</w:t>
            </w:r>
            <w:proofErr w:type="spellEnd"/>
            <w:r w:rsidRPr="00E65AD6">
              <w:rPr>
                <w:rFonts w:ascii="Josefin Sans" w:eastAsia="Josefin Sans" w:hAnsi="Josefin Sans" w:cs="Josefin Sans"/>
                <w:color w:val="000000"/>
                <w:sz w:val="22"/>
                <w:szCs w:val="22"/>
              </w:rPr>
              <w:t>) prazos e condições de aplicação, amortização e resgate, e (</w:t>
            </w:r>
            <w:proofErr w:type="spellStart"/>
            <w:r w:rsidRPr="00E65AD6">
              <w:rPr>
                <w:rFonts w:ascii="Josefin Sans" w:eastAsia="Josefin Sans" w:hAnsi="Josefin Sans" w:cs="Josefin Sans"/>
                <w:color w:val="000000"/>
                <w:sz w:val="22"/>
                <w:szCs w:val="22"/>
              </w:rPr>
              <w:t>iii</w:t>
            </w:r>
            <w:proofErr w:type="spellEnd"/>
            <w:r w:rsidRPr="00E65AD6">
              <w:rPr>
                <w:rFonts w:ascii="Josefin Sans" w:eastAsia="Josefin Sans" w:hAnsi="Josefin Sans" w:cs="Josefin Sans"/>
                <w:color w:val="000000"/>
                <w:sz w:val="22"/>
                <w:szCs w:val="22"/>
              </w:rPr>
              <w:t xml:space="preserve">) taxas de administração, gestão, distribuição máxima, ingresso e saída. </w:t>
            </w:r>
          </w:p>
          <w:p w14:paraId="18C955D4" w14:textId="77777777" w:rsidR="00AC4EFA" w:rsidRPr="00E65AD6" w:rsidRDefault="006900B4">
            <w:pPr>
              <w:keepNext/>
              <w:keepLines/>
              <w:numPr>
                <w:ilvl w:val="0"/>
                <w:numId w:val="25"/>
              </w:numPr>
              <w:pBdr>
                <w:top w:val="nil"/>
                <w:left w:val="nil"/>
                <w:bottom w:val="nil"/>
                <w:right w:val="nil"/>
                <w:between w:val="nil"/>
              </w:pBdr>
              <w:tabs>
                <w:tab w:val="left" w:pos="360"/>
              </w:tabs>
              <w:spacing w:after="120"/>
              <w:ind w:left="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 Regulamento é composto por essa Parte Geral, seu(s) Anexo(s) e Apêndice(s) (caso existam), que conterão as informações do Fundo, da(s) Classe(s) e da(s) Subclasse(s), respectivamente (“Regulamento”). Para fins da interpretação deste Regulamento, quaisquer referências ao Fundo abrangerão também sua Classe e Subclasses, conforme o caso, bem como quaisquer referências ao Regulamento abrangerão sua Parte Geral, o Anexo e Apêndices, exceto quando houver indicação expressa em sentido contrário. Em caso de divergência entre as condições estipuladas no Regulamento, deverá ser sempre considerada a previsão mais específica, de modo que o Anexo prevalecerá sobre a Parte Geral e os Apêndices prevalecerão sobre a Parte Geral e o Anexo.</w:t>
            </w:r>
          </w:p>
          <w:p w14:paraId="18C955D5" w14:textId="77777777" w:rsidR="00AC4EFA" w:rsidRPr="00E65AD6" w:rsidRDefault="006900B4">
            <w:pPr>
              <w:numPr>
                <w:ilvl w:val="0"/>
                <w:numId w:val="25"/>
              </w:numPr>
              <w:pBdr>
                <w:top w:val="nil"/>
                <w:left w:val="nil"/>
                <w:bottom w:val="nil"/>
                <w:right w:val="nil"/>
                <w:between w:val="nil"/>
              </w:pBdr>
              <w:tabs>
                <w:tab w:val="left" w:pos="360"/>
                <w:tab w:val="left" w:pos="570"/>
              </w:tabs>
              <w:spacing w:after="120"/>
              <w:ind w:left="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A qualidade </w:t>
            </w:r>
            <w:proofErr w:type="gramStart"/>
            <w:r w:rsidRPr="00E65AD6">
              <w:rPr>
                <w:rFonts w:ascii="Josefin Sans" w:eastAsia="Josefin Sans" w:hAnsi="Josefin Sans" w:cs="Josefin Sans"/>
                <w:color w:val="000000"/>
                <w:sz w:val="22"/>
                <w:szCs w:val="22"/>
              </w:rPr>
              <w:t>de Cotista</w:t>
            </w:r>
            <w:proofErr w:type="gramEnd"/>
            <w:r w:rsidRPr="00E65AD6">
              <w:rPr>
                <w:rFonts w:ascii="Josefin Sans" w:eastAsia="Josefin Sans" w:hAnsi="Josefin Sans" w:cs="Josefin Sans"/>
                <w:color w:val="000000"/>
                <w:sz w:val="22"/>
                <w:szCs w:val="22"/>
              </w:rPr>
              <w:t xml:space="preserve"> caracteriza-se pela adesão do investidor aos termos desse Regulamento e pela inscrição de seu nome no registro de Cotistas da classe que vier a aderir, o qual deverá manter seus dados atualizados perante a classe. Somente devem ser consideradas as aplicações como efetivadas, após a efetiva disponibilidade dos recursos na conta corrente da classe que vier a aderir nos prazos definidos neste Regulamento.</w:t>
            </w:r>
          </w:p>
          <w:p w14:paraId="18C955D6" w14:textId="77777777" w:rsidR="00AC4EFA" w:rsidRPr="00E65AD6" w:rsidRDefault="006900B4">
            <w:pPr>
              <w:pBdr>
                <w:top w:val="nil"/>
                <w:left w:val="nil"/>
                <w:bottom w:val="nil"/>
                <w:right w:val="nil"/>
                <w:between w:val="nil"/>
              </w:pBdr>
              <w:tabs>
                <w:tab w:val="left" w:pos="360"/>
                <w:tab w:val="left" w:pos="570"/>
              </w:tabs>
              <w:spacing w:after="12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4.1. Para fins deste regulamento será considerado “Dia Útil”: qualquer dia exceto (a) sábados, domingos ou feriados nacionais, no Estado ou na Cidade de São Paulo; e (b) aqueles sem expediente na B3.</w:t>
            </w:r>
          </w:p>
          <w:p w14:paraId="18C955D7" w14:textId="77777777" w:rsidR="00AC4EFA" w:rsidRPr="00E65AD6" w:rsidRDefault="006900B4">
            <w:pPr>
              <w:numPr>
                <w:ilvl w:val="0"/>
                <w:numId w:val="25"/>
              </w:numPr>
              <w:pBdr>
                <w:top w:val="nil"/>
                <w:left w:val="nil"/>
                <w:bottom w:val="nil"/>
                <w:right w:val="nil"/>
                <w:between w:val="nil"/>
              </w:pBdr>
              <w:tabs>
                <w:tab w:val="left" w:pos="600"/>
              </w:tabs>
              <w:spacing w:after="120"/>
              <w:ind w:left="32" w:hanging="32"/>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Todas as informações exigidas pela regulamentação aplicável, incluído as informações periódicas e eventuais do Fundo, seus documentos e atos societários, serão divulgadas na página do Fundo, no site dos prestadores de serviços essenciais na rede mundial de computadores (</w:t>
            </w:r>
            <w:hyperlink r:id="rId11">
              <w:r w:rsidRPr="00E65AD6">
                <w:rPr>
                  <w:rFonts w:ascii="Josefin Sans" w:eastAsia="Josefin Sans" w:hAnsi="Josefin Sans" w:cs="Josefin Sans"/>
                  <w:color w:val="0563C1"/>
                  <w:sz w:val="22"/>
                  <w:szCs w:val="22"/>
                  <w:u w:val="single"/>
                </w:rPr>
                <w:t>https://www.vortx.com.br/investidor/fundos-investimento</w:t>
              </w:r>
            </w:hyperlink>
            <w:r w:rsidRPr="00E65AD6">
              <w:rPr>
                <w:rFonts w:ascii="Josefin Sans" w:eastAsia="Josefin Sans" w:hAnsi="Josefin Sans" w:cs="Josefin Sans"/>
                <w:color w:val="000000"/>
                <w:sz w:val="22"/>
                <w:szCs w:val="22"/>
              </w:rPr>
              <w:t xml:space="preserve"> e </w:t>
            </w:r>
            <w:hyperlink r:id="rId12">
              <w:r w:rsidRPr="00E65AD6">
                <w:rPr>
                  <w:rFonts w:ascii="Josefin Sans" w:eastAsia="Josefin Sans" w:hAnsi="Josefin Sans" w:cs="Josefin Sans"/>
                  <w:color w:val="1155CC"/>
                  <w:sz w:val="22"/>
                  <w:szCs w:val="22"/>
                  <w:u w:val="single"/>
                </w:rPr>
                <w:t>https://www.ivitec.com.br</w:t>
              </w:r>
            </w:hyperlink>
            <w:r w:rsidRPr="00E65AD6">
              <w:rPr>
                <w:rFonts w:ascii="Josefin Sans" w:eastAsia="Josefin Sans" w:hAnsi="Josefin Sans" w:cs="Josefin Sans"/>
                <w:sz w:val="22"/>
                <w:szCs w:val="22"/>
              </w:rPr>
              <w:t xml:space="preserve">), </w:t>
            </w:r>
            <w:r w:rsidRPr="00E65AD6">
              <w:rPr>
                <w:rFonts w:ascii="Josefin Sans" w:eastAsia="Josefin Sans" w:hAnsi="Josefin Sans" w:cs="Josefin Sans"/>
                <w:color w:val="000000"/>
                <w:sz w:val="22"/>
                <w:szCs w:val="22"/>
              </w:rPr>
              <w:t>para acesso gratuito do público em geral, bem como dos cotistas.</w:t>
            </w:r>
          </w:p>
          <w:p w14:paraId="18C955D8" w14:textId="77777777" w:rsidR="00AC4EFA" w:rsidRPr="00E65AD6" w:rsidRDefault="006900B4">
            <w:pPr>
              <w:numPr>
                <w:ilvl w:val="0"/>
                <w:numId w:val="25"/>
              </w:numPr>
              <w:pBdr>
                <w:top w:val="nil"/>
                <w:left w:val="nil"/>
                <w:bottom w:val="nil"/>
                <w:right w:val="nil"/>
                <w:between w:val="nil"/>
              </w:pBdr>
              <w:tabs>
                <w:tab w:val="left" w:pos="98"/>
              </w:tabs>
              <w:spacing w:after="120"/>
              <w:ind w:left="32"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Fica eleito o foro da Cidade de São Paulo, Estado de São Paulo, com expressa renúncia a outro, por mais privilegiado que possa ser, para dirimir quaisquer dúvidas ou questões decorrentes deste regulamento. </w:t>
            </w:r>
          </w:p>
          <w:p w14:paraId="18C955D9" w14:textId="77777777" w:rsidR="00AC4EFA" w:rsidRPr="00E65AD6" w:rsidRDefault="006900B4">
            <w:pPr>
              <w:numPr>
                <w:ilvl w:val="0"/>
                <w:numId w:val="24"/>
              </w:numPr>
              <w:pBdr>
                <w:top w:val="nil"/>
                <w:left w:val="nil"/>
                <w:bottom w:val="nil"/>
                <w:right w:val="nil"/>
                <w:between w:val="nil"/>
              </w:pBdr>
              <w:tabs>
                <w:tab w:val="left" w:pos="360"/>
              </w:tabs>
              <w:spacing w:after="120"/>
              <w:ind w:left="34"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Para fins de atendimento ao cotista, para esclarecimento de dúvidas e recebimento de reclamações, o serviço de Ouvidoria está disponível de segunda-feira a sexta-feira, das 9h00 às 18h00, por meio do número 0800 887 0456, além da possibilidade de comunicação via e-mail: </w:t>
            </w:r>
            <w:hyperlink r:id="rId13">
              <w:r w:rsidRPr="00E65AD6">
                <w:rPr>
                  <w:rFonts w:ascii="Josefin Sans" w:eastAsia="Josefin Sans" w:hAnsi="Josefin Sans" w:cs="Josefin Sans"/>
                  <w:color w:val="0563C1"/>
                  <w:sz w:val="22"/>
                  <w:szCs w:val="22"/>
                  <w:u w:val="single"/>
                </w:rPr>
                <w:t>ouvidoria@vortx.com.br</w:t>
              </w:r>
            </w:hyperlink>
            <w:r w:rsidRPr="00E65AD6">
              <w:rPr>
                <w:rFonts w:ascii="Josefin Sans" w:eastAsia="Josefin Sans" w:hAnsi="Josefin Sans" w:cs="Josefin Sans"/>
                <w:color w:val="000000"/>
                <w:sz w:val="22"/>
                <w:szCs w:val="22"/>
              </w:rPr>
              <w:t>.</w:t>
            </w:r>
          </w:p>
        </w:tc>
      </w:tr>
    </w:tbl>
    <w:p w14:paraId="18C955DB" w14:textId="77777777" w:rsidR="00AC4EFA" w:rsidRPr="00E65AD6" w:rsidRDefault="00AC4EFA">
      <w:pPr>
        <w:spacing w:after="120" w:line="240" w:lineRule="auto"/>
        <w:ind w:left="-567"/>
        <w:rPr>
          <w:rFonts w:ascii="Josefin Sans" w:eastAsia="Josefin Sans" w:hAnsi="Josefin Sans" w:cs="Josefin Sans"/>
        </w:rPr>
      </w:pPr>
    </w:p>
    <w:tbl>
      <w:tblPr>
        <w:tblStyle w:val="a2"/>
        <w:tblW w:w="10348" w:type="dxa"/>
        <w:tblInd w:w="-572" w:type="dxa"/>
        <w:tblBorders>
          <w:top w:val="nil"/>
          <w:left w:val="nil"/>
          <w:bottom w:val="nil"/>
          <w:right w:val="nil"/>
          <w:insideH w:val="nil"/>
          <w:insideV w:val="nil"/>
        </w:tblBorders>
        <w:tblLayout w:type="fixed"/>
        <w:tblLook w:val="0400" w:firstRow="0" w:lastRow="0" w:firstColumn="0" w:lastColumn="0" w:noHBand="0" w:noVBand="1"/>
      </w:tblPr>
      <w:tblGrid>
        <w:gridCol w:w="10348"/>
      </w:tblGrid>
      <w:tr w:rsidR="00AC4EFA" w:rsidRPr="00E65AD6" w14:paraId="18C955DD" w14:textId="77777777">
        <w:tc>
          <w:tcPr>
            <w:tcW w:w="10348" w:type="dxa"/>
            <w:tcBorders>
              <w:top w:val="single" w:sz="4" w:space="0" w:color="000000"/>
              <w:left w:val="single" w:sz="4" w:space="0" w:color="000000"/>
              <w:bottom w:val="single" w:sz="4" w:space="0" w:color="000000"/>
              <w:right w:val="single" w:sz="4" w:space="0" w:color="000000"/>
            </w:tcBorders>
            <w:shd w:val="clear" w:color="auto" w:fill="BFBFBF"/>
          </w:tcPr>
          <w:p w14:paraId="18C955DC" w14:textId="77777777" w:rsidR="00AC4EFA" w:rsidRPr="00E65AD6" w:rsidRDefault="006900B4">
            <w:pPr>
              <w:pStyle w:val="Ttulo1"/>
              <w:numPr>
                <w:ilvl w:val="0"/>
                <w:numId w:val="13"/>
              </w:numPr>
              <w:pBdr>
                <w:top w:val="none" w:sz="0" w:space="0" w:color="000000"/>
                <w:left w:val="none" w:sz="0" w:space="0" w:color="000000"/>
                <w:bottom w:val="none" w:sz="0" w:space="0" w:color="000000"/>
                <w:right w:val="none" w:sz="0" w:space="0" w:color="000000"/>
                <w:between w:val="none" w:sz="0" w:space="0" w:color="000000"/>
              </w:pBdr>
              <w:tabs>
                <w:tab w:val="left" w:pos="543"/>
              </w:tabs>
              <w:spacing w:before="0" w:after="120"/>
              <w:ind w:left="0"/>
              <w:rPr>
                <w:rFonts w:ascii="Josefin Sans" w:eastAsia="Josefin Sans" w:hAnsi="Josefin Sans" w:cs="Josefin Sans"/>
                <w:sz w:val="22"/>
                <w:szCs w:val="22"/>
              </w:rPr>
            </w:pPr>
            <w:r w:rsidRPr="00E65AD6">
              <w:rPr>
                <w:rFonts w:ascii="Josefin Sans" w:eastAsia="Josefin Sans" w:hAnsi="Josefin Sans" w:cs="Josefin Sans"/>
                <w:sz w:val="22"/>
                <w:szCs w:val="22"/>
              </w:rPr>
              <w:t>D</w:t>
            </w:r>
            <w:r w:rsidRPr="00E65AD6">
              <w:rPr>
                <w:rFonts w:ascii="Josefin Sans" w:eastAsia="Josefin Sans" w:hAnsi="Josefin Sans" w:cs="Josefin Sans"/>
                <w:smallCaps/>
                <w:sz w:val="22"/>
                <w:szCs w:val="22"/>
              </w:rPr>
              <w:t>os Prestadores</w:t>
            </w:r>
            <w:r w:rsidRPr="00E65AD6">
              <w:rPr>
                <w:rFonts w:ascii="Josefin Sans" w:eastAsia="Josefin Sans" w:hAnsi="Josefin Sans" w:cs="Josefin Sans"/>
                <w:sz w:val="22"/>
                <w:szCs w:val="22"/>
              </w:rPr>
              <w:t xml:space="preserve"> D</w:t>
            </w:r>
            <w:r w:rsidRPr="00E65AD6">
              <w:rPr>
                <w:rFonts w:ascii="Josefin Sans" w:eastAsia="Josefin Sans" w:hAnsi="Josefin Sans" w:cs="Josefin Sans"/>
                <w:smallCaps/>
                <w:sz w:val="22"/>
                <w:szCs w:val="22"/>
              </w:rPr>
              <w:t xml:space="preserve">e </w:t>
            </w:r>
            <w:r w:rsidRPr="00E65AD6">
              <w:rPr>
                <w:rFonts w:ascii="Josefin Sans" w:eastAsia="Josefin Sans" w:hAnsi="Josefin Sans" w:cs="Josefin Sans"/>
                <w:sz w:val="22"/>
                <w:szCs w:val="22"/>
              </w:rPr>
              <w:t>S</w:t>
            </w:r>
            <w:r w:rsidRPr="00E65AD6">
              <w:rPr>
                <w:rFonts w:ascii="Josefin Sans" w:eastAsia="Josefin Sans" w:hAnsi="Josefin Sans" w:cs="Josefin Sans"/>
                <w:smallCaps/>
                <w:sz w:val="22"/>
                <w:szCs w:val="22"/>
              </w:rPr>
              <w:t xml:space="preserve">erviços </w:t>
            </w:r>
            <w:r w:rsidRPr="00E65AD6">
              <w:rPr>
                <w:rFonts w:ascii="Josefin Sans" w:eastAsia="Josefin Sans" w:hAnsi="Josefin Sans" w:cs="Josefin Sans"/>
                <w:sz w:val="22"/>
                <w:szCs w:val="22"/>
              </w:rPr>
              <w:t>E</w:t>
            </w:r>
            <w:r w:rsidRPr="00E65AD6">
              <w:rPr>
                <w:rFonts w:ascii="Josefin Sans" w:eastAsia="Josefin Sans" w:hAnsi="Josefin Sans" w:cs="Josefin Sans"/>
                <w:smallCaps/>
                <w:sz w:val="22"/>
                <w:szCs w:val="22"/>
              </w:rPr>
              <w:t xml:space="preserve">ssenciais do </w:t>
            </w:r>
            <w:r w:rsidRPr="00E65AD6">
              <w:rPr>
                <w:rFonts w:ascii="Josefin Sans" w:eastAsia="Josefin Sans" w:hAnsi="Josefin Sans" w:cs="Josefin Sans"/>
                <w:sz w:val="22"/>
                <w:szCs w:val="22"/>
              </w:rPr>
              <w:t>F</w:t>
            </w:r>
            <w:r w:rsidRPr="00E65AD6">
              <w:rPr>
                <w:rFonts w:ascii="Josefin Sans" w:eastAsia="Josefin Sans" w:hAnsi="Josefin Sans" w:cs="Josefin Sans"/>
                <w:smallCaps/>
                <w:sz w:val="22"/>
                <w:szCs w:val="22"/>
              </w:rPr>
              <w:t>undo</w:t>
            </w:r>
          </w:p>
        </w:tc>
      </w:tr>
      <w:tr w:rsidR="00AC4EFA" w:rsidRPr="00E65AD6" w14:paraId="18C955E8" w14:textId="77777777">
        <w:tc>
          <w:tcPr>
            <w:tcW w:w="10348" w:type="dxa"/>
            <w:tcBorders>
              <w:top w:val="single" w:sz="4" w:space="0" w:color="000000"/>
              <w:left w:val="single" w:sz="4" w:space="0" w:color="000000"/>
              <w:bottom w:val="single" w:sz="4" w:space="0" w:color="000000"/>
              <w:right w:val="single" w:sz="4" w:space="0" w:color="000000"/>
            </w:tcBorders>
          </w:tcPr>
          <w:p w14:paraId="18C955DE" w14:textId="77777777" w:rsidR="00AC4EFA" w:rsidRPr="00E65AD6" w:rsidRDefault="006900B4">
            <w:pPr>
              <w:numPr>
                <w:ilvl w:val="0"/>
                <w:numId w:val="12"/>
              </w:numPr>
              <w:pBdr>
                <w:top w:val="nil"/>
                <w:left w:val="nil"/>
                <w:bottom w:val="nil"/>
                <w:right w:val="nil"/>
                <w:between w:val="nil"/>
              </w:pBdr>
              <w:tabs>
                <w:tab w:val="left" w:pos="570"/>
              </w:tabs>
              <w:spacing w:after="120"/>
              <w:ind w:left="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Os atos do Fundo se materializam por meio da atuação de seus prestadores de serviços essenciais, bem como pelos terceiros por eles contratados em nome do Fundo. </w:t>
            </w:r>
          </w:p>
          <w:p w14:paraId="18C955DF" w14:textId="77777777" w:rsidR="00AC4EFA" w:rsidRPr="00E65AD6" w:rsidRDefault="006900B4">
            <w:pPr>
              <w:numPr>
                <w:ilvl w:val="1"/>
                <w:numId w:val="12"/>
              </w:numPr>
              <w:pBdr>
                <w:top w:val="nil"/>
                <w:left w:val="nil"/>
                <w:bottom w:val="nil"/>
                <w:right w:val="nil"/>
                <w:between w:val="nil"/>
              </w:pBdr>
              <w:tabs>
                <w:tab w:val="left" w:pos="570"/>
              </w:tabs>
              <w:spacing w:after="120"/>
              <w:ind w:left="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Os prestadores de serviços essenciais, bem como os terceiros por eles contratados, estão obrigados a observar, em suas respectivas esferas de atuação, as normas de conduta previstas no artigo 106 da Resolução CVM nº 175/2022 (“RCVM 175”).</w:t>
            </w:r>
          </w:p>
          <w:p w14:paraId="18C955E0" w14:textId="77777777" w:rsidR="00AC4EFA" w:rsidRPr="00E65AD6" w:rsidRDefault="006900B4">
            <w:pPr>
              <w:numPr>
                <w:ilvl w:val="0"/>
                <w:numId w:val="12"/>
              </w:numPr>
              <w:pBdr>
                <w:top w:val="nil"/>
                <w:left w:val="nil"/>
                <w:bottom w:val="nil"/>
                <w:right w:val="nil"/>
                <w:between w:val="nil"/>
              </w:pBdr>
              <w:tabs>
                <w:tab w:val="left" w:pos="570"/>
              </w:tabs>
              <w:spacing w:after="120"/>
              <w:ind w:left="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O administrador tem amplos e gerais poderes para praticar todos os atos necessários à administração do Fundo, sem prejuízo dos direitos e obrigações </w:t>
            </w:r>
            <w:r w:rsidRPr="00E65AD6">
              <w:rPr>
                <w:rFonts w:ascii="Josefin Sans" w:eastAsia="Josefin Sans" w:hAnsi="Josefin Sans" w:cs="Josefin Sans"/>
                <w:sz w:val="22"/>
                <w:szCs w:val="22"/>
              </w:rPr>
              <w:t>específicas</w:t>
            </w:r>
            <w:r w:rsidRPr="00E65AD6">
              <w:rPr>
                <w:rFonts w:ascii="Josefin Sans" w:eastAsia="Josefin Sans" w:hAnsi="Josefin Sans" w:cs="Josefin Sans"/>
                <w:color w:val="000000"/>
                <w:sz w:val="22"/>
                <w:szCs w:val="22"/>
              </w:rPr>
              <w:t xml:space="preserve"> de terceiros contratados para a prestação de serviços ao Fundo, observadas as limitações estabelecidas neste regulamento, bem como pelas disposições legais e regulamentares aplicáveis.</w:t>
            </w:r>
          </w:p>
          <w:p w14:paraId="18C955E1" w14:textId="77777777" w:rsidR="00AC4EFA" w:rsidRPr="00E65AD6" w:rsidRDefault="006900B4">
            <w:pPr>
              <w:numPr>
                <w:ilvl w:val="1"/>
                <w:numId w:val="1"/>
              </w:numPr>
              <w:pBdr>
                <w:top w:val="nil"/>
                <w:left w:val="nil"/>
                <w:bottom w:val="nil"/>
                <w:right w:val="nil"/>
                <w:between w:val="nil"/>
              </w:pBdr>
              <w:tabs>
                <w:tab w:val="left" w:pos="570"/>
              </w:tabs>
              <w:spacing w:after="120"/>
              <w:ind w:left="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Caso o cotista não comunique o administrador a respeito da atualização de seu endereço físico ou eletrônico, o administrador fica exonerado do dever de envio das informações e comunicações previstas na RCVM 175, bem como neste regulamento, a partir da primeira correspondência que houver sido devolvida por incorreção do endereço declarado.</w:t>
            </w:r>
          </w:p>
          <w:p w14:paraId="18C955E2" w14:textId="77777777" w:rsidR="00AC4EFA" w:rsidRPr="00E65AD6" w:rsidRDefault="006900B4">
            <w:pPr>
              <w:numPr>
                <w:ilvl w:val="0"/>
                <w:numId w:val="12"/>
              </w:numPr>
              <w:pBdr>
                <w:top w:val="nil"/>
                <w:left w:val="nil"/>
                <w:bottom w:val="nil"/>
                <w:right w:val="nil"/>
                <w:between w:val="nil"/>
              </w:pBdr>
              <w:tabs>
                <w:tab w:val="left" w:pos="570"/>
              </w:tabs>
              <w:spacing w:after="120"/>
              <w:ind w:left="36"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 gestor tem poderes para praticar os atos necessários à gestão da carteira do Fundo, por meio da negociação de seus ativos, observado o disposto na política de investimento do Fundo.</w:t>
            </w:r>
          </w:p>
          <w:p w14:paraId="18C955E3" w14:textId="77777777" w:rsidR="00AC4EFA" w:rsidRPr="00E65AD6" w:rsidRDefault="006900B4">
            <w:pPr>
              <w:numPr>
                <w:ilvl w:val="0"/>
                <w:numId w:val="2"/>
              </w:numPr>
              <w:pBdr>
                <w:top w:val="nil"/>
                <w:left w:val="nil"/>
                <w:bottom w:val="nil"/>
                <w:right w:val="nil"/>
                <w:between w:val="nil"/>
              </w:pBdr>
              <w:tabs>
                <w:tab w:val="left" w:pos="570"/>
              </w:tabs>
              <w:spacing w:after="120"/>
              <w:ind w:left="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O exercício do direito de voto decorrente de ativos detidos pelo Fundo, a que se refere o inciso VIII deste artigo, seguirá o disposto na política de exercício de direito de voto do gestor, disponível no seguinte endereço eletrônico: </w:t>
            </w:r>
            <w:r w:rsidRPr="00E65AD6">
              <w:rPr>
                <w:rFonts w:ascii="Josefin Sans" w:eastAsia="Josefin Sans" w:hAnsi="Josefin Sans" w:cs="Josefin Sans"/>
                <w:sz w:val="22"/>
                <w:szCs w:val="22"/>
              </w:rPr>
              <w:t>https://www.ivitec.com.br/home/politicas</w:t>
            </w:r>
            <w:r w:rsidRPr="00E65AD6">
              <w:rPr>
                <w:rFonts w:ascii="Josefin Sans" w:eastAsia="Josefin Sans" w:hAnsi="Josefin Sans" w:cs="Josefin Sans"/>
                <w:color w:val="000000"/>
                <w:sz w:val="22"/>
                <w:szCs w:val="22"/>
              </w:rPr>
              <w:t>.</w:t>
            </w:r>
          </w:p>
          <w:p w14:paraId="18C955E4" w14:textId="77777777" w:rsidR="00AC4EFA" w:rsidRPr="00E65AD6" w:rsidRDefault="006900B4">
            <w:pPr>
              <w:numPr>
                <w:ilvl w:val="0"/>
                <w:numId w:val="2"/>
              </w:numPr>
              <w:pBdr>
                <w:top w:val="nil"/>
                <w:left w:val="nil"/>
                <w:bottom w:val="nil"/>
                <w:right w:val="nil"/>
                <w:between w:val="nil"/>
              </w:pBdr>
              <w:tabs>
                <w:tab w:val="left" w:pos="570"/>
              </w:tabs>
              <w:spacing w:after="120"/>
              <w:ind w:left="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lastRenderedPageBreak/>
              <w:t>A contratação de terceiros pelos prestadores de serviços essenciais deve contar com prévia e criteriosa análise e seleção do contratado, devendo o prestador de serviço essencial contratante figurar no contrato como interveniente anuente.</w:t>
            </w:r>
          </w:p>
          <w:p w14:paraId="18C955E5" w14:textId="77777777" w:rsidR="00AC4EFA" w:rsidRPr="00E65AD6" w:rsidRDefault="006900B4">
            <w:pPr>
              <w:numPr>
                <w:ilvl w:val="0"/>
                <w:numId w:val="2"/>
              </w:numPr>
              <w:pBdr>
                <w:top w:val="nil"/>
                <w:left w:val="nil"/>
                <w:bottom w:val="nil"/>
                <w:right w:val="nil"/>
                <w:between w:val="nil"/>
              </w:pBdr>
              <w:tabs>
                <w:tab w:val="left" w:pos="570"/>
              </w:tabs>
              <w:spacing w:after="120"/>
              <w:ind w:left="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Os prestadores de serviços devem transferir ao Fundo qualquer benefício ou vantagem que possam alcançar em decorrência de sua condição.</w:t>
            </w:r>
          </w:p>
          <w:p w14:paraId="18C955E6" w14:textId="77777777" w:rsidR="00AC4EFA" w:rsidRPr="00E65AD6" w:rsidRDefault="006900B4">
            <w:pPr>
              <w:numPr>
                <w:ilvl w:val="0"/>
                <w:numId w:val="2"/>
              </w:numPr>
              <w:pBdr>
                <w:top w:val="nil"/>
                <w:left w:val="nil"/>
                <w:bottom w:val="nil"/>
                <w:right w:val="nil"/>
                <w:between w:val="nil"/>
              </w:pBdr>
              <w:tabs>
                <w:tab w:val="left" w:pos="570"/>
              </w:tabs>
              <w:spacing w:after="120"/>
              <w:ind w:left="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Os prestadores de serviços essenciais e demais prestadores de serviços do Fundo respondem perante a Comissão de Valores Mobiliários (“CVM”), os cotistas e quaisquer terceiros, nas suas respectivas esferas de atuação e competência, sem solidariedade entre si ou com o Fundo, por seus próprios atos e omissões contrários à lei, ao regulamento do Fundo ou à regulamentação vigente, sem prejuízo do exercício do dever de fiscalizar, nas hipóteses expressamente previstas na RCVM 175, bem como naquelas eventualmente previstas neste regulamento.</w:t>
            </w:r>
          </w:p>
          <w:p w14:paraId="18C955E7" w14:textId="77777777" w:rsidR="00AC4EFA" w:rsidRPr="00E65AD6" w:rsidRDefault="006900B4">
            <w:pPr>
              <w:numPr>
                <w:ilvl w:val="1"/>
                <w:numId w:val="3"/>
              </w:numPr>
              <w:pBdr>
                <w:top w:val="nil"/>
                <w:left w:val="nil"/>
                <w:bottom w:val="nil"/>
                <w:right w:val="nil"/>
                <w:between w:val="nil"/>
              </w:pBdr>
              <w:tabs>
                <w:tab w:val="left" w:pos="570"/>
              </w:tabs>
              <w:spacing w:after="120"/>
              <w:ind w:left="36"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 aferição de responsabilidades dos prestadores de serviços tem como parâmetros as obrigações previstas na RCVM 175 e em regulamentações específicas em vigor, assim como aquelas previstas neste Regulamento e nos respectivos contratos de prestação de serviços.</w:t>
            </w:r>
          </w:p>
        </w:tc>
      </w:tr>
    </w:tbl>
    <w:p w14:paraId="18C955E9" w14:textId="77777777" w:rsidR="00AC4EFA" w:rsidRPr="00E65AD6" w:rsidRDefault="00AC4EFA">
      <w:pPr>
        <w:spacing w:after="120" w:line="240" w:lineRule="auto"/>
        <w:rPr>
          <w:rFonts w:ascii="Josefin Sans" w:eastAsia="Josefin Sans" w:hAnsi="Josefin Sans" w:cs="Josefin Sans"/>
          <w:smallCaps/>
        </w:rPr>
      </w:pPr>
    </w:p>
    <w:tbl>
      <w:tblPr>
        <w:tblStyle w:val="a3"/>
        <w:tblW w:w="10348" w:type="dxa"/>
        <w:tblInd w:w="-572" w:type="dxa"/>
        <w:tblBorders>
          <w:top w:val="nil"/>
          <w:left w:val="nil"/>
          <w:bottom w:val="nil"/>
          <w:right w:val="nil"/>
          <w:insideH w:val="nil"/>
          <w:insideV w:val="nil"/>
        </w:tblBorders>
        <w:tblLayout w:type="fixed"/>
        <w:tblLook w:val="0400" w:firstRow="0" w:lastRow="0" w:firstColumn="0" w:lastColumn="0" w:noHBand="0" w:noVBand="1"/>
      </w:tblPr>
      <w:tblGrid>
        <w:gridCol w:w="10348"/>
      </w:tblGrid>
      <w:tr w:rsidR="00AC4EFA" w:rsidRPr="00E65AD6" w14:paraId="18C955EB" w14:textId="77777777">
        <w:trPr>
          <w:trHeight w:val="201"/>
        </w:trPr>
        <w:tc>
          <w:tcPr>
            <w:tcW w:w="10348" w:type="dxa"/>
            <w:tcBorders>
              <w:top w:val="single" w:sz="4" w:space="0" w:color="000000"/>
              <w:left w:val="single" w:sz="4" w:space="0" w:color="000000"/>
              <w:bottom w:val="single" w:sz="4" w:space="0" w:color="000000"/>
              <w:right w:val="single" w:sz="4" w:space="0" w:color="000000"/>
            </w:tcBorders>
            <w:shd w:val="clear" w:color="auto" w:fill="000000"/>
          </w:tcPr>
          <w:p w14:paraId="18C955EA" w14:textId="77777777" w:rsidR="00AC4EFA" w:rsidRPr="00E65AD6" w:rsidRDefault="006900B4">
            <w:pPr>
              <w:pStyle w:val="Ttulo1"/>
              <w:keepNext/>
              <w:numPr>
                <w:ilvl w:val="0"/>
                <w:numId w:val="21"/>
              </w:numPr>
              <w:pBdr>
                <w:top w:val="none" w:sz="0" w:space="0" w:color="000000"/>
                <w:left w:val="none" w:sz="0" w:space="0" w:color="000000"/>
                <w:bottom w:val="none" w:sz="0" w:space="0" w:color="000000"/>
                <w:right w:val="none" w:sz="0" w:space="0" w:color="000000"/>
                <w:between w:val="none" w:sz="0" w:space="0" w:color="000000"/>
              </w:pBdr>
              <w:tabs>
                <w:tab w:val="left" w:pos="543"/>
              </w:tabs>
              <w:spacing w:before="0" w:after="120"/>
              <w:ind w:left="318"/>
              <w:rPr>
                <w:rFonts w:ascii="Josefin Sans" w:eastAsia="Josefin Sans" w:hAnsi="Josefin Sans" w:cs="Josefin Sans"/>
                <w:sz w:val="22"/>
                <w:szCs w:val="22"/>
              </w:rPr>
            </w:pPr>
            <w:r w:rsidRPr="00E65AD6">
              <w:rPr>
                <w:rFonts w:ascii="Josefin Sans" w:eastAsia="Josefin Sans" w:hAnsi="Josefin Sans" w:cs="Josefin Sans"/>
                <w:smallCaps/>
                <w:sz w:val="22"/>
                <w:szCs w:val="22"/>
              </w:rPr>
              <w:t>Da Assembleia Geral e Especial De Cotistas</w:t>
            </w:r>
          </w:p>
        </w:tc>
      </w:tr>
      <w:tr w:rsidR="00AC4EFA" w:rsidRPr="00E65AD6" w14:paraId="18C95607" w14:textId="77777777">
        <w:trPr>
          <w:trHeight w:val="996"/>
        </w:trPr>
        <w:tc>
          <w:tcPr>
            <w:tcW w:w="10348" w:type="dxa"/>
            <w:tcBorders>
              <w:top w:val="single" w:sz="4" w:space="0" w:color="000000"/>
              <w:left w:val="single" w:sz="4" w:space="0" w:color="000000"/>
              <w:bottom w:val="single" w:sz="4" w:space="0" w:color="000000"/>
              <w:right w:val="single" w:sz="4" w:space="0" w:color="000000"/>
            </w:tcBorders>
          </w:tcPr>
          <w:p w14:paraId="18C955EC" w14:textId="77777777" w:rsidR="00AC4EFA" w:rsidRPr="00E65AD6" w:rsidRDefault="006900B4">
            <w:pPr>
              <w:numPr>
                <w:ilvl w:val="0"/>
                <w:numId w:val="8"/>
              </w:numPr>
              <w:pBdr>
                <w:top w:val="nil"/>
                <w:left w:val="nil"/>
                <w:bottom w:val="nil"/>
                <w:right w:val="nil"/>
                <w:between w:val="nil"/>
              </w:pBdr>
              <w:tabs>
                <w:tab w:val="left" w:pos="584"/>
              </w:tabs>
              <w:spacing w:after="120"/>
              <w:ind w:left="0"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As matérias relacionadas ao Fundo e que sejam de interesse de Cotistas de todas as Classes e Subclasses deverão ser deliberadas em Assembleia Geral de cotistas, e permitirão a participação de todos que constem do registro de cotistas diretamente da(s) Classe(s) ou, se for o caso, das Subclasses, junto ao Administrador. As matérias de interesse de uma Classe e/ou Subclasse específicas, deverão ser deliberadas em Assembleia Especial de Cotistas da Classe ou Subclasse interessada, conforme aplicável.</w:t>
            </w:r>
          </w:p>
          <w:p w14:paraId="18C955ED" w14:textId="77777777" w:rsidR="00AC4EFA" w:rsidRPr="00E65AD6" w:rsidRDefault="006900B4">
            <w:pPr>
              <w:numPr>
                <w:ilvl w:val="1"/>
                <w:numId w:val="8"/>
              </w:numPr>
              <w:pBdr>
                <w:top w:val="nil"/>
                <w:left w:val="nil"/>
                <w:bottom w:val="nil"/>
                <w:right w:val="nil"/>
                <w:between w:val="nil"/>
              </w:pBdr>
              <w:tabs>
                <w:tab w:val="left" w:pos="584"/>
              </w:tabs>
              <w:spacing w:after="120"/>
              <w:ind w:left="36" w:right="37" w:hanging="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Será atribuído a cada cota o direito a um voto na assembleia de cotista, geral ou especial, devendo o cotista exercer o direito de voto no melhor interesse do Fundo e da classe a qual pertencer.</w:t>
            </w:r>
          </w:p>
          <w:p w14:paraId="18C955EE" w14:textId="77777777" w:rsidR="00AC4EFA" w:rsidRPr="00E65AD6" w:rsidRDefault="006900B4">
            <w:pPr>
              <w:numPr>
                <w:ilvl w:val="0"/>
                <w:numId w:val="8"/>
              </w:numPr>
              <w:pBdr>
                <w:top w:val="nil"/>
                <w:left w:val="nil"/>
                <w:bottom w:val="nil"/>
                <w:right w:val="nil"/>
                <w:between w:val="nil"/>
              </w:pBdr>
              <w:tabs>
                <w:tab w:val="left" w:pos="584"/>
              </w:tabs>
              <w:spacing w:after="120"/>
              <w:ind w:left="0"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 convocação da Assembleia de Cotistas, geral ou especial, deve ser feita com, no mínimo, 10 (dez) dias de antecedência da data de sua realização, observados os prazos aplicáveis nas hipóteses de Classes e/ou Subclasses, conforme o caso, distribuídas na modalidade por conta e ordem, conforme previsto na regulamentação vigente.</w:t>
            </w:r>
          </w:p>
          <w:p w14:paraId="18C955EF" w14:textId="77777777" w:rsidR="00AC4EFA" w:rsidRPr="00E65AD6" w:rsidRDefault="006900B4">
            <w:pPr>
              <w:numPr>
                <w:ilvl w:val="1"/>
                <w:numId w:val="8"/>
              </w:numPr>
              <w:pBdr>
                <w:top w:val="nil"/>
                <w:left w:val="nil"/>
                <w:bottom w:val="nil"/>
                <w:right w:val="nil"/>
                <w:between w:val="nil"/>
              </w:pBdr>
              <w:spacing w:after="120"/>
              <w:ind w:lef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A convocação da assembleia de cotistas deve ser encaminhada a cada cotista e disponibilizada nas páginas dos prestadores de serviços essenciais e, caso a distribuição de cotas esteja em andamento, dos distribuidores na rede mundial de computadores. </w:t>
            </w:r>
          </w:p>
          <w:p w14:paraId="18C955F0" w14:textId="77777777" w:rsidR="00AC4EFA" w:rsidRPr="00E65AD6" w:rsidRDefault="006900B4">
            <w:pPr>
              <w:numPr>
                <w:ilvl w:val="1"/>
                <w:numId w:val="8"/>
              </w:numPr>
              <w:pBdr>
                <w:top w:val="nil"/>
                <w:left w:val="nil"/>
                <w:bottom w:val="nil"/>
                <w:right w:val="nil"/>
                <w:between w:val="nil"/>
              </w:pBdr>
              <w:spacing w:after="120"/>
              <w:ind w:lef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 convocação indicará a página na rede mundial de computadores em que o cotista pode acessar os documentos pertinentes à proposta a ser submetida à apreciação da assembleia de cotistas, geral ou especial.</w:t>
            </w:r>
          </w:p>
          <w:p w14:paraId="18C955F1" w14:textId="77777777" w:rsidR="00AC4EFA" w:rsidRPr="00E65AD6" w:rsidRDefault="006900B4">
            <w:pPr>
              <w:numPr>
                <w:ilvl w:val="1"/>
                <w:numId w:val="8"/>
              </w:numPr>
              <w:pBdr>
                <w:top w:val="nil"/>
                <w:left w:val="nil"/>
                <w:bottom w:val="nil"/>
                <w:right w:val="nil"/>
                <w:between w:val="nil"/>
              </w:pBdr>
              <w:spacing w:after="120"/>
              <w:ind w:lef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Caso seja admitida a participação do cotista por meio de sistema eletrônico, na convocação conterá informações detalhando as regras e os procedimentos para viabilizar a participação e votação a distância, incluindo as informações necessárias e suficientes para acesso e utilização do sistema, assim como se a assembleia de cotistas será realizada parcial ou exclusivamente de modo eletrônico.</w:t>
            </w:r>
          </w:p>
          <w:p w14:paraId="18C955F2" w14:textId="77777777" w:rsidR="00AC4EFA" w:rsidRPr="00E65AD6" w:rsidRDefault="006900B4">
            <w:pPr>
              <w:numPr>
                <w:ilvl w:val="1"/>
                <w:numId w:val="8"/>
              </w:numPr>
              <w:pBdr>
                <w:top w:val="nil"/>
                <w:left w:val="nil"/>
                <w:bottom w:val="nil"/>
                <w:right w:val="nil"/>
                <w:between w:val="nil"/>
              </w:pBdr>
              <w:tabs>
                <w:tab w:val="left" w:pos="584"/>
              </w:tabs>
              <w:spacing w:after="120"/>
              <w:ind w:left="37"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 presença da totalidade dos cotistas supre a falta de convocação.</w:t>
            </w:r>
          </w:p>
          <w:p w14:paraId="18C955F3" w14:textId="77777777" w:rsidR="00AC4EFA" w:rsidRPr="00E65AD6" w:rsidRDefault="006900B4">
            <w:pPr>
              <w:numPr>
                <w:ilvl w:val="0"/>
                <w:numId w:val="8"/>
              </w:numPr>
              <w:pBdr>
                <w:top w:val="nil"/>
                <w:left w:val="nil"/>
                <w:bottom w:val="nil"/>
                <w:right w:val="nil"/>
                <w:between w:val="nil"/>
              </w:pBdr>
              <w:tabs>
                <w:tab w:val="left" w:pos="584"/>
              </w:tabs>
              <w:spacing w:after="120"/>
              <w:ind w:left="36" w:right="37" w:hanging="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A assembleia de cotistas, geral ou especial, pode ser realizada de modo: </w:t>
            </w:r>
          </w:p>
          <w:p w14:paraId="18C955F4" w14:textId="77777777" w:rsidR="00AC4EFA" w:rsidRPr="00E65AD6" w:rsidRDefault="006900B4">
            <w:pPr>
              <w:numPr>
                <w:ilvl w:val="0"/>
                <w:numId w:val="4"/>
              </w:numPr>
              <w:pBdr>
                <w:top w:val="nil"/>
                <w:left w:val="nil"/>
                <w:bottom w:val="nil"/>
                <w:right w:val="nil"/>
                <w:between w:val="nil"/>
              </w:pBdr>
              <w:tabs>
                <w:tab w:val="left" w:pos="1030"/>
              </w:tabs>
              <w:spacing w:after="120"/>
              <w:ind w:left="889" w:right="37" w:hanging="576"/>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exclusivamente eletrônico, caso os cotistas somente possam participar e votar por meio de comunicação escrita ou sistema eletrônico; ou </w:t>
            </w:r>
          </w:p>
          <w:p w14:paraId="18C955F5" w14:textId="77777777" w:rsidR="00AC4EFA" w:rsidRPr="00E65AD6" w:rsidRDefault="006900B4">
            <w:pPr>
              <w:numPr>
                <w:ilvl w:val="0"/>
                <w:numId w:val="4"/>
              </w:numPr>
              <w:pBdr>
                <w:top w:val="nil"/>
                <w:left w:val="nil"/>
                <w:bottom w:val="nil"/>
                <w:right w:val="nil"/>
                <w:between w:val="nil"/>
              </w:pBdr>
              <w:tabs>
                <w:tab w:val="left" w:pos="1030"/>
              </w:tabs>
              <w:spacing w:after="120"/>
              <w:ind w:left="889" w:right="37" w:hanging="576"/>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parcialmente eletrônico, caso os cotistas possam participar e votar tanto presencialmente quanto a distância por meio de comunicação escrita ou sistema eletrônico. </w:t>
            </w:r>
          </w:p>
          <w:p w14:paraId="18C955F6" w14:textId="77777777" w:rsidR="00AC4EFA" w:rsidRPr="00E65AD6" w:rsidRDefault="006900B4">
            <w:pPr>
              <w:numPr>
                <w:ilvl w:val="1"/>
                <w:numId w:val="8"/>
              </w:numPr>
              <w:pBdr>
                <w:top w:val="nil"/>
                <w:left w:val="nil"/>
                <w:bottom w:val="nil"/>
                <w:right w:val="nil"/>
                <w:between w:val="nil"/>
              </w:pBdr>
              <w:tabs>
                <w:tab w:val="left" w:pos="584"/>
              </w:tabs>
              <w:spacing w:after="120"/>
              <w:ind w:left="36" w:right="40" w:hanging="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No caso de utilização de modo eletrônico, o Administrador adotará meios para garantir a autenticidade e a segurança na transmissão de informações, particularmente os votos, que devem ser proferidos por meio de assinatura eletrônica ou outros meios eficazes para assegurar a identificação do cotista.</w:t>
            </w:r>
          </w:p>
          <w:p w14:paraId="18C955F7" w14:textId="77777777" w:rsidR="00AC4EFA" w:rsidRPr="00E65AD6" w:rsidRDefault="006900B4">
            <w:pPr>
              <w:numPr>
                <w:ilvl w:val="1"/>
                <w:numId w:val="8"/>
              </w:numPr>
              <w:pBdr>
                <w:top w:val="nil"/>
                <w:left w:val="nil"/>
                <w:bottom w:val="nil"/>
                <w:right w:val="nil"/>
                <w:between w:val="nil"/>
              </w:pBdr>
              <w:tabs>
                <w:tab w:val="left" w:pos="584"/>
              </w:tabs>
              <w:spacing w:after="120"/>
              <w:ind w:left="36" w:right="40" w:hanging="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Os cotistas podem votar por meio de comunicação escrita ou eletrônica, desde que recebida pelo Administrador antes do início da assembleia geral de cotistas.</w:t>
            </w:r>
          </w:p>
          <w:p w14:paraId="18C955F8" w14:textId="77777777" w:rsidR="00AC4EFA" w:rsidRPr="00E65AD6" w:rsidRDefault="006900B4">
            <w:pPr>
              <w:numPr>
                <w:ilvl w:val="0"/>
                <w:numId w:val="8"/>
              </w:numPr>
              <w:pBdr>
                <w:top w:val="nil"/>
                <w:left w:val="nil"/>
                <w:bottom w:val="nil"/>
                <w:right w:val="nil"/>
                <w:between w:val="nil"/>
              </w:pBdr>
              <w:tabs>
                <w:tab w:val="left" w:pos="584"/>
              </w:tabs>
              <w:spacing w:after="120"/>
              <w:ind w:left="36" w:right="40" w:hanging="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lastRenderedPageBreak/>
              <w:t>A assembleia de cotistas se instala com a presença de qualquer número de cotistas.</w:t>
            </w:r>
          </w:p>
          <w:p w14:paraId="18C955F9" w14:textId="77777777" w:rsidR="00AC4EFA" w:rsidRPr="00E65AD6" w:rsidRDefault="006900B4">
            <w:pPr>
              <w:numPr>
                <w:ilvl w:val="0"/>
                <w:numId w:val="8"/>
              </w:numPr>
              <w:pBdr>
                <w:top w:val="nil"/>
                <w:left w:val="nil"/>
                <w:bottom w:val="nil"/>
                <w:right w:val="nil"/>
                <w:between w:val="nil"/>
              </w:pBdr>
              <w:tabs>
                <w:tab w:val="left" w:pos="584"/>
              </w:tabs>
              <w:spacing w:after="120"/>
              <w:ind w:left="36" w:right="40" w:hanging="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Compete privativamente à assembleia de cotistas deliberar sobre as seguintes matérias, bem como a respeito do pagamento de encargos não previstos neste regulamento:</w:t>
            </w:r>
          </w:p>
          <w:p w14:paraId="18C955FA" w14:textId="77777777" w:rsidR="00AC4EFA" w:rsidRPr="00E65AD6" w:rsidRDefault="006900B4">
            <w:pPr>
              <w:numPr>
                <w:ilvl w:val="0"/>
                <w:numId w:val="17"/>
              </w:numPr>
              <w:pBdr>
                <w:top w:val="nil"/>
                <w:left w:val="nil"/>
                <w:bottom w:val="nil"/>
                <w:right w:val="nil"/>
                <w:between w:val="nil"/>
              </w:pBdr>
              <w:tabs>
                <w:tab w:val="left" w:pos="1030"/>
              </w:tabs>
              <w:spacing w:after="120"/>
              <w:ind w:left="889" w:right="40" w:hanging="56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Anualmente, as demonstrações contábeis do Fundo; </w:t>
            </w:r>
          </w:p>
          <w:p w14:paraId="18C955FB" w14:textId="77777777" w:rsidR="00AC4EFA" w:rsidRPr="00E65AD6" w:rsidRDefault="006900B4">
            <w:pPr>
              <w:numPr>
                <w:ilvl w:val="0"/>
                <w:numId w:val="17"/>
              </w:numPr>
              <w:pBdr>
                <w:top w:val="nil"/>
                <w:left w:val="nil"/>
                <w:bottom w:val="nil"/>
                <w:right w:val="nil"/>
                <w:between w:val="nil"/>
              </w:pBdr>
              <w:tabs>
                <w:tab w:val="left" w:pos="1030"/>
              </w:tabs>
              <w:spacing w:after="120"/>
              <w:ind w:left="889" w:right="40" w:hanging="56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 substituição de prestador de serviço essencial;</w:t>
            </w:r>
          </w:p>
          <w:p w14:paraId="18C955FC" w14:textId="77777777" w:rsidR="00AC4EFA" w:rsidRPr="00E65AD6" w:rsidRDefault="006900B4">
            <w:pPr>
              <w:numPr>
                <w:ilvl w:val="0"/>
                <w:numId w:val="17"/>
              </w:numPr>
              <w:pBdr>
                <w:top w:val="nil"/>
                <w:left w:val="nil"/>
                <w:bottom w:val="nil"/>
                <w:right w:val="nil"/>
                <w:between w:val="nil"/>
              </w:pBdr>
              <w:tabs>
                <w:tab w:val="left" w:pos="1030"/>
              </w:tabs>
              <w:spacing w:after="120"/>
              <w:ind w:left="889" w:right="40" w:hanging="56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 emissão de novas cotas, na classe fechada, hipótese na qual deve definir se os cotistas possuirão direito de preferência na subscrição das novas cotas, sem prejuízo do disposto no art. 48, § 2º, inciso VII;</w:t>
            </w:r>
          </w:p>
          <w:p w14:paraId="18C955FD" w14:textId="77777777" w:rsidR="00AC4EFA" w:rsidRPr="00E65AD6" w:rsidRDefault="006900B4">
            <w:pPr>
              <w:numPr>
                <w:ilvl w:val="0"/>
                <w:numId w:val="17"/>
              </w:numPr>
              <w:pBdr>
                <w:top w:val="nil"/>
                <w:left w:val="nil"/>
                <w:bottom w:val="nil"/>
                <w:right w:val="nil"/>
                <w:between w:val="nil"/>
              </w:pBdr>
              <w:tabs>
                <w:tab w:val="left" w:pos="1030"/>
              </w:tabs>
              <w:spacing w:after="120"/>
              <w:ind w:left="889" w:right="40" w:hanging="56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 fusão, a incorporação, a cisão, total ou parcial, a transformação ou a liquidação do Fundo ou da classe de cotas;</w:t>
            </w:r>
          </w:p>
          <w:p w14:paraId="18C955FE" w14:textId="1703A97E" w:rsidR="00AC4EFA" w:rsidRPr="00E65AD6" w:rsidRDefault="006900B4">
            <w:pPr>
              <w:numPr>
                <w:ilvl w:val="0"/>
                <w:numId w:val="17"/>
              </w:numPr>
              <w:pBdr>
                <w:top w:val="nil"/>
                <w:left w:val="nil"/>
                <w:bottom w:val="nil"/>
                <w:right w:val="nil"/>
                <w:between w:val="nil"/>
              </w:pBdr>
              <w:tabs>
                <w:tab w:val="left" w:pos="1030"/>
              </w:tabs>
              <w:spacing w:after="120"/>
              <w:ind w:left="889" w:right="40" w:hanging="56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 alteração do regulamento, seus Anexos e Apêndices, se houverem ressalvado o rol taxativo do artigo 52 da RCVM 175;</w:t>
            </w:r>
          </w:p>
          <w:p w14:paraId="18C955FF" w14:textId="77777777" w:rsidR="00AC4EFA" w:rsidRPr="00E65AD6" w:rsidRDefault="006900B4">
            <w:pPr>
              <w:numPr>
                <w:ilvl w:val="0"/>
                <w:numId w:val="17"/>
              </w:numPr>
              <w:pBdr>
                <w:top w:val="nil"/>
                <w:left w:val="nil"/>
                <w:bottom w:val="nil"/>
                <w:right w:val="nil"/>
                <w:between w:val="nil"/>
              </w:pBdr>
              <w:tabs>
                <w:tab w:val="left" w:pos="1030"/>
              </w:tabs>
              <w:spacing w:after="120"/>
              <w:ind w:left="889" w:right="40" w:hanging="56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 plano de resolução de patrimônio líquido negativo da respectiva classe; e</w:t>
            </w:r>
          </w:p>
          <w:p w14:paraId="18C95600" w14:textId="77777777" w:rsidR="00AC4EFA" w:rsidRPr="00E65AD6" w:rsidRDefault="006900B4">
            <w:pPr>
              <w:numPr>
                <w:ilvl w:val="0"/>
                <w:numId w:val="17"/>
              </w:numPr>
              <w:pBdr>
                <w:top w:val="nil"/>
                <w:left w:val="nil"/>
                <w:bottom w:val="nil"/>
                <w:right w:val="nil"/>
                <w:between w:val="nil"/>
              </w:pBdr>
              <w:tabs>
                <w:tab w:val="left" w:pos="1030"/>
              </w:tabs>
              <w:spacing w:after="120"/>
              <w:ind w:left="889" w:right="37" w:hanging="56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 pedido de declaração judicial de insolvência da respectiva classe de cotas.</w:t>
            </w:r>
          </w:p>
          <w:p w14:paraId="18C95601" w14:textId="77777777" w:rsidR="00AC4EFA" w:rsidRPr="00E65AD6" w:rsidRDefault="006900B4">
            <w:pPr>
              <w:numPr>
                <w:ilvl w:val="1"/>
                <w:numId w:val="8"/>
              </w:numPr>
              <w:pBdr>
                <w:top w:val="nil"/>
                <w:left w:val="nil"/>
                <w:bottom w:val="nil"/>
                <w:right w:val="nil"/>
                <w:between w:val="nil"/>
              </w:pBdr>
              <w:tabs>
                <w:tab w:val="left" w:pos="584"/>
              </w:tabs>
              <w:spacing w:after="120"/>
              <w:ind w:left="0"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Caso a Assembleia Geral ou Especial, conforme aplicável, convocada para deliberar sobre a matéria prevista no inciso I do item 5 acima, seja considerada não instalada ou não realizada pelo não comparecimento e/ou participação dos Cotistas, na hipótese de demonstrações contábeis do Fundo ou da Classe, conforme aplicável, cujo relatório de auditoria não contenha opinião modificada, tais demonstrações contábeis serão consideradas automaticamente aprovadas.</w:t>
            </w:r>
          </w:p>
          <w:p w14:paraId="18C95602" w14:textId="77777777" w:rsidR="00AC4EFA" w:rsidRPr="00E65AD6" w:rsidRDefault="006900B4">
            <w:pPr>
              <w:numPr>
                <w:ilvl w:val="0"/>
                <w:numId w:val="8"/>
              </w:numPr>
              <w:pBdr>
                <w:top w:val="nil"/>
                <w:left w:val="nil"/>
                <w:bottom w:val="nil"/>
                <w:right w:val="nil"/>
                <w:between w:val="nil"/>
              </w:pBdr>
              <w:tabs>
                <w:tab w:val="left" w:pos="584"/>
              </w:tabs>
              <w:spacing w:after="120"/>
              <w:ind w:left="36" w:right="37" w:hanging="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As deliberações da assembleia de cotistas, geral ou especial, serão tomadas pela maioria de votos dos cotistas presentes.</w:t>
            </w:r>
          </w:p>
          <w:p w14:paraId="18C95603" w14:textId="77777777" w:rsidR="00AC4EFA" w:rsidRPr="00E65AD6" w:rsidRDefault="006900B4">
            <w:pPr>
              <w:numPr>
                <w:ilvl w:val="0"/>
                <w:numId w:val="8"/>
              </w:numPr>
              <w:pBdr>
                <w:top w:val="nil"/>
                <w:left w:val="nil"/>
                <w:bottom w:val="nil"/>
                <w:right w:val="nil"/>
                <w:between w:val="nil"/>
              </w:pBdr>
              <w:tabs>
                <w:tab w:val="left" w:pos="584"/>
              </w:tabs>
              <w:spacing w:after="120"/>
              <w:ind w:left="36" w:right="37" w:hanging="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Somente podem votar na assembleia geral os cotistas inscritos no registro de cotistas na data da convocação da assembleia geral de cotistas, seus representantes legais ou procuradores legalmente constituídos, nos termos do artigo 77 da RCVM 175. </w:t>
            </w:r>
          </w:p>
          <w:p w14:paraId="18C95604" w14:textId="77777777" w:rsidR="00AC4EFA" w:rsidRPr="00E65AD6" w:rsidRDefault="006900B4">
            <w:pPr>
              <w:numPr>
                <w:ilvl w:val="0"/>
                <w:numId w:val="8"/>
              </w:numPr>
              <w:pBdr>
                <w:top w:val="nil"/>
                <w:left w:val="nil"/>
                <w:bottom w:val="nil"/>
                <w:right w:val="nil"/>
                <w:between w:val="nil"/>
              </w:pBdr>
              <w:tabs>
                <w:tab w:val="left" w:pos="584"/>
              </w:tabs>
              <w:spacing w:after="120"/>
              <w:ind w:left="36" w:right="37" w:hanging="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 resumo das decisões da assembleia geral de cotistas será disponibilizado aos cotistas no prazo de até 30 dias após a data de realização da assembleia de cotistas.</w:t>
            </w:r>
          </w:p>
          <w:p w14:paraId="18C95605" w14:textId="77777777" w:rsidR="00AC4EFA" w:rsidRPr="00E65AD6" w:rsidRDefault="006900B4">
            <w:pPr>
              <w:numPr>
                <w:ilvl w:val="0"/>
                <w:numId w:val="8"/>
              </w:numPr>
              <w:pBdr>
                <w:top w:val="nil"/>
                <w:left w:val="nil"/>
                <w:bottom w:val="nil"/>
                <w:right w:val="nil"/>
                <w:between w:val="nil"/>
              </w:pBdr>
              <w:tabs>
                <w:tab w:val="left" w:pos="584"/>
              </w:tabs>
              <w:spacing w:after="120"/>
              <w:ind w:left="36" w:right="37" w:hanging="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 critério exclusivo do Administrador, a deliberação sobre matérias de competência da Assembleia de Cotistas, sejam elas Gerais ou Especiais, poderá ser tomada mediante o processo de consulta formal, por meio físico e/ou eletrônico, conduzida nos termos da regulamentação em vigor, sem a necessidade de reunião dos Cotistas.</w:t>
            </w:r>
          </w:p>
          <w:p w14:paraId="18C95606" w14:textId="77777777" w:rsidR="00AC4EFA" w:rsidRPr="00E65AD6" w:rsidRDefault="006900B4">
            <w:pPr>
              <w:numPr>
                <w:ilvl w:val="1"/>
                <w:numId w:val="8"/>
              </w:numPr>
              <w:pBdr>
                <w:top w:val="nil"/>
                <w:left w:val="nil"/>
                <w:bottom w:val="nil"/>
                <w:right w:val="nil"/>
                <w:between w:val="nil"/>
              </w:pBdr>
              <w:tabs>
                <w:tab w:val="left" w:pos="584"/>
              </w:tabs>
              <w:spacing w:after="120"/>
              <w:ind w:left="36" w:right="37" w:hanging="8"/>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Na hipótese prevista por este artigo, deve ser concedido aos cotistas o prazo mínimo de 10 dias para manifestação, contado da consulta por meio eletrônico, ou de 15 dias, contado da consulta por meio físico.</w:t>
            </w:r>
          </w:p>
        </w:tc>
      </w:tr>
    </w:tbl>
    <w:p w14:paraId="18C95608" w14:textId="77777777" w:rsidR="00AC4EFA" w:rsidRPr="00E65AD6" w:rsidRDefault="00AC4EFA">
      <w:pPr>
        <w:spacing w:after="120" w:line="240" w:lineRule="auto"/>
        <w:rPr>
          <w:rFonts w:ascii="Josefin Sans" w:eastAsia="Josefin Sans" w:hAnsi="Josefin Sans" w:cs="Josefin Sans"/>
        </w:rPr>
      </w:pPr>
    </w:p>
    <w:tbl>
      <w:tblPr>
        <w:tblStyle w:val="a4"/>
        <w:tblW w:w="10348" w:type="dxa"/>
        <w:tblInd w:w="-572" w:type="dxa"/>
        <w:tblBorders>
          <w:top w:val="nil"/>
          <w:left w:val="nil"/>
          <w:bottom w:val="nil"/>
          <w:right w:val="nil"/>
          <w:insideH w:val="nil"/>
          <w:insideV w:val="nil"/>
        </w:tblBorders>
        <w:tblLayout w:type="fixed"/>
        <w:tblLook w:val="0400" w:firstRow="0" w:lastRow="0" w:firstColumn="0" w:lastColumn="0" w:noHBand="0" w:noVBand="1"/>
      </w:tblPr>
      <w:tblGrid>
        <w:gridCol w:w="10348"/>
      </w:tblGrid>
      <w:tr w:rsidR="00AC4EFA" w:rsidRPr="00E65AD6" w14:paraId="18C9560A" w14:textId="77777777">
        <w:trPr>
          <w:trHeight w:val="201"/>
        </w:trPr>
        <w:tc>
          <w:tcPr>
            <w:tcW w:w="10348" w:type="dxa"/>
            <w:tcBorders>
              <w:top w:val="single" w:sz="4" w:space="0" w:color="000000"/>
              <w:left w:val="single" w:sz="4" w:space="0" w:color="000000"/>
              <w:bottom w:val="single" w:sz="4" w:space="0" w:color="000000"/>
              <w:right w:val="single" w:sz="4" w:space="0" w:color="000000"/>
            </w:tcBorders>
            <w:shd w:val="clear" w:color="auto" w:fill="000000"/>
          </w:tcPr>
          <w:p w14:paraId="18C95609" w14:textId="77777777" w:rsidR="00AC4EFA" w:rsidRPr="00E65AD6" w:rsidRDefault="006900B4">
            <w:pPr>
              <w:pStyle w:val="Ttulo1"/>
              <w:keepNext/>
              <w:numPr>
                <w:ilvl w:val="0"/>
                <w:numId w:val="21"/>
              </w:numPr>
              <w:pBdr>
                <w:top w:val="none" w:sz="0" w:space="0" w:color="000000"/>
                <w:left w:val="none" w:sz="0" w:space="0" w:color="000000"/>
                <w:bottom w:val="none" w:sz="0" w:space="0" w:color="000000"/>
                <w:right w:val="none" w:sz="0" w:space="0" w:color="000000"/>
                <w:between w:val="none" w:sz="0" w:space="0" w:color="000000"/>
              </w:pBdr>
              <w:tabs>
                <w:tab w:val="left" w:pos="543"/>
              </w:tabs>
              <w:spacing w:before="0" w:after="120"/>
              <w:ind w:left="169"/>
              <w:rPr>
                <w:rFonts w:ascii="Josefin Sans" w:eastAsia="Josefin Sans" w:hAnsi="Josefin Sans" w:cs="Josefin Sans"/>
                <w:sz w:val="22"/>
                <w:szCs w:val="22"/>
              </w:rPr>
            </w:pPr>
            <w:r w:rsidRPr="00E65AD6">
              <w:rPr>
                <w:rFonts w:ascii="Josefin Sans" w:eastAsia="Josefin Sans" w:hAnsi="Josefin Sans" w:cs="Josefin Sans"/>
                <w:smallCaps/>
                <w:sz w:val="22"/>
                <w:szCs w:val="22"/>
              </w:rPr>
              <w:t>Dos Encargos</w:t>
            </w:r>
          </w:p>
        </w:tc>
      </w:tr>
      <w:tr w:rsidR="00AC4EFA" w:rsidRPr="00E65AD6" w14:paraId="18C95623" w14:textId="77777777">
        <w:trPr>
          <w:trHeight w:val="996"/>
        </w:trPr>
        <w:tc>
          <w:tcPr>
            <w:tcW w:w="10348" w:type="dxa"/>
            <w:tcBorders>
              <w:top w:val="single" w:sz="4" w:space="0" w:color="000000"/>
              <w:left w:val="single" w:sz="4" w:space="0" w:color="000000"/>
              <w:bottom w:val="single" w:sz="4" w:space="0" w:color="000000"/>
              <w:right w:val="single" w:sz="4" w:space="0" w:color="000000"/>
            </w:tcBorders>
          </w:tcPr>
          <w:p w14:paraId="18C9560B" w14:textId="77777777" w:rsidR="00AC4EFA" w:rsidRPr="00E65AD6" w:rsidRDefault="006900B4">
            <w:pPr>
              <w:numPr>
                <w:ilvl w:val="0"/>
                <w:numId w:val="18"/>
              </w:numPr>
              <w:pBdr>
                <w:top w:val="nil"/>
                <w:left w:val="nil"/>
                <w:bottom w:val="nil"/>
                <w:right w:val="nil"/>
                <w:between w:val="nil"/>
              </w:pBdr>
              <w:tabs>
                <w:tab w:val="left" w:pos="360"/>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Os encargos abaixo descritos, se aplicáveis, são passíveis de serem incorridos pelo Fundo ou individualmente pelas Classes ou Subclasses (se houver), conforme aplicável, sendo que qualquer das Classes ou das Subclasses (se houver) poderá incorrer isoladamente em tais despesas, e estas serão debitadas diretamente do patrimônio da Classe ou da Subclasse (se houver) sobre a qual incidam. </w:t>
            </w:r>
          </w:p>
          <w:p w14:paraId="18C9560C" w14:textId="77777777" w:rsidR="00AC4EFA" w:rsidRPr="00E65AD6" w:rsidRDefault="006900B4">
            <w:pPr>
              <w:numPr>
                <w:ilvl w:val="0"/>
                <w:numId w:val="18"/>
              </w:numPr>
              <w:pBdr>
                <w:top w:val="nil"/>
                <w:left w:val="nil"/>
                <w:bottom w:val="nil"/>
                <w:right w:val="nil"/>
                <w:between w:val="nil"/>
              </w:pBdr>
              <w:tabs>
                <w:tab w:val="left" w:pos="360"/>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Quando as despesas forem atribuídas ao Fundo como um todo, os encargos devidos serão </w:t>
            </w:r>
            <w:proofErr w:type="gramStart"/>
            <w:r w:rsidRPr="00E65AD6">
              <w:rPr>
                <w:rFonts w:ascii="Josefin Sans" w:eastAsia="Josefin Sans" w:hAnsi="Josefin Sans" w:cs="Josefin Sans"/>
                <w:color w:val="000000"/>
                <w:sz w:val="22"/>
                <w:szCs w:val="22"/>
              </w:rPr>
              <w:t>rateadas</w:t>
            </w:r>
            <w:proofErr w:type="gramEnd"/>
            <w:r w:rsidRPr="00E65AD6">
              <w:rPr>
                <w:rFonts w:ascii="Josefin Sans" w:eastAsia="Josefin Sans" w:hAnsi="Josefin Sans" w:cs="Josefin Sans"/>
                <w:color w:val="000000"/>
                <w:sz w:val="22"/>
                <w:szCs w:val="22"/>
              </w:rPr>
              <w:t xml:space="preserve"> proporcionalmente entre as Classes, na razão de seu patrimônio líquido, e delas debitadas diretamente. Quaisquer contingências incorridas pelo Fundo observarão os parâmetros acima para fins de rateio entre as Classes ou atribuição a determinada Classe. Adicionalmente, os encargos atribuíveis a determinadas Subclasses (se houver) serão exclusivamente alocadas a esta(s).</w:t>
            </w:r>
          </w:p>
          <w:p w14:paraId="18C9560D" w14:textId="77777777" w:rsidR="00AC4EFA" w:rsidRPr="00E65AD6" w:rsidRDefault="006900B4">
            <w:pPr>
              <w:numPr>
                <w:ilvl w:val="0"/>
                <w:numId w:val="18"/>
              </w:numPr>
              <w:pBdr>
                <w:top w:val="nil"/>
                <w:left w:val="nil"/>
                <w:bottom w:val="nil"/>
                <w:right w:val="nil"/>
                <w:between w:val="nil"/>
              </w:pBdr>
              <w:tabs>
                <w:tab w:val="left" w:pos="360"/>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Constituem encargos, em linha com o disposto acima:</w:t>
            </w:r>
          </w:p>
          <w:p w14:paraId="18C9560E"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taxas, impostos ou contribuições federais, estaduais, municipais ou autárquicas, que recaiam ou venham a recair sobre os bens, direitos e obrigações do Fundo;</w:t>
            </w:r>
          </w:p>
          <w:p w14:paraId="18C9560F"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despesas com o registro de documentos, impressão, expedição e publicação de relatórios e informações periódicas previstas na RCVM 175;</w:t>
            </w:r>
          </w:p>
          <w:p w14:paraId="18C95610"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lastRenderedPageBreak/>
              <w:t>despesas com correspondências de interesse do Fundo, inclusive comunicações aos cotistas;</w:t>
            </w:r>
          </w:p>
          <w:p w14:paraId="18C95611"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honorários e despesas do auditor independente;</w:t>
            </w:r>
          </w:p>
          <w:p w14:paraId="18C95612"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emolumentos e comissões pagas por operações da carteira de ativos;</w:t>
            </w:r>
          </w:p>
          <w:p w14:paraId="18C95613"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despesas com a manutenção de ativos cuja propriedade decorra de execução de garantia ou de acordo com devedor;</w:t>
            </w:r>
          </w:p>
          <w:p w14:paraId="18C95614"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honorários de advogado, custas e despesas processuais correlatas, incorridas em razão de defesa dos interesses do Fundo, em juízo ou fora dele, inclusive o valor da condenação imputada, se for o caso;</w:t>
            </w:r>
          </w:p>
          <w:p w14:paraId="18C95615"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gastos derivados da celebração de contratos de seguro sobre os ativos da carteira, assim como a parcela de prejuízos da carteira não coberta por apólices de seguro, salvo se decorrente diretamente de culpa ou dolo dos prestadores dos serviços no exercício de suas respectivas funções;</w:t>
            </w:r>
          </w:p>
          <w:p w14:paraId="18C95616"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despesas relacionadas ao exercício de direito de voto decorrente de ativos da carteira;</w:t>
            </w:r>
          </w:p>
          <w:p w14:paraId="18C95617"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despesas com a realização de assembleia geral de cotistas, incluindo pagamento de taxa ao administrador, conforme tabela de preços do administrador vigente por realização assembleia geral;</w:t>
            </w:r>
          </w:p>
          <w:p w14:paraId="18C95618"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despesas inerentes à constituição, fusão, incorporação, cisão, transformação ou liquidação do Fundo;</w:t>
            </w:r>
          </w:p>
          <w:p w14:paraId="18C95619"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despesas com liquidação, registro e custódia de operações com ativos da carteira;</w:t>
            </w:r>
          </w:p>
          <w:p w14:paraId="18C9561A"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despesas com fechamento de câmbio, vinculadas às operações da carteira de ativos;</w:t>
            </w:r>
          </w:p>
          <w:p w14:paraId="18C9561B"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royalties devidos pelo licenciamento de índices de referência, desde que cobrados de acordo com contrato estabelecido entre o Administrador e a instituição que detém os direitos sobre o índice;</w:t>
            </w:r>
          </w:p>
          <w:p w14:paraId="18C9561C"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taxas de administração e gestão, incluindo parcelas destinadas ao pagamento de prestadores de serviços contratados;</w:t>
            </w:r>
          </w:p>
          <w:p w14:paraId="18C9561D"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taxa de distribuição;</w:t>
            </w:r>
          </w:p>
          <w:p w14:paraId="18C9561E"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despesas relacionadas ao serviço de formação de mercado;</w:t>
            </w:r>
          </w:p>
          <w:p w14:paraId="18C9561F"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despesas decorrentes de empréstimos contraídos em nome Fundo, desde que de acordo com as hipóteses regulamentares aplicáveis;</w:t>
            </w:r>
          </w:p>
          <w:p w14:paraId="18C95620"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contratação da agência de classificação de risco de crédito, observadas as formalidades regulamentares aplicáveis;</w:t>
            </w:r>
          </w:p>
          <w:p w14:paraId="18C95621"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taxa de performance, se houver; e</w:t>
            </w:r>
          </w:p>
          <w:p w14:paraId="18C95622" w14:textId="77777777" w:rsidR="00AC4EFA" w:rsidRPr="00E65AD6" w:rsidRDefault="006900B4">
            <w:pPr>
              <w:numPr>
                <w:ilvl w:val="0"/>
                <w:numId w:val="14"/>
              </w:numPr>
              <w:pBdr>
                <w:top w:val="nil"/>
                <w:left w:val="nil"/>
                <w:bottom w:val="nil"/>
                <w:right w:val="nil"/>
                <w:between w:val="nil"/>
              </w:pBdr>
              <w:tabs>
                <w:tab w:val="left" w:pos="889"/>
              </w:tabs>
              <w:spacing w:after="120"/>
              <w:ind w:left="889" w:right="30" w:hanging="568"/>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 xml:space="preserve">taxa de custódia. </w:t>
            </w:r>
          </w:p>
        </w:tc>
      </w:tr>
    </w:tbl>
    <w:p w14:paraId="18C95624" w14:textId="77777777" w:rsidR="00AC4EFA" w:rsidRPr="00E65AD6" w:rsidRDefault="00AC4EFA">
      <w:pPr>
        <w:spacing w:after="120" w:line="240" w:lineRule="auto"/>
        <w:rPr>
          <w:rFonts w:ascii="Josefin Sans" w:eastAsia="Josefin Sans" w:hAnsi="Josefin Sans" w:cs="Josefin Sans"/>
          <w:smallCaps/>
        </w:rPr>
      </w:pPr>
    </w:p>
    <w:p w14:paraId="18C95625" w14:textId="4E263149" w:rsidR="00AC4EFA" w:rsidRPr="00E65AD6" w:rsidRDefault="006900B4">
      <w:pPr>
        <w:spacing w:line="32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 xml:space="preserve">São Paulo, </w:t>
      </w:r>
      <w:r w:rsidR="0044147B" w:rsidRPr="0044147B">
        <w:rPr>
          <w:rFonts w:ascii="Josefin Sans" w:eastAsia="Josefin Sans" w:hAnsi="Josefin Sans" w:cs="Josefin Sans"/>
          <w:color w:val="000000"/>
        </w:rPr>
        <w:t>29</w:t>
      </w:r>
      <w:r w:rsidRPr="0044147B">
        <w:rPr>
          <w:rFonts w:ascii="Josefin Sans" w:eastAsia="Josefin Sans" w:hAnsi="Josefin Sans" w:cs="Josefin Sans"/>
          <w:color w:val="000000"/>
        </w:rPr>
        <w:t xml:space="preserve"> de </w:t>
      </w:r>
      <w:r w:rsidR="00E65AD6" w:rsidRPr="0044147B">
        <w:rPr>
          <w:rFonts w:ascii="Josefin Sans" w:eastAsia="Josefin Sans" w:hAnsi="Josefin Sans" w:cs="Josefin Sans"/>
          <w:color w:val="000000"/>
        </w:rPr>
        <w:t>abril</w:t>
      </w:r>
      <w:r w:rsidRPr="0044147B">
        <w:rPr>
          <w:rFonts w:ascii="Josefin Sans" w:eastAsia="Josefin Sans" w:hAnsi="Josefin Sans" w:cs="Josefin Sans"/>
          <w:color w:val="000000"/>
        </w:rPr>
        <w:t xml:space="preserve"> de 2024.</w:t>
      </w:r>
    </w:p>
    <w:p w14:paraId="18C95626" w14:textId="77777777" w:rsidR="00AC4EFA" w:rsidRPr="00E65AD6" w:rsidRDefault="006900B4">
      <w:pPr>
        <w:spacing w:line="32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VÓRTX DISTRIBUIDORA DE TÍTULOS E VALORES MOBILIÁRIOS LTDA.</w:t>
      </w:r>
    </w:p>
    <w:p w14:paraId="18C95627" w14:textId="77777777" w:rsidR="00AC4EFA" w:rsidRPr="00E65AD6" w:rsidRDefault="006900B4">
      <w:pPr>
        <w:spacing w:line="320" w:lineRule="auto"/>
        <w:jc w:val="center"/>
        <w:rPr>
          <w:rFonts w:ascii="Josefin Sans" w:eastAsia="Josefin Sans" w:hAnsi="Josefin Sans" w:cs="Josefin Sans"/>
          <w:i/>
          <w:color w:val="000000"/>
        </w:rPr>
      </w:pPr>
      <w:r w:rsidRPr="00E65AD6">
        <w:rPr>
          <w:rFonts w:ascii="Josefin Sans" w:eastAsia="Josefin Sans" w:hAnsi="Josefin Sans" w:cs="Josefin Sans"/>
          <w:i/>
          <w:color w:val="000000"/>
        </w:rPr>
        <w:t>Administradora</w:t>
      </w:r>
    </w:p>
    <w:p w14:paraId="18C95628" w14:textId="77777777" w:rsidR="00AC4EFA" w:rsidRPr="00E65AD6" w:rsidRDefault="006900B4">
      <w:pPr>
        <w:spacing w:after="120" w:line="240" w:lineRule="auto"/>
        <w:ind w:left="-567" w:right="-511"/>
        <w:jc w:val="center"/>
        <w:rPr>
          <w:rFonts w:ascii="Josefin Sans" w:eastAsia="Josefin Sans" w:hAnsi="Josefin Sans" w:cs="Josefin Sans"/>
        </w:rPr>
      </w:pPr>
      <w:r w:rsidRPr="00E65AD6">
        <w:rPr>
          <w:rFonts w:ascii="Josefin Sans" w:eastAsia="Josefin Sans" w:hAnsi="Josefin Sans" w:cs="Josefin Sans"/>
        </w:rPr>
        <w:t>*</w:t>
      </w:r>
      <w:r w:rsidRPr="00E65AD6">
        <w:rPr>
          <w:rFonts w:ascii="Josefin Sans" w:eastAsia="Josefin Sans" w:hAnsi="Josefin Sans" w:cs="Josefin Sans"/>
        </w:rPr>
        <w:tab/>
        <w:t>*</w:t>
      </w:r>
      <w:r w:rsidRPr="00E65AD6">
        <w:rPr>
          <w:rFonts w:ascii="Josefin Sans" w:eastAsia="Josefin Sans" w:hAnsi="Josefin Sans" w:cs="Josefin Sans"/>
        </w:rPr>
        <w:tab/>
        <w:t>*</w:t>
      </w:r>
      <w:r w:rsidRPr="00E65AD6">
        <w:rPr>
          <w:rFonts w:ascii="Josefin Sans" w:eastAsia="Josefin Sans" w:hAnsi="Josefin Sans" w:cs="Josefin Sans"/>
        </w:rPr>
        <w:tab/>
        <w:t>*</w:t>
      </w:r>
      <w:r w:rsidRPr="00E65AD6">
        <w:rPr>
          <w:rFonts w:ascii="Josefin Sans" w:eastAsia="Josefin Sans" w:hAnsi="Josefin Sans" w:cs="Josefin Sans"/>
        </w:rPr>
        <w:tab/>
        <w:t>*</w:t>
      </w:r>
      <w:r w:rsidRPr="00E65AD6">
        <w:rPr>
          <w:rFonts w:ascii="Josefin Sans" w:hAnsi="Josefin Sans"/>
        </w:rPr>
        <w:br w:type="page"/>
      </w:r>
    </w:p>
    <w:tbl>
      <w:tblPr>
        <w:tblStyle w:val="a5"/>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7"/>
        <w:gridCol w:w="3137"/>
        <w:gridCol w:w="4074"/>
      </w:tblGrid>
      <w:sdt>
        <w:sdtPr>
          <w:rPr>
            <w:rFonts w:ascii="Josefin Sans" w:hAnsi="Josefin Sans"/>
            <w:sz w:val="22"/>
            <w:szCs w:val="22"/>
          </w:rPr>
          <w:tag w:val="goog_rdk_2"/>
          <w:id w:val="246388580"/>
        </w:sdtPr>
        <w:sdtEndPr/>
        <w:sdtContent>
          <w:tr w:rsidR="00AC4EFA" w:rsidRPr="00E65AD6" w14:paraId="18C9562A" w14:textId="77777777" w:rsidTr="00E65AD6">
            <w:trPr>
              <w:trHeight w:val="331"/>
            </w:trPr>
            <w:tc>
              <w:tcPr>
                <w:tcW w:w="10348" w:type="dxa"/>
                <w:gridSpan w:val="3"/>
                <w:shd w:val="clear" w:color="auto" w:fill="D0CECE"/>
              </w:tcPr>
              <w:p w14:paraId="18C95629" w14:textId="77777777" w:rsidR="00AC4EFA" w:rsidRPr="00E65AD6" w:rsidRDefault="006900B4">
                <w:pPr>
                  <w:pStyle w:val="Ttulo1"/>
                  <w:pBdr>
                    <w:left w:val="single" w:sz="4" w:space="8" w:color="000000"/>
                  </w:pBdr>
                  <w:shd w:val="clear" w:color="auto" w:fill="000000"/>
                  <w:spacing w:before="0" w:after="120"/>
                  <w:ind w:left="-426"/>
                  <w:rPr>
                    <w:rFonts w:ascii="Josefin Sans" w:eastAsia="Josefin Sans" w:hAnsi="Josefin Sans" w:cs="Josefin Sans"/>
                    <w:sz w:val="22"/>
                    <w:szCs w:val="22"/>
                  </w:rPr>
                </w:pPr>
                <w:r w:rsidRPr="00E65AD6">
                  <w:rPr>
                    <w:rFonts w:ascii="Josefin Sans" w:eastAsia="Josefin Sans" w:hAnsi="Josefin Sans" w:cs="Josefin Sans"/>
                    <w:smallCaps/>
                    <w:sz w:val="22"/>
                    <w:szCs w:val="22"/>
                  </w:rPr>
                  <w:t>Anexo I</w:t>
                </w:r>
                <w:r w:rsidRPr="00E65AD6">
                  <w:rPr>
                    <w:rFonts w:ascii="Josefin Sans" w:eastAsia="Josefin Sans" w:hAnsi="Josefin Sans" w:cs="Josefin Sans"/>
                    <w:sz w:val="22"/>
                    <w:szCs w:val="22"/>
                  </w:rPr>
                  <w:t xml:space="preserve"> </w:t>
                </w:r>
              </w:p>
            </w:tc>
          </w:tr>
        </w:sdtContent>
      </w:sdt>
      <w:tr w:rsidR="00AC4EFA" w:rsidRPr="00E65AD6" w14:paraId="18C9562E" w14:textId="77777777" w:rsidTr="006724B2">
        <w:tc>
          <w:tcPr>
            <w:tcW w:w="10348" w:type="dxa"/>
            <w:gridSpan w:val="3"/>
            <w:shd w:val="clear" w:color="auto" w:fill="C9C9C9"/>
          </w:tcPr>
          <w:p w14:paraId="18C9562B" w14:textId="77777777" w:rsidR="00AC4EFA" w:rsidRPr="00E65AD6" w:rsidRDefault="00AC4EFA">
            <w:pPr>
              <w:spacing w:after="120"/>
              <w:ind w:left="-104" w:right="-106"/>
              <w:jc w:val="center"/>
              <w:rPr>
                <w:rFonts w:ascii="Josefin Sans" w:eastAsia="Josefin Sans" w:hAnsi="Josefin Sans" w:cs="Josefin Sans"/>
                <w:b/>
                <w:smallCaps/>
                <w:sz w:val="22"/>
                <w:szCs w:val="22"/>
              </w:rPr>
            </w:pPr>
          </w:p>
          <w:p w14:paraId="18C9562C" w14:textId="0C37C6BD" w:rsidR="00AC4EFA" w:rsidRPr="00E65AD6" w:rsidRDefault="006900B4">
            <w:pPr>
              <w:spacing w:after="120"/>
              <w:ind w:left="-104" w:right="-106"/>
              <w:jc w:val="center"/>
              <w:rPr>
                <w:rFonts w:ascii="Josefin Sans" w:eastAsia="Josefin Sans" w:hAnsi="Josefin Sans" w:cs="Josefin Sans"/>
                <w:b/>
                <w:smallCaps/>
                <w:sz w:val="22"/>
                <w:szCs w:val="22"/>
              </w:rPr>
            </w:pPr>
            <w:r w:rsidRPr="00E65AD6">
              <w:rPr>
                <w:rFonts w:ascii="Josefin Sans" w:eastAsia="Josefin Sans" w:hAnsi="Josefin Sans" w:cs="Josefin Sans"/>
                <w:b/>
                <w:smallCaps/>
                <w:sz w:val="22"/>
                <w:szCs w:val="22"/>
              </w:rPr>
              <w:t>IVI QUANT CLASSE DE INVESTIMENTO MULTIMERCADO</w:t>
            </w:r>
            <w:sdt>
              <w:sdtPr>
                <w:rPr>
                  <w:rFonts w:ascii="Josefin Sans" w:hAnsi="Josefin Sans"/>
                </w:rPr>
                <w:tag w:val="goog_rdk_3"/>
                <w:id w:val="658349871"/>
              </w:sdtPr>
              <w:sdtEndPr/>
              <w:sdtContent/>
            </w:sdt>
            <w:sdt>
              <w:sdtPr>
                <w:rPr>
                  <w:rFonts w:ascii="Josefin Sans" w:hAnsi="Josefin Sans"/>
                </w:rPr>
                <w:tag w:val="goog_rdk_4"/>
                <w:id w:val="493772030"/>
              </w:sdtPr>
              <w:sdtEndPr/>
              <w:sdtContent/>
            </w:sdt>
          </w:p>
          <w:p w14:paraId="18C9562D" w14:textId="77777777" w:rsidR="00AC4EFA" w:rsidRPr="00E65AD6" w:rsidRDefault="006900B4">
            <w:pPr>
              <w:spacing w:after="120"/>
              <w:ind w:left="-104" w:right="-106"/>
              <w:jc w:val="center"/>
              <w:rPr>
                <w:rFonts w:ascii="Josefin Sans" w:eastAsia="Josefin Sans" w:hAnsi="Josefin Sans" w:cs="Josefin Sans"/>
                <w:b/>
                <w:sz w:val="22"/>
                <w:szCs w:val="22"/>
              </w:rPr>
            </w:pPr>
            <w:r w:rsidRPr="00E65AD6">
              <w:rPr>
                <w:rFonts w:ascii="Josefin Sans" w:eastAsia="Josefin Sans" w:hAnsi="Josefin Sans" w:cs="Josefin Sans"/>
                <w:b/>
                <w:sz w:val="22"/>
                <w:szCs w:val="22"/>
              </w:rPr>
              <w:t>(“</w:t>
            </w:r>
            <w:r w:rsidRPr="00E65AD6">
              <w:rPr>
                <w:rFonts w:ascii="Josefin Sans" w:eastAsia="Josefin Sans" w:hAnsi="Josefin Sans" w:cs="Josefin Sans"/>
                <w:b/>
                <w:sz w:val="22"/>
                <w:szCs w:val="22"/>
                <w:u w:val="single"/>
              </w:rPr>
              <w:t>Classe</w:t>
            </w:r>
            <w:r w:rsidRPr="00E65AD6">
              <w:rPr>
                <w:rFonts w:ascii="Josefin Sans" w:eastAsia="Josefin Sans" w:hAnsi="Josefin Sans" w:cs="Josefin Sans"/>
                <w:b/>
                <w:sz w:val="22"/>
                <w:szCs w:val="22"/>
              </w:rPr>
              <w:t>”)</w:t>
            </w:r>
          </w:p>
        </w:tc>
      </w:tr>
      <w:tr w:rsidR="00AC4EFA" w:rsidRPr="00E65AD6" w14:paraId="18C95638" w14:textId="77777777" w:rsidTr="006724B2">
        <w:tc>
          <w:tcPr>
            <w:tcW w:w="3137" w:type="dxa"/>
          </w:tcPr>
          <w:p w14:paraId="18C9562F" w14:textId="77777777" w:rsidR="00AC4EFA" w:rsidRPr="00E65AD6" w:rsidRDefault="00AC4EFA">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p>
          <w:p w14:paraId="18C95630"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Classe | Categoria:</w:t>
            </w:r>
          </w:p>
          <w:p w14:paraId="18C95631" w14:textId="77777777" w:rsidR="00AC4EFA" w:rsidRPr="00E65AD6" w:rsidRDefault="006900B4">
            <w:pPr>
              <w:pBdr>
                <w:top w:val="nil"/>
                <w:left w:val="nil"/>
                <w:bottom w:val="nil"/>
                <w:right w:val="nil"/>
                <w:between w:val="nil"/>
              </w:pBdr>
              <w:spacing w:after="120"/>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Única </w:t>
            </w:r>
          </w:p>
        </w:tc>
        <w:tc>
          <w:tcPr>
            <w:tcW w:w="3137" w:type="dxa"/>
          </w:tcPr>
          <w:p w14:paraId="18C95632" w14:textId="77777777" w:rsidR="00AC4EFA" w:rsidRPr="00E65AD6" w:rsidRDefault="00AC4EFA">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p>
          <w:p w14:paraId="18C95633"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Regime da classe:</w:t>
            </w:r>
          </w:p>
          <w:p w14:paraId="18C95634"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Aberto</w:t>
            </w:r>
          </w:p>
        </w:tc>
        <w:tc>
          <w:tcPr>
            <w:tcW w:w="4074" w:type="dxa"/>
          </w:tcPr>
          <w:p w14:paraId="18C95635" w14:textId="77777777" w:rsidR="00AC4EFA" w:rsidRPr="00E65AD6" w:rsidRDefault="00AC4EFA">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p>
          <w:p w14:paraId="18C95636"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Prazo:</w:t>
            </w:r>
          </w:p>
          <w:p w14:paraId="18C95637" w14:textId="77777777" w:rsidR="00AC4EFA" w:rsidRPr="00E65AD6" w:rsidRDefault="006900B4">
            <w:pPr>
              <w:pBdr>
                <w:top w:val="nil"/>
                <w:left w:val="nil"/>
                <w:bottom w:val="nil"/>
                <w:right w:val="nil"/>
                <w:between w:val="nil"/>
              </w:pBdr>
              <w:spacing w:after="120"/>
              <w:ind w:left="-191" w:right="-511"/>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Indeterminado</w:t>
            </w:r>
          </w:p>
        </w:tc>
      </w:tr>
      <w:tr w:rsidR="00AC4EFA" w:rsidRPr="00E65AD6" w14:paraId="18C95642" w14:textId="77777777" w:rsidTr="006724B2">
        <w:tc>
          <w:tcPr>
            <w:tcW w:w="3137" w:type="dxa"/>
          </w:tcPr>
          <w:p w14:paraId="18C95639" w14:textId="77777777" w:rsidR="00AC4EFA" w:rsidRPr="00E65AD6" w:rsidRDefault="00AC4EFA">
            <w:pPr>
              <w:pBdr>
                <w:top w:val="nil"/>
                <w:left w:val="nil"/>
                <w:bottom w:val="nil"/>
                <w:right w:val="nil"/>
                <w:between w:val="nil"/>
              </w:pBdr>
              <w:spacing w:after="120"/>
              <w:ind w:left="32" w:right="3"/>
              <w:jc w:val="center"/>
              <w:rPr>
                <w:rFonts w:ascii="Josefin Sans" w:eastAsia="Josefin Sans" w:hAnsi="Josefin Sans" w:cs="Josefin Sans"/>
                <w:b/>
                <w:color w:val="000000"/>
                <w:sz w:val="22"/>
                <w:szCs w:val="22"/>
              </w:rPr>
            </w:pPr>
          </w:p>
          <w:p w14:paraId="18C9563A" w14:textId="77777777" w:rsidR="00AC4EFA" w:rsidRPr="00E65AD6" w:rsidRDefault="006900B4">
            <w:pPr>
              <w:pBdr>
                <w:top w:val="nil"/>
                <w:left w:val="nil"/>
                <w:bottom w:val="nil"/>
                <w:right w:val="nil"/>
                <w:between w:val="nil"/>
              </w:pBdr>
              <w:spacing w:after="120"/>
              <w:ind w:left="32" w:right="3"/>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Responsabilidade dos Cotistas:</w:t>
            </w:r>
          </w:p>
          <w:p w14:paraId="18C9563B" w14:textId="77777777" w:rsidR="00AC4EFA" w:rsidRPr="00E65AD6" w:rsidRDefault="006900B4">
            <w:pPr>
              <w:pBdr>
                <w:top w:val="nil"/>
                <w:left w:val="nil"/>
                <w:bottom w:val="nil"/>
                <w:right w:val="nil"/>
                <w:between w:val="nil"/>
              </w:pBdr>
              <w:spacing w:after="120"/>
              <w:ind w:left="32" w:right="3"/>
              <w:jc w:val="center"/>
              <w:rPr>
                <w:rFonts w:ascii="Josefin Sans" w:eastAsia="Josefin Sans" w:hAnsi="Josefin Sans" w:cs="Josefin Sans"/>
                <w:b/>
                <w:color w:val="000000"/>
                <w:sz w:val="22"/>
                <w:szCs w:val="22"/>
              </w:rPr>
            </w:pPr>
            <w:r w:rsidRPr="00E65AD6">
              <w:rPr>
                <w:rFonts w:ascii="Josefin Sans" w:eastAsia="Josefin Sans" w:hAnsi="Josefin Sans" w:cs="Josefin Sans"/>
                <w:sz w:val="22"/>
                <w:szCs w:val="22"/>
              </w:rPr>
              <w:t>Ilimitada</w:t>
            </w:r>
          </w:p>
        </w:tc>
        <w:tc>
          <w:tcPr>
            <w:tcW w:w="3137" w:type="dxa"/>
          </w:tcPr>
          <w:p w14:paraId="18C9563C" w14:textId="77777777" w:rsidR="00AC4EFA" w:rsidRPr="00E65AD6" w:rsidRDefault="00AC4EFA">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p>
          <w:p w14:paraId="18C9563D" w14:textId="77777777" w:rsidR="00AC4EFA" w:rsidRPr="00E65AD6" w:rsidRDefault="006900B4">
            <w:pPr>
              <w:pBdr>
                <w:top w:val="nil"/>
                <w:left w:val="nil"/>
                <w:bottom w:val="nil"/>
                <w:right w:val="nil"/>
                <w:between w:val="nil"/>
              </w:pBdr>
              <w:spacing w:after="120"/>
              <w:ind w:right="27"/>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 xml:space="preserve">Enquadramento tributário da classe: </w:t>
            </w:r>
          </w:p>
          <w:p w14:paraId="18C9563E" w14:textId="59B34101" w:rsidR="00AC4EFA" w:rsidRPr="00E65AD6" w:rsidRDefault="00777A90">
            <w:pPr>
              <w:pBdr>
                <w:top w:val="nil"/>
                <w:left w:val="nil"/>
                <w:bottom w:val="nil"/>
                <w:right w:val="nil"/>
                <w:between w:val="nil"/>
              </w:pBdr>
              <w:spacing w:after="120"/>
              <w:ind w:left="-80" w:right="-163"/>
              <w:jc w:val="center"/>
              <w:rPr>
                <w:rFonts w:ascii="Josefin Sans" w:eastAsia="Josefin Sans" w:hAnsi="Josefin Sans" w:cs="Josefin Sans"/>
                <w:color w:val="000000"/>
                <w:sz w:val="22"/>
                <w:szCs w:val="22"/>
              </w:rPr>
            </w:pPr>
            <w:sdt>
              <w:sdtPr>
                <w:rPr>
                  <w:rFonts w:ascii="Josefin Sans" w:hAnsi="Josefin Sans"/>
                </w:rPr>
                <w:tag w:val="goog_rdk_7"/>
                <w:id w:val="1801340321"/>
              </w:sdtPr>
              <w:sdtEndPr/>
              <w:sdtContent/>
            </w:sdt>
            <w:r w:rsidR="00A24E49" w:rsidRPr="00E65AD6">
              <w:rPr>
                <w:rFonts w:ascii="Josefin Sans" w:eastAsia="Josefin Sans" w:hAnsi="Josefin Sans" w:cs="Josefin Sans"/>
                <w:color w:val="000000"/>
                <w:sz w:val="22"/>
                <w:szCs w:val="22"/>
              </w:rPr>
              <w:t>Busca o longo prazo</w:t>
            </w:r>
          </w:p>
        </w:tc>
        <w:tc>
          <w:tcPr>
            <w:tcW w:w="4074" w:type="dxa"/>
          </w:tcPr>
          <w:p w14:paraId="18C9563F" w14:textId="77777777" w:rsidR="00AC4EFA" w:rsidRPr="00E65AD6" w:rsidRDefault="00AC4EFA">
            <w:pPr>
              <w:pBdr>
                <w:top w:val="nil"/>
                <w:left w:val="nil"/>
                <w:bottom w:val="nil"/>
                <w:right w:val="nil"/>
                <w:between w:val="nil"/>
              </w:pBdr>
              <w:spacing w:after="120"/>
              <w:ind w:left="-216"/>
              <w:jc w:val="center"/>
              <w:rPr>
                <w:rFonts w:ascii="Josefin Sans" w:eastAsia="Josefin Sans" w:hAnsi="Josefin Sans" w:cs="Josefin Sans"/>
                <w:b/>
                <w:color w:val="000000"/>
                <w:sz w:val="22"/>
                <w:szCs w:val="22"/>
              </w:rPr>
            </w:pPr>
          </w:p>
          <w:p w14:paraId="18C95640" w14:textId="77777777" w:rsidR="00AC4EFA" w:rsidRPr="00E65AD6" w:rsidRDefault="006900B4">
            <w:pPr>
              <w:pBdr>
                <w:top w:val="nil"/>
                <w:left w:val="nil"/>
                <w:bottom w:val="nil"/>
                <w:right w:val="nil"/>
                <w:between w:val="nil"/>
              </w:pBdr>
              <w:spacing w:after="120"/>
              <w:ind w:left="-216"/>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Término | Exercício Social:</w:t>
            </w:r>
          </w:p>
          <w:p w14:paraId="18C95641" w14:textId="77777777" w:rsidR="00AC4EFA" w:rsidRPr="00E65AD6" w:rsidRDefault="006900B4">
            <w:pPr>
              <w:pBdr>
                <w:top w:val="nil"/>
                <w:left w:val="nil"/>
                <w:bottom w:val="nil"/>
                <w:right w:val="nil"/>
                <w:between w:val="nil"/>
              </w:pBdr>
              <w:spacing w:after="120"/>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Duração de 12 meses, encerrando no último Dia Útil do mês de fevereiro</w:t>
            </w:r>
          </w:p>
        </w:tc>
      </w:tr>
    </w:tbl>
    <w:p w14:paraId="18C95643" w14:textId="77777777" w:rsidR="00AC4EFA" w:rsidRPr="00E65AD6" w:rsidRDefault="00AC4EFA">
      <w:pPr>
        <w:spacing w:after="120" w:line="240" w:lineRule="auto"/>
        <w:rPr>
          <w:rFonts w:ascii="Josefin Sans" w:eastAsia="Josefin Sans" w:hAnsi="Josefin Sans" w:cs="Josefin Sans"/>
        </w:rPr>
      </w:pPr>
    </w:p>
    <w:tbl>
      <w:tblPr>
        <w:tblStyle w:val="a6"/>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AC4EFA" w:rsidRPr="00E65AD6" w14:paraId="18C95645" w14:textId="77777777" w:rsidTr="005A6FD7">
        <w:tc>
          <w:tcPr>
            <w:tcW w:w="10348" w:type="dxa"/>
          </w:tcPr>
          <w:p w14:paraId="18C95644" w14:textId="77777777" w:rsidR="00AC4EFA" w:rsidRPr="00E65AD6" w:rsidRDefault="006900B4">
            <w:pPr>
              <w:pStyle w:val="Ttulo1"/>
              <w:keepNext/>
              <w:numPr>
                <w:ilvl w:val="0"/>
                <w:numId w:val="19"/>
              </w:numPr>
              <w:pBdr>
                <w:top w:val="none" w:sz="0" w:space="0" w:color="000000"/>
                <w:left w:val="none" w:sz="0" w:space="0" w:color="000000"/>
                <w:bottom w:val="none" w:sz="0" w:space="0" w:color="000000"/>
                <w:right w:val="none" w:sz="0" w:space="0" w:color="000000"/>
                <w:between w:val="none" w:sz="0" w:space="0" w:color="000000"/>
              </w:pBdr>
              <w:tabs>
                <w:tab w:val="left" w:pos="543"/>
              </w:tabs>
              <w:spacing w:before="0" w:after="120"/>
              <w:ind w:left="169"/>
              <w:rPr>
                <w:rFonts w:ascii="Josefin Sans" w:eastAsia="Josefin Sans" w:hAnsi="Josefin Sans" w:cs="Josefin Sans"/>
                <w:sz w:val="22"/>
                <w:szCs w:val="22"/>
              </w:rPr>
            </w:pPr>
            <w:r w:rsidRPr="00E65AD6">
              <w:rPr>
                <w:rFonts w:ascii="Josefin Sans" w:eastAsia="Josefin Sans" w:hAnsi="Josefin Sans" w:cs="Josefin Sans"/>
                <w:smallCaps/>
                <w:sz w:val="22"/>
                <w:szCs w:val="22"/>
              </w:rPr>
              <w:t xml:space="preserve">Da Política de Investimentos </w:t>
            </w:r>
          </w:p>
        </w:tc>
      </w:tr>
      <w:tr w:rsidR="00AC4EFA" w:rsidRPr="00E65AD6" w14:paraId="18C95730" w14:textId="77777777" w:rsidTr="005A6FD7">
        <w:trPr>
          <w:trHeight w:val="696"/>
        </w:trPr>
        <w:tc>
          <w:tcPr>
            <w:tcW w:w="10348" w:type="dxa"/>
          </w:tcPr>
          <w:p w14:paraId="18C95646" w14:textId="77777777" w:rsidR="00AC4EFA" w:rsidRPr="00E65AD6" w:rsidRDefault="00AC4EFA">
            <w:pPr>
              <w:jc w:val="center"/>
              <w:rPr>
                <w:rFonts w:ascii="Josefin Sans" w:eastAsia="Josefin Sans" w:hAnsi="Josefin Sans" w:cs="Josefin Sans"/>
                <w:b/>
                <w:sz w:val="22"/>
                <w:szCs w:val="22"/>
              </w:rPr>
            </w:pPr>
          </w:p>
          <w:p w14:paraId="18C95647" w14:textId="77777777" w:rsidR="00AC4EFA" w:rsidRPr="00E65AD6" w:rsidRDefault="006900B4">
            <w:pPr>
              <w:jc w:val="both"/>
              <w:rPr>
                <w:rFonts w:ascii="Josefin Sans" w:eastAsia="Josefin Sans" w:hAnsi="Josefin Sans" w:cs="Josefin Sans"/>
                <w:sz w:val="22"/>
                <w:szCs w:val="22"/>
              </w:rPr>
            </w:pPr>
            <w:r w:rsidRPr="00E65AD6">
              <w:rPr>
                <w:rFonts w:ascii="Josefin Sans" w:eastAsia="Josefin Sans" w:hAnsi="Josefin Sans" w:cs="Josefin Sans"/>
                <w:sz w:val="22"/>
                <w:szCs w:val="22"/>
              </w:rPr>
              <w:t xml:space="preserve">1. </w:t>
            </w:r>
            <w:r w:rsidRPr="00E65AD6">
              <w:rPr>
                <w:rFonts w:ascii="Josefin Sans" w:eastAsia="Josefin Sans" w:hAnsi="Josefin Sans" w:cs="Josefin Sans"/>
                <w:color w:val="000000"/>
                <w:sz w:val="22"/>
                <w:szCs w:val="22"/>
              </w:rPr>
              <w:t>A Classe tem por objetivo investir em ativos financeiros e/ou modalidades operacionais que envolvam diversos fatores de risco, sem o compromisso de concentração em nenhum fator em especial.</w:t>
            </w:r>
          </w:p>
          <w:p w14:paraId="18C95648" w14:textId="77777777" w:rsidR="00AC4EFA" w:rsidRPr="00E65AD6" w:rsidRDefault="00AC4EFA">
            <w:pPr>
              <w:jc w:val="both"/>
              <w:rPr>
                <w:rFonts w:ascii="Josefin Sans" w:eastAsia="Josefin Sans" w:hAnsi="Josefin Sans" w:cs="Josefin Sans"/>
                <w:sz w:val="22"/>
                <w:szCs w:val="22"/>
              </w:rPr>
            </w:pPr>
          </w:p>
          <w:p w14:paraId="18C95649" w14:textId="77777777" w:rsidR="00AC4EFA" w:rsidRPr="00E65AD6" w:rsidRDefault="006900B4">
            <w:pPr>
              <w:jc w:val="both"/>
              <w:rPr>
                <w:rFonts w:ascii="Josefin Sans" w:eastAsia="Josefin Sans" w:hAnsi="Josefin Sans" w:cs="Josefin Sans"/>
                <w:sz w:val="22"/>
                <w:szCs w:val="22"/>
              </w:rPr>
            </w:pPr>
            <w:r w:rsidRPr="00E65AD6">
              <w:rPr>
                <w:rFonts w:ascii="Josefin Sans" w:eastAsia="Josefin Sans" w:hAnsi="Josefin Sans" w:cs="Josefin Sans"/>
                <w:sz w:val="22"/>
                <w:szCs w:val="22"/>
              </w:rPr>
              <w:t>1.1. Tal objetivo de investimento não constitui garantia ou promessa de rentabilidade pelo Administrador e pelo Gestor.</w:t>
            </w:r>
          </w:p>
          <w:p w14:paraId="18C9564A" w14:textId="77777777" w:rsidR="00AC4EFA" w:rsidRPr="00E65AD6" w:rsidRDefault="00AC4EFA">
            <w:pPr>
              <w:jc w:val="both"/>
              <w:rPr>
                <w:rFonts w:ascii="Josefin Sans" w:eastAsia="Josefin Sans" w:hAnsi="Josefin Sans" w:cs="Josefin Sans"/>
                <w:sz w:val="22"/>
                <w:szCs w:val="22"/>
              </w:rPr>
            </w:pPr>
          </w:p>
          <w:p w14:paraId="18C9564B" w14:textId="77777777" w:rsidR="00AC4EFA" w:rsidRPr="00E65AD6" w:rsidRDefault="006900B4">
            <w:pPr>
              <w:jc w:val="both"/>
              <w:rPr>
                <w:rFonts w:ascii="Josefin Sans" w:eastAsia="Josefin Sans" w:hAnsi="Josefin Sans" w:cs="Josefin Sans"/>
                <w:sz w:val="22"/>
                <w:szCs w:val="22"/>
              </w:rPr>
            </w:pPr>
            <w:r w:rsidRPr="00E65AD6">
              <w:rPr>
                <w:rFonts w:ascii="Josefin Sans" w:eastAsia="Josefin Sans" w:hAnsi="Josefin Sans" w:cs="Josefin Sans"/>
                <w:sz w:val="22"/>
                <w:szCs w:val="22"/>
              </w:rPr>
              <w:t>2. Para atingir o objetivo de investimento descrito acima, a Classe alocará seus recursos de acordo com as regras e limites previstos nos quadros a seguir:</w:t>
            </w:r>
          </w:p>
          <w:p w14:paraId="18C9564D" w14:textId="77777777" w:rsidR="00AC4EFA" w:rsidRPr="00E65AD6" w:rsidRDefault="00AC4EFA">
            <w:pPr>
              <w:jc w:val="both"/>
              <w:rPr>
                <w:rFonts w:ascii="Josefin Sans" w:eastAsia="Josefin Sans" w:hAnsi="Josefin Sans" w:cs="Josefin Sans"/>
                <w:sz w:val="22"/>
                <w:szCs w:val="22"/>
              </w:rPr>
            </w:pPr>
          </w:p>
          <w:tbl>
            <w:tblPr>
              <w:tblStyle w:val="a7"/>
              <w:tblW w:w="9782" w:type="dxa"/>
              <w:tblInd w:w="34" w:type="dxa"/>
              <w:tblLayout w:type="fixed"/>
              <w:tblLook w:val="0400" w:firstRow="0" w:lastRow="0" w:firstColumn="0" w:lastColumn="0" w:noHBand="0" w:noVBand="1"/>
            </w:tblPr>
            <w:tblGrid>
              <w:gridCol w:w="6654"/>
              <w:gridCol w:w="3128"/>
            </w:tblGrid>
            <w:tr w:rsidR="00AC4EFA" w:rsidRPr="00E65AD6" w14:paraId="18C95650" w14:textId="77777777" w:rsidTr="00301FCB">
              <w:trPr>
                <w:trHeight w:val="283"/>
              </w:trPr>
              <w:tc>
                <w:tcPr>
                  <w:tcW w:w="665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64E"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COMPOSIÇÃO DA CARTEIRA DA CLASSE (“CARTEIRA”)</w:t>
                  </w:r>
                </w:p>
              </w:tc>
              <w:tc>
                <w:tcPr>
                  <w:tcW w:w="3128" w:type="dxa"/>
                  <w:tcBorders>
                    <w:top w:val="single" w:sz="4" w:space="0" w:color="000000"/>
                    <w:left w:val="nil"/>
                    <w:bottom w:val="single" w:sz="4" w:space="0" w:color="000000"/>
                    <w:right w:val="single" w:sz="4" w:space="0" w:color="000000"/>
                  </w:tcBorders>
                  <w:shd w:val="clear" w:color="auto" w:fill="E6E6E6"/>
                  <w:vAlign w:val="center"/>
                </w:tcPr>
                <w:p w14:paraId="18C9564F"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 do PL</w:t>
                  </w:r>
                </w:p>
              </w:tc>
            </w:tr>
            <w:tr w:rsidR="00AC4EFA" w:rsidRPr="00E65AD6" w14:paraId="18C95653" w14:textId="77777777" w:rsidTr="00301FCB">
              <w:trPr>
                <w:trHeight w:val="283"/>
              </w:trPr>
              <w:tc>
                <w:tcPr>
                  <w:tcW w:w="6654" w:type="dxa"/>
                  <w:tcBorders>
                    <w:top w:val="nil"/>
                    <w:left w:val="single" w:sz="4" w:space="0" w:color="000000"/>
                    <w:bottom w:val="single" w:sz="4" w:space="0" w:color="000000"/>
                    <w:right w:val="single" w:sz="4" w:space="0" w:color="000000"/>
                  </w:tcBorders>
                  <w:shd w:val="clear" w:color="auto" w:fill="auto"/>
                  <w:vAlign w:val="center"/>
                </w:tcPr>
                <w:p w14:paraId="18C95651" w14:textId="77777777" w:rsidR="00AC4EFA" w:rsidRPr="00E65AD6" w:rsidRDefault="006900B4">
                  <w:pPr>
                    <w:spacing w:after="0" w:line="240" w:lineRule="auto"/>
                    <w:jc w:val="both"/>
                    <w:rPr>
                      <w:rFonts w:ascii="Josefin Sans" w:eastAsia="Josefin Sans" w:hAnsi="Josefin Sans" w:cs="Josefin Sans"/>
                      <w:color w:val="000000"/>
                    </w:rPr>
                  </w:pPr>
                  <w:r w:rsidRPr="00E65AD6">
                    <w:rPr>
                      <w:rFonts w:ascii="Josefin Sans" w:eastAsia="Josefin Sans" w:hAnsi="Josefin Sans" w:cs="Josefin Sans"/>
                      <w:color w:val="000000"/>
                    </w:rPr>
                    <w:t>Quaisquer ativos financeiros e/ou modalidades operacionais indicados nas tabelas abaixo</w:t>
                  </w:r>
                </w:p>
              </w:tc>
              <w:tc>
                <w:tcPr>
                  <w:tcW w:w="3128" w:type="dxa"/>
                  <w:tcBorders>
                    <w:top w:val="nil"/>
                    <w:left w:val="nil"/>
                    <w:bottom w:val="single" w:sz="4" w:space="0" w:color="000000"/>
                    <w:right w:val="single" w:sz="4" w:space="0" w:color="000000"/>
                  </w:tcBorders>
                  <w:shd w:val="clear" w:color="auto" w:fill="auto"/>
                  <w:vAlign w:val="center"/>
                </w:tcPr>
                <w:p w14:paraId="18C95652"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Até 100%</w:t>
                  </w:r>
                </w:p>
              </w:tc>
            </w:tr>
          </w:tbl>
          <w:p w14:paraId="18C95654" w14:textId="77777777" w:rsidR="00AC4EFA" w:rsidRPr="00E65AD6" w:rsidRDefault="00AC4EFA">
            <w:pPr>
              <w:rPr>
                <w:rFonts w:ascii="Josefin Sans" w:hAnsi="Josefin Sans"/>
                <w:sz w:val="22"/>
                <w:szCs w:val="22"/>
              </w:rPr>
            </w:pPr>
          </w:p>
          <w:tbl>
            <w:tblPr>
              <w:tblStyle w:val="a8"/>
              <w:tblW w:w="9839" w:type="dxa"/>
              <w:tblInd w:w="0" w:type="dxa"/>
              <w:tblLayout w:type="fixed"/>
              <w:tblLook w:val="0400" w:firstRow="0" w:lastRow="0" w:firstColumn="0" w:lastColumn="0" w:noHBand="0" w:noVBand="1"/>
            </w:tblPr>
            <w:tblGrid>
              <w:gridCol w:w="5426"/>
              <w:gridCol w:w="2275"/>
              <w:gridCol w:w="2138"/>
            </w:tblGrid>
            <w:tr w:rsidR="00AC4EFA" w:rsidRPr="00E65AD6" w14:paraId="18C95658" w14:textId="77777777">
              <w:trPr>
                <w:trHeight w:val="283"/>
              </w:trPr>
              <w:tc>
                <w:tcPr>
                  <w:tcW w:w="542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655"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ATIVOS</w:t>
                  </w:r>
                </w:p>
              </w:tc>
              <w:tc>
                <w:tcPr>
                  <w:tcW w:w="2275" w:type="dxa"/>
                  <w:tcBorders>
                    <w:top w:val="single" w:sz="4" w:space="0" w:color="000000"/>
                    <w:left w:val="nil"/>
                    <w:bottom w:val="single" w:sz="4" w:space="0" w:color="000000"/>
                    <w:right w:val="single" w:sz="4" w:space="0" w:color="000000"/>
                  </w:tcBorders>
                  <w:shd w:val="clear" w:color="auto" w:fill="E6E6E6"/>
                  <w:vAlign w:val="center"/>
                </w:tcPr>
                <w:p w14:paraId="18C95656"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Permitido / Vedado</w:t>
                  </w:r>
                </w:p>
              </w:tc>
              <w:tc>
                <w:tcPr>
                  <w:tcW w:w="2138" w:type="dxa"/>
                  <w:tcBorders>
                    <w:top w:val="single" w:sz="4" w:space="0" w:color="000000"/>
                    <w:left w:val="nil"/>
                    <w:bottom w:val="single" w:sz="4" w:space="0" w:color="000000"/>
                    <w:right w:val="single" w:sz="4" w:space="0" w:color="000000"/>
                  </w:tcBorders>
                  <w:shd w:val="clear" w:color="auto" w:fill="E6E6E6"/>
                  <w:vAlign w:val="center"/>
                </w:tcPr>
                <w:p w14:paraId="18C95657"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Limite aplicável</w:t>
                  </w:r>
                </w:p>
              </w:tc>
            </w:tr>
            <w:tr w:rsidR="00AC4EFA" w:rsidRPr="00E65AD6" w14:paraId="18C9565C" w14:textId="77777777">
              <w:trPr>
                <w:trHeight w:val="283"/>
              </w:trPr>
              <w:tc>
                <w:tcPr>
                  <w:tcW w:w="5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5659" w14:textId="77777777" w:rsidR="00AC4EFA" w:rsidRPr="00E65AD6" w:rsidRDefault="006900B4">
                  <w:pPr>
                    <w:spacing w:after="0" w:line="240" w:lineRule="auto"/>
                    <w:jc w:val="both"/>
                    <w:rPr>
                      <w:rFonts w:ascii="Josefin Sans" w:eastAsia="Josefin Sans" w:hAnsi="Josefin Sans" w:cs="Josefin Sans"/>
                      <w:color w:val="000000"/>
                    </w:rPr>
                  </w:pPr>
                  <w:r w:rsidRPr="00E65AD6">
                    <w:rPr>
                      <w:rFonts w:ascii="Josefin Sans" w:eastAsia="Josefin Sans" w:hAnsi="Josefin Sans" w:cs="Josefin Sans"/>
                      <w:color w:val="000000"/>
                    </w:rPr>
                    <w:t xml:space="preserve">Títulos Públicos </w:t>
                  </w:r>
                  <w:r w:rsidRPr="00E65AD6">
                    <w:rPr>
                      <w:rFonts w:ascii="Josefin Sans" w:eastAsia="Josefin Sans" w:hAnsi="Josefin Sans" w:cs="Josefin Sans"/>
                    </w:rPr>
                    <w:t>Federais e operações compromissadas lastreadas nesses títulos</w:t>
                  </w:r>
                </w:p>
              </w:tc>
              <w:tc>
                <w:tcPr>
                  <w:tcW w:w="2275" w:type="dxa"/>
                  <w:tcBorders>
                    <w:top w:val="single" w:sz="4" w:space="0" w:color="000000"/>
                    <w:left w:val="nil"/>
                    <w:bottom w:val="single" w:sz="4" w:space="0" w:color="000000"/>
                    <w:right w:val="single" w:sz="4" w:space="0" w:color="000000"/>
                  </w:tcBorders>
                  <w:shd w:val="clear" w:color="auto" w:fill="auto"/>
                </w:tcPr>
                <w:p w14:paraId="18C9565A"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vMerge w:val="restart"/>
                  <w:tcBorders>
                    <w:top w:val="single" w:sz="4" w:space="0" w:color="000000"/>
                    <w:left w:val="single" w:sz="4" w:space="0" w:color="000000"/>
                    <w:right w:val="single" w:sz="4" w:space="0" w:color="000000"/>
                  </w:tcBorders>
                  <w:shd w:val="clear" w:color="auto" w:fill="auto"/>
                  <w:vAlign w:val="center"/>
                </w:tcPr>
                <w:p w14:paraId="18C9565B"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Até 100%</w:t>
                  </w:r>
                </w:p>
              </w:tc>
            </w:tr>
            <w:tr w:rsidR="00AC4EFA" w:rsidRPr="00E65AD6" w14:paraId="18C95660"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5D" w14:textId="77777777" w:rsidR="00AC4EFA" w:rsidRPr="00E65AD6" w:rsidRDefault="006900B4">
                  <w:pPr>
                    <w:spacing w:after="0" w:line="240" w:lineRule="auto"/>
                    <w:jc w:val="both"/>
                    <w:rPr>
                      <w:rFonts w:ascii="Josefin Sans" w:eastAsia="Josefin Sans" w:hAnsi="Josefin Sans" w:cs="Josefin Sans"/>
                      <w:color w:val="000000"/>
                    </w:rPr>
                  </w:pPr>
                  <w:r w:rsidRPr="00E65AD6">
                    <w:rPr>
                      <w:rFonts w:ascii="Josefin Sans" w:eastAsia="Josefin Sans" w:hAnsi="Josefin Sans" w:cs="Josefin Sans"/>
                      <w:color w:val="000000"/>
                    </w:rPr>
                    <w:t>Títulos e valores mobiliários de emissão ou coobrigação de instituição financeira e operações compromissadas lastreadas nesses títulos</w:t>
                  </w:r>
                </w:p>
              </w:tc>
              <w:tc>
                <w:tcPr>
                  <w:tcW w:w="2275" w:type="dxa"/>
                  <w:tcBorders>
                    <w:top w:val="nil"/>
                    <w:left w:val="nil"/>
                    <w:bottom w:val="single" w:sz="4" w:space="0" w:color="000000"/>
                    <w:right w:val="single" w:sz="4" w:space="0" w:color="000000"/>
                  </w:tcBorders>
                  <w:shd w:val="clear" w:color="auto" w:fill="auto"/>
                </w:tcPr>
                <w:p w14:paraId="18C9565E"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vMerge/>
                  <w:tcBorders>
                    <w:top w:val="single" w:sz="4" w:space="0" w:color="000000"/>
                    <w:left w:val="single" w:sz="4" w:space="0" w:color="000000"/>
                    <w:right w:val="single" w:sz="4" w:space="0" w:color="000000"/>
                  </w:tcBorders>
                  <w:shd w:val="clear" w:color="auto" w:fill="auto"/>
                  <w:vAlign w:val="center"/>
                </w:tcPr>
                <w:p w14:paraId="18C9565F" w14:textId="77777777" w:rsidR="00AC4EFA" w:rsidRPr="00E65AD6" w:rsidRDefault="00AC4EFA">
                  <w:pPr>
                    <w:widowControl w:val="0"/>
                    <w:pBdr>
                      <w:top w:val="nil"/>
                      <w:left w:val="nil"/>
                      <w:bottom w:val="nil"/>
                      <w:right w:val="nil"/>
                      <w:between w:val="nil"/>
                    </w:pBdr>
                    <w:spacing w:after="0"/>
                    <w:rPr>
                      <w:rFonts w:ascii="Josefin Sans" w:eastAsia="Josefin Sans" w:hAnsi="Josefin Sans" w:cs="Josefin Sans"/>
                      <w:color w:val="000000"/>
                    </w:rPr>
                  </w:pPr>
                </w:p>
              </w:tc>
            </w:tr>
            <w:tr w:rsidR="00AC4EFA" w:rsidRPr="00E65AD6" w14:paraId="18C95664"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61" w14:textId="77777777" w:rsidR="00AC4EFA" w:rsidRPr="00E65AD6" w:rsidRDefault="006900B4">
                  <w:pPr>
                    <w:spacing w:after="0" w:line="240" w:lineRule="auto"/>
                    <w:jc w:val="both"/>
                    <w:rPr>
                      <w:rFonts w:ascii="Josefin Sans" w:eastAsia="Josefin Sans" w:hAnsi="Josefin Sans" w:cs="Josefin Sans"/>
                      <w:color w:val="000000"/>
                    </w:rPr>
                  </w:pPr>
                  <w:r w:rsidRPr="00E65AD6">
                    <w:rPr>
                      <w:rFonts w:ascii="Josefin Sans" w:eastAsia="Josefin Sans" w:hAnsi="Josefin Sans" w:cs="Josefin Sans"/>
                      <w:color w:val="000000"/>
                    </w:rPr>
                    <w:t>Ouro financeiro, desde que negociado em padrão internacionalmente aceito</w:t>
                  </w:r>
                </w:p>
              </w:tc>
              <w:tc>
                <w:tcPr>
                  <w:tcW w:w="2275" w:type="dxa"/>
                  <w:tcBorders>
                    <w:top w:val="nil"/>
                    <w:left w:val="nil"/>
                    <w:bottom w:val="single" w:sz="4" w:space="0" w:color="000000"/>
                    <w:right w:val="single" w:sz="4" w:space="0" w:color="000000"/>
                  </w:tcBorders>
                  <w:shd w:val="clear" w:color="auto" w:fill="auto"/>
                </w:tcPr>
                <w:p w14:paraId="18C95662"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vMerge/>
                  <w:tcBorders>
                    <w:top w:val="single" w:sz="4" w:space="0" w:color="000000"/>
                    <w:left w:val="single" w:sz="4" w:space="0" w:color="000000"/>
                    <w:right w:val="single" w:sz="4" w:space="0" w:color="000000"/>
                  </w:tcBorders>
                  <w:shd w:val="clear" w:color="auto" w:fill="auto"/>
                  <w:vAlign w:val="center"/>
                </w:tcPr>
                <w:p w14:paraId="18C95663" w14:textId="77777777" w:rsidR="00AC4EFA" w:rsidRPr="00E65AD6" w:rsidRDefault="00AC4EFA">
                  <w:pPr>
                    <w:widowControl w:val="0"/>
                    <w:pBdr>
                      <w:top w:val="nil"/>
                      <w:left w:val="nil"/>
                      <w:bottom w:val="nil"/>
                      <w:right w:val="nil"/>
                      <w:between w:val="nil"/>
                    </w:pBdr>
                    <w:spacing w:after="0"/>
                    <w:rPr>
                      <w:rFonts w:ascii="Josefin Sans" w:eastAsia="Josefin Sans" w:hAnsi="Josefin Sans" w:cs="Josefin Sans"/>
                      <w:color w:val="000000"/>
                    </w:rPr>
                  </w:pPr>
                </w:p>
              </w:tc>
            </w:tr>
            <w:tr w:rsidR="00AC4EFA" w:rsidRPr="00E65AD6" w14:paraId="18C95668"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65"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 xml:space="preserve">Títulos e valores mobiliários, desde que objeto de oferta pública </w:t>
                  </w:r>
                </w:p>
              </w:tc>
              <w:tc>
                <w:tcPr>
                  <w:tcW w:w="2275" w:type="dxa"/>
                  <w:tcBorders>
                    <w:top w:val="nil"/>
                    <w:left w:val="nil"/>
                    <w:bottom w:val="single" w:sz="4" w:space="0" w:color="000000"/>
                    <w:right w:val="single" w:sz="4" w:space="0" w:color="000000"/>
                  </w:tcBorders>
                  <w:shd w:val="clear" w:color="auto" w:fill="auto"/>
                </w:tcPr>
                <w:p w14:paraId="18C95666"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vMerge/>
                  <w:tcBorders>
                    <w:top w:val="single" w:sz="4" w:space="0" w:color="000000"/>
                    <w:left w:val="single" w:sz="4" w:space="0" w:color="000000"/>
                    <w:right w:val="single" w:sz="4" w:space="0" w:color="000000"/>
                  </w:tcBorders>
                  <w:shd w:val="clear" w:color="auto" w:fill="auto"/>
                  <w:vAlign w:val="center"/>
                </w:tcPr>
                <w:p w14:paraId="18C95667" w14:textId="77777777" w:rsidR="00AC4EFA" w:rsidRPr="00E65AD6" w:rsidRDefault="00AC4EFA">
                  <w:pPr>
                    <w:widowControl w:val="0"/>
                    <w:pBdr>
                      <w:top w:val="nil"/>
                      <w:left w:val="nil"/>
                      <w:bottom w:val="nil"/>
                      <w:right w:val="nil"/>
                      <w:between w:val="nil"/>
                    </w:pBdr>
                    <w:spacing w:after="0"/>
                    <w:rPr>
                      <w:rFonts w:ascii="Josefin Sans" w:eastAsia="Josefin Sans" w:hAnsi="Josefin Sans" w:cs="Josefin Sans"/>
                      <w:color w:val="000000"/>
                    </w:rPr>
                  </w:pPr>
                </w:p>
              </w:tc>
            </w:tr>
            <w:tr w:rsidR="00AC4EFA" w:rsidRPr="00E65AD6" w14:paraId="18C9566C"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69"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 xml:space="preserve">Notas promissórias, debêntures, notas comerciais, ações e certificados de depósito de valores mobiliários, desde que tenham sido emitidas por companhias abertas e objeto de oferta pública </w:t>
                  </w:r>
                </w:p>
              </w:tc>
              <w:tc>
                <w:tcPr>
                  <w:tcW w:w="2275" w:type="dxa"/>
                  <w:tcBorders>
                    <w:top w:val="nil"/>
                    <w:left w:val="nil"/>
                    <w:bottom w:val="single" w:sz="4" w:space="0" w:color="000000"/>
                    <w:right w:val="single" w:sz="4" w:space="0" w:color="000000"/>
                  </w:tcBorders>
                  <w:shd w:val="clear" w:color="auto" w:fill="auto"/>
                </w:tcPr>
                <w:p w14:paraId="18C9566A"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vMerge/>
                  <w:tcBorders>
                    <w:top w:val="single" w:sz="4" w:space="0" w:color="000000"/>
                    <w:left w:val="single" w:sz="4" w:space="0" w:color="000000"/>
                    <w:right w:val="single" w:sz="4" w:space="0" w:color="000000"/>
                  </w:tcBorders>
                  <w:shd w:val="clear" w:color="auto" w:fill="auto"/>
                  <w:vAlign w:val="center"/>
                </w:tcPr>
                <w:p w14:paraId="18C9566B" w14:textId="77777777" w:rsidR="00AC4EFA" w:rsidRPr="00E65AD6" w:rsidRDefault="00AC4EFA">
                  <w:pPr>
                    <w:widowControl w:val="0"/>
                    <w:pBdr>
                      <w:top w:val="nil"/>
                      <w:left w:val="nil"/>
                      <w:bottom w:val="nil"/>
                      <w:right w:val="nil"/>
                      <w:between w:val="nil"/>
                    </w:pBdr>
                    <w:spacing w:after="0"/>
                    <w:rPr>
                      <w:rFonts w:ascii="Josefin Sans" w:eastAsia="Josefin Sans" w:hAnsi="Josefin Sans" w:cs="Josefin Sans"/>
                      <w:color w:val="000000"/>
                    </w:rPr>
                  </w:pPr>
                </w:p>
              </w:tc>
            </w:tr>
            <w:tr w:rsidR="00AC4EFA" w:rsidRPr="00E65AD6" w14:paraId="18C95670"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6D"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Bônus e recibos de subscrição, cupons e quaisquer outros ativos financeiros decorrentes dos valores mobiliários referidos na linha acima</w:t>
                  </w:r>
                </w:p>
              </w:tc>
              <w:tc>
                <w:tcPr>
                  <w:tcW w:w="2275" w:type="dxa"/>
                  <w:tcBorders>
                    <w:top w:val="nil"/>
                    <w:left w:val="nil"/>
                    <w:bottom w:val="single" w:sz="4" w:space="0" w:color="000000"/>
                    <w:right w:val="single" w:sz="4" w:space="0" w:color="000000"/>
                  </w:tcBorders>
                  <w:shd w:val="clear" w:color="auto" w:fill="auto"/>
                </w:tcPr>
                <w:p w14:paraId="18C9566E"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vMerge/>
                  <w:tcBorders>
                    <w:top w:val="single" w:sz="4" w:space="0" w:color="000000"/>
                    <w:left w:val="single" w:sz="4" w:space="0" w:color="000000"/>
                    <w:right w:val="single" w:sz="4" w:space="0" w:color="000000"/>
                  </w:tcBorders>
                  <w:shd w:val="clear" w:color="auto" w:fill="auto"/>
                  <w:vAlign w:val="center"/>
                </w:tcPr>
                <w:p w14:paraId="18C9566F" w14:textId="77777777" w:rsidR="00AC4EFA" w:rsidRPr="00E65AD6" w:rsidRDefault="00AC4EFA">
                  <w:pPr>
                    <w:widowControl w:val="0"/>
                    <w:pBdr>
                      <w:top w:val="nil"/>
                      <w:left w:val="nil"/>
                      <w:bottom w:val="nil"/>
                      <w:right w:val="nil"/>
                      <w:between w:val="nil"/>
                    </w:pBdr>
                    <w:spacing w:after="0"/>
                    <w:rPr>
                      <w:rFonts w:ascii="Josefin Sans" w:eastAsia="Josefin Sans" w:hAnsi="Josefin Sans" w:cs="Josefin Sans"/>
                      <w:color w:val="000000"/>
                    </w:rPr>
                  </w:pPr>
                </w:p>
              </w:tc>
            </w:tr>
            <w:tr w:rsidR="00AC4EFA" w:rsidRPr="00E65AD6" w14:paraId="18C95674"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71" w14:textId="77777777" w:rsidR="00AC4EFA" w:rsidRPr="00E65AD6" w:rsidRDefault="006900B4">
                  <w:pPr>
                    <w:spacing w:after="0" w:line="240" w:lineRule="auto"/>
                    <w:jc w:val="both"/>
                    <w:rPr>
                      <w:rFonts w:ascii="Josefin Sans" w:eastAsia="Josefin Sans" w:hAnsi="Josefin Sans" w:cs="Josefin Sans"/>
                    </w:rPr>
                  </w:pPr>
                  <w:proofErr w:type="spellStart"/>
                  <w:r w:rsidRPr="00E65AD6">
                    <w:rPr>
                      <w:rFonts w:ascii="Josefin Sans" w:eastAsia="Josefin Sans" w:hAnsi="Josefin Sans" w:cs="Josefin Sans"/>
                    </w:rPr>
                    <w:t>BDR-Ações</w:t>
                  </w:r>
                  <w:proofErr w:type="spellEnd"/>
                  <w:r w:rsidRPr="00E65AD6">
                    <w:rPr>
                      <w:rFonts w:ascii="Josefin Sans" w:eastAsia="Josefin Sans" w:hAnsi="Josefin Sans" w:cs="Josefin Sans"/>
                    </w:rPr>
                    <w:t>, BDR-Dívida Corporativa e BDR-ETF</w:t>
                  </w:r>
                </w:p>
              </w:tc>
              <w:tc>
                <w:tcPr>
                  <w:tcW w:w="2275" w:type="dxa"/>
                  <w:tcBorders>
                    <w:top w:val="nil"/>
                    <w:left w:val="nil"/>
                    <w:bottom w:val="single" w:sz="4" w:space="0" w:color="000000"/>
                    <w:right w:val="single" w:sz="4" w:space="0" w:color="000000"/>
                  </w:tcBorders>
                  <w:shd w:val="clear" w:color="auto" w:fill="auto"/>
                </w:tcPr>
                <w:p w14:paraId="18C95672"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vMerge/>
                  <w:tcBorders>
                    <w:top w:val="single" w:sz="4" w:space="0" w:color="000000"/>
                    <w:left w:val="single" w:sz="4" w:space="0" w:color="000000"/>
                    <w:right w:val="single" w:sz="4" w:space="0" w:color="000000"/>
                  </w:tcBorders>
                  <w:shd w:val="clear" w:color="auto" w:fill="auto"/>
                  <w:vAlign w:val="center"/>
                </w:tcPr>
                <w:p w14:paraId="18C95673" w14:textId="77777777" w:rsidR="00AC4EFA" w:rsidRPr="00E65AD6" w:rsidRDefault="00AC4EFA">
                  <w:pPr>
                    <w:widowControl w:val="0"/>
                    <w:pBdr>
                      <w:top w:val="nil"/>
                      <w:left w:val="nil"/>
                      <w:bottom w:val="nil"/>
                      <w:right w:val="nil"/>
                      <w:between w:val="nil"/>
                    </w:pBdr>
                    <w:spacing w:after="0"/>
                    <w:rPr>
                      <w:rFonts w:ascii="Josefin Sans" w:eastAsia="Josefin Sans" w:hAnsi="Josefin Sans" w:cs="Josefin Sans"/>
                      <w:color w:val="000000"/>
                    </w:rPr>
                  </w:pPr>
                </w:p>
              </w:tc>
            </w:tr>
            <w:tr w:rsidR="00AC4EFA" w:rsidRPr="00E65AD6" w14:paraId="18C95678"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75"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Cotas de classe de fundos de investimento financeiro, registrados no âmbito do Anexo Normativo I da Resolução CVM 175</w:t>
                  </w:r>
                </w:p>
              </w:tc>
              <w:tc>
                <w:tcPr>
                  <w:tcW w:w="2275" w:type="dxa"/>
                  <w:tcBorders>
                    <w:top w:val="nil"/>
                    <w:left w:val="nil"/>
                    <w:bottom w:val="single" w:sz="4" w:space="0" w:color="000000"/>
                    <w:right w:val="single" w:sz="4" w:space="0" w:color="000000"/>
                  </w:tcBorders>
                  <w:shd w:val="clear" w:color="auto" w:fill="auto"/>
                </w:tcPr>
                <w:p w14:paraId="18C95676"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vMerge/>
                  <w:tcBorders>
                    <w:top w:val="single" w:sz="4" w:space="0" w:color="000000"/>
                    <w:left w:val="single" w:sz="4" w:space="0" w:color="000000"/>
                    <w:right w:val="single" w:sz="4" w:space="0" w:color="000000"/>
                  </w:tcBorders>
                  <w:shd w:val="clear" w:color="auto" w:fill="auto"/>
                  <w:vAlign w:val="center"/>
                </w:tcPr>
                <w:p w14:paraId="18C95677" w14:textId="77777777" w:rsidR="00AC4EFA" w:rsidRPr="00E65AD6" w:rsidRDefault="00AC4EFA">
                  <w:pPr>
                    <w:widowControl w:val="0"/>
                    <w:pBdr>
                      <w:top w:val="nil"/>
                      <w:left w:val="nil"/>
                      <w:bottom w:val="nil"/>
                      <w:right w:val="nil"/>
                      <w:between w:val="nil"/>
                    </w:pBdr>
                    <w:spacing w:after="0"/>
                    <w:rPr>
                      <w:rFonts w:ascii="Josefin Sans" w:eastAsia="Josefin Sans" w:hAnsi="Josefin Sans" w:cs="Josefin Sans"/>
                      <w:color w:val="000000"/>
                    </w:rPr>
                  </w:pPr>
                </w:p>
              </w:tc>
            </w:tr>
            <w:tr w:rsidR="00AC4EFA" w:rsidRPr="00E65AD6" w14:paraId="18C9567C"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79"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 xml:space="preserve">Ativos, perfeitamente fungíveis de uma única emissão de valores mobiliários, desde que essa aplicação em específico constitua a política de investimento da </w:t>
                  </w:r>
                  <w:r w:rsidRPr="00E65AD6">
                    <w:rPr>
                      <w:rFonts w:ascii="Josefin Sans" w:eastAsia="Josefin Sans" w:hAnsi="Josefin Sans" w:cs="Josefin Sans"/>
                    </w:rPr>
                    <w:lastRenderedPageBreak/>
                    <w:t>classe e os ativos tenham sido emitidas por companhias abertas e objeto de oferta pública</w:t>
                  </w:r>
                </w:p>
              </w:tc>
              <w:tc>
                <w:tcPr>
                  <w:tcW w:w="2275" w:type="dxa"/>
                  <w:tcBorders>
                    <w:top w:val="nil"/>
                    <w:left w:val="nil"/>
                    <w:bottom w:val="single" w:sz="4" w:space="0" w:color="000000"/>
                    <w:right w:val="single" w:sz="4" w:space="0" w:color="000000"/>
                  </w:tcBorders>
                  <w:shd w:val="clear" w:color="auto" w:fill="auto"/>
                </w:tcPr>
                <w:p w14:paraId="18C9567A"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lastRenderedPageBreak/>
                    <w:t>Permitido</w:t>
                  </w:r>
                </w:p>
              </w:tc>
              <w:tc>
                <w:tcPr>
                  <w:tcW w:w="2138" w:type="dxa"/>
                  <w:vMerge/>
                  <w:tcBorders>
                    <w:top w:val="single" w:sz="4" w:space="0" w:color="000000"/>
                    <w:left w:val="single" w:sz="4" w:space="0" w:color="000000"/>
                    <w:right w:val="single" w:sz="4" w:space="0" w:color="000000"/>
                  </w:tcBorders>
                  <w:shd w:val="clear" w:color="auto" w:fill="auto"/>
                  <w:vAlign w:val="center"/>
                </w:tcPr>
                <w:p w14:paraId="18C9567B" w14:textId="77777777" w:rsidR="00AC4EFA" w:rsidRPr="00E65AD6" w:rsidRDefault="00AC4EFA">
                  <w:pPr>
                    <w:widowControl w:val="0"/>
                    <w:pBdr>
                      <w:top w:val="nil"/>
                      <w:left w:val="nil"/>
                      <w:bottom w:val="nil"/>
                      <w:right w:val="nil"/>
                      <w:between w:val="nil"/>
                    </w:pBdr>
                    <w:spacing w:after="0"/>
                    <w:rPr>
                      <w:rFonts w:ascii="Josefin Sans" w:eastAsia="Josefin Sans" w:hAnsi="Josefin Sans" w:cs="Josefin Sans"/>
                      <w:color w:val="000000"/>
                    </w:rPr>
                  </w:pPr>
                </w:p>
              </w:tc>
            </w:tr>
            <w:tr w:rsidR="00AC4EFA" w:rsidRPr="00E65AD6" w14:paraId="18C95680"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7D"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Classe de cotas de fundos de investimento financeiro registrados no âmbito do Anexo Normativo I da Resolução CVM 175, destinados a investidores qualificados</w:t>
                  </w:r>
                </w:p>
              </w:tc>
              <w:tc>
                <w:tcPr>
                  <w:tcW w:w="2275" w:type="dxa"/>
                  <w:tcBorders>
                    <w:top w:val="nil"/>
                    <w:left w:val="nil"/>
                    <w:bottom w:val="single" w:sz="4" w:space="0" w:color="000000"/>
                    <w:right w:val="single" w:sz="4" w:space="0" w:color="000000"/>
                  </w:tcBorders>
                  <w:shd w:val="clear" w:color="auto" w:fill="auto"/>
                </w:tcPr>
                <w:p w14:paraId="18C9567E" w14:textId="77777777" w:rsidR="00AC4EFA" w:rsidRPr="00E65AD6" w:rsidRDefault="006900B4">
                  <w:pPr>
                    <w:spacing w:after="0" w:line="240" w:lineRule="auto"/>
                    <w:jc w:val="center"/>
                    <w:rPr>
                      <w:rFonts w:ascii="Josefin Sans" w:eastAsia="Josefin Sans" w:hAnsi="Josefin Sans" w:cs="Josefin Sans"/>
                    </w:rPr>
                  </w:pPr>
                  <w:r w:rsidRPr="00E65AD6">
                    <w:rPr>
                      <w:rFonts w:ascii="Josefin Sans" w:eastAsia="Josefin Sans" w:hAnsi="Josefin Sans" w:cs="Josefin Sans"/>
                      <w:color w:val="000000"/>
                    </w:rPr>
                    <w:t>Permitido</w:t>
                  </w:r>
                </w:p>
              </w:tc>
              <w:tc>
                <w:tcPr>
                  <w:tcW w:w="2138" w:type="dxa"/>
                  <w:tcBorders>
                    <w:left w:val="single" w:sz="4" w:space="0" w:color="000000"/>
                    <w:bottom w:val="single" w:sz="4" w:space="0" w:color="000000"/>
                    <w:right w:val="single" w:sz="4" w:space="0" w:color="000000"/>
                  </w:tcBorders>
                  <w:shd w:val="clear" w:color="auto" w:fill="auto"/>
                  <w:vAlign w:val="center"/>
                </w:tcPr>
                <w:p w14:paraId="18C9567F"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Até 20%</w:t>
                  </w:r>
                </w:p>
              </w:tc>
            </w:tr>
            <w:tr w:rsidR="00AC4EFA" w:rsidRPr="00E65AD6" w14:paraId="18C95684"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81"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 xml:space="preserve">Classe de cotas de fundos de investimento financeiro registrados no âmbito do Anexo Normativo I da Resolução CVM 175, </w:t>
                  </w:r>
                  <w:r w:rsidRPr="00E65AD6">
                    <w:rPr>
                      <w:rFonts w:ascii="Josefin Sans" w:eastAsia="Josefin Sans" w:hAnsi="Josefin Sans" w:cs="Josefin Sans"/>
                      <w:color w:val="000000"/>
                    </w:rPr>
                    <w:t>destinados a investidores profissionais</w:t>
                  </w:r>
                </w:p>
              </w:tc>
              <w:tc>
                <w:tcPr>
                  <w:tcW w:w="2275" w:type="dxa"/>
                  <w:tcBorders>
                    <w:top w:val="nil"/>
                    <w:left w:val="nil"/>
                    <w:bottom w:val="single" w:sz="4" w:space="0" w:color="000000"/>
                    <w:right w:val="single" w:sz="4" w:space="0" w:color="000000"/>
                  </w:tcBorders>
                  <w:shd w:val="clear" w:color="auto" w:fill="auto"/>
                </w:tcPr>
                <w:p w14:paraId="18C95682" w14:textId="77777777" w:rsidR="00AC4EFA" w:rsidRPr="00E65AD6" w:rsidRDefault="006900B4">
                  <w:pPr>
                    <w:spacing w:after="0" w:line="240" w:lineRule="auto"/>
                    <w:jc w:val="center"/>
                    <w:rPr>
                      <w:rFonts w:ascii="Josefin Sans" w:eastAsia="Josefin Sans" w:hAnsi="Josefin Sans" w:cs="Josefin Sans"/>
                    </w:rPr>
                  </w:pPr>
                  <w:r w:rsidRPr="00E65AD6">
                    <w:rPr>
                      <w:rFonts w:ascii="Josefin Sans" w:eastAsia="Josefin Sans" w:hAnsi="Josefin Sans" w:cs="Josefin Sans"/>
                      <w:color w:val="000000"/>
                    </w:rPr>
                    <w:t>Permitido</w:t>
                  </w:r>
                </w:p>
              </w:tc>
              <w:tc>
                <w:tcPr>
                  <w:tcW w:w="2138" w:type="dxa"/>
                  <w:tcBorders>
                    <w:left w:val="single" w:sz="4" w:space="0" w:color="000000"/>
                    <w:bottom w:val="single" w:sz="4" w:space="0" w:color="000000"/>
                    <w:right w:val="single" w:sz="4" w:space="0" w:color="000000"/>
                  </w:tcBorders>
                  <w:shd w:val="clear" w:color="auto" w:fill="auto"/>
                  <w:vAlign w:val="center"/>
                </w:tcPr>
                <w:p w14:paraId="18C95683"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Até 5%, dentro do limite da linha acima</w:t>
                  </w:r>
                </w:p>
              </w:tc>
            </w:tr>
            <w:tr w:rsidR="00AC4EFA" w:rsidRPr="00E65AD6" w14:paraId="18C95688"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85"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 xml:space="preserve">Classe de cotas de Fundos de Investimento Imobiliário (“FII”) </w:t>
                  </w:r>
                </w:p>
              </w:tc>
              <w:tc>
                <w:tcPr>
                  <w:tcW w:w="2275" w:type="dxa"/>
                  <w:tcBorders>
                    <w:top w:val="nil"/>
                    <w:left w:val="nil"/>
                    <w:bottom w:val="single" w:sz="4" w:space="0" w:color="000000"/>
                    <w:right w:val="single" w:sz="4" w:space="0" w:color="000000"/>
                  </w:tcBorders>
                  <w:shd w:val="clear" w:color="auto" w:fill="auto"/>
                </w:tcPr>
                <w:p w14:paraId="18C95686"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tcBorders>
                    <w:top w:val="nil"/>
                    <w:left w:val="single" w:sz="4" w:space="0" w:color="000000"/>
                    <w:bottom w:val="single" w:sz="4" w:space="0" w:color="000000"/>
                    <w:right w:val="single" w:sz="4" w:space="0" w:color="000000"/>
                  </w:tcBorders>
                  <w:shd w:val="clear" w:color="auto" w:fill="auto"/>
                  <w:vAlign w:val="center"/>
                </w:tcPr>
                <w:p w14:paraId="18C95687"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Até 20%</w:t>
                  </w:r>
                </w:p>
              </w:tc>
            </w:tr>
            <w:tr w:rsidR="00AC4EFA" w:rsidRPr="00E65AD6" w14:paraId="18C9568C"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89" w14:textId="77777777" w:rsidR="00AC4EFA" w:rsidRPr="00E65AD6" w:rsidRDefault="006900B4">
                  <w:pPr>
                    <w:spacing w:after="0" w:line="240" w:lineRule="auto"/>
                    <w:jc w:val="both"/>
                    <w:rPr>
                      <w:rFonts w:ascii="Josefin Sans" w:eastAsia="Josefin Sans" w:hAnsi="Josefin Sans" w:cs="Josefin Sans"/>
                      <w:color w:val="000000"/>
                    </w:rPr>
                  </w:pPr>
                  <w:r w:rsidRPr="00E65AD6">
                    <w:rPr>
                      <w:rFonts w:ascii="Josefin Sans" w:eastAsia="Josefin Sans" w:hAnsi="Josefin Sans" w:cs="Josefin Sans"/>
                      <w:color w:val="000000"/>
                    </w:rPr>
                    <w:t xml:space="preserve">Classe de cotas de Fundos de Investimento em Direitos Creditórios (“FIDC”) </w:t>
                  </w:r>
                </w:p>
              </w:tc>
              <w:tc>
                <w:tcPr>
                  <w:tcW w:w="2275" w:type="dxa"/>
                  <w:tcBorders>
                    <w:top w:val="nil"/>
                    <w:left w:val="nil"/>
                    <w:bottom w:val="single" w:sz="4" w:space="0" w:color="000000"/>
                    <w:right w:val="single" w:sz="4" w:space="0" w:color="000000"/>
                  </w:tcBorders>
                  <w:shd w:val="clear" w:color="auto" w:fill="auto"/>
                </w:tcPr>
                <w:p w14:paraId="18C9568A"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tcBorders>
                    <w:top w:val="nil"/>
                    <w:left w:val="single" w:sz="4" w:space="0" w:color="000000"/>
                    <w:bottom w:val="single" w:sz="4" w:space="0" w:color="000000"/>
                    <w:right w:val="single" w:sz="4" w:space="0" w:color="000000"/>
                  </w:tcBorders>
                  <w:shd w:val="clear" w:color="auto" w:fill="auto"/>
                  <w:vAlign w:val="center"/>
                </w:tcPr>
                <w:p w14:paraId="18C9568B"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Até 20%</w:t>
                  </w:r>
                </w:p>
              </w:tc>
            </w:tr>
            <w:tr w:rsidR="00AC4EFA" w:rsidRPr="00E65AD6" w14:paraId="18C95690"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8D" w14:textId="77777777" w:rsidR="00AC4EFA" w:rsidRPr="00E65AD6" w:rsidRDefault="006900B4">
                  <w:pPr>
                    <w:spacing w:after="0" w:line="240" w:lineRule="auto"/>
                    <w:jc w:val="both"/>
                    <w:rPr>
                      <w:rFonts w:ascii="Josefin Sans" w:eastAsia="Josefin Sans" w:hAnsi="Josefin Sans" w:cs="Josefin Sans"/>
                      <w:color w:val="000000"/>
                    </w:rPr>
                  </w:pPr>
                  <w:r w:rsidRPr="00E65AD6">
                    <w:rPr>
                      <w:rFonts w:ascii="Josefin Sans" w:eastAsia="Josefin Sans" w:hAnsi="Josefin Sans" w:cs="Josefin Sans"/>
                      <w:color w:val="000000"/>
                    </w:rPr>
                    <w:t>Classe de cotas de FIDC cujas políticas de investimento admitam a aquisição de direitos creditórios não-padronizados</w:t>
                  </w:r>
                </w:p>
              </w:tc>
              <w:tc>
                <w:tcPr>
                  <w:tcW w:w="2275" w:type="dxa"/>
                  <w:tcBorders>
                    <w:top w:val="nil"/>
                    <w:left w:val="nil"/>
                    <w:bottom w:val="single" w:sz="4" w:space="0" w:color="000000"/>
                    <w:right w:val="single" w:sz="4" w:space="0" w:color="000000"/>
                  </w:tcBorders>
                  <w:shd w:val="clear" w:color="auto" w:fill="auto"/>
                </w:tcPr>
                <w:p w14:paraId="18C9568E"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tcBorders>
                    <w:top w:val="nil"/>
                    <w:left w:val="single" w:sz="4" w:space="0" w:color="000000"/>
                    <w:bottom w:val="single" w:sz="4" w:space="0" w:color="000000"/>
                    <w:right w:val="single" w:sz="4" w:space="0" w:color="000000"/>
                  </w:tcBorders>
                  <w:shd w:val="clear" w:color="auto" w:fill="auto"/>
                  <w:vAlign w:val="center"/>
                </w:tcPr>
                <w:p w14:paraId="18C9568F"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Até 5%, dentro do limite da linha acima</w:t>
                  </w:r>
                </w:p>
              </w:tc>
            </w:tr>
            <w:tr w:rsidR="00AC4EFA" w:rsidRPr="00E65AD6" w14:paraId="18C95694"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91" w14:textId="77777777" w:rsidR="00AC4EFA" w:rsidRPr="00E65AD6" w:rsidRDefault="006900B4">
                  <w:pPr>
                    <w:spacing w:after="0" w:line="240" w:lineRule="auto"/>
                    <w:jc w:val="both"/>
                    <w:rPr>
                      <w:rFonts w:ascii="Josefin Sans" w:eastAsia="Josefin Sans" w:hAnsi="Josefin Sans" w:cs="Josefin Sans"/>
                      <w:color w:val="000000"/>
                    </w:rPr>
                  </w:pPr>
                  <w:r w:rsidRPr="00E65AD6">
                    <w:rPr>
                      <w:rFonts w:ascii="Josefin Sans" w:eastAsia="Josefin Sans" w:hAnsi="Josefin Sans" w:cs="Josefin Sans"/>
                      <w:color w:val="000000"/>
                    </w:rPr>
                    <w:t>Certificados de Recebíveis Imobiliários (“CRI”)</w:t>
                  </w:r>
                </w:p>
              </w:tc>
              <w:tc>
                <w:tcPr>
                  <w:tcW w:w="2275" w:type="dxa"/>
                  <w:tcBorders>
                    <w:top w:val="nil"/>
                    <w:left w:val="nil"/>
                    <w:bottom w:val="single" w:sz="4" w:space="0" w:color="000000"/>
                    <w:right w:val="single" w:sz="4" w:space="0" w:color="000000"/>
                  </w:tcBorders>
                  <w:shd w:val="clear" w:color="auto" w:fill="auto"/>
                </w:tcPr>
                <w:p w14:paraId="18C95692"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tcBorders>
                    <w:top w:val="nil"/>
                    <w:left w:val="single" w:sz="4" w:space="0" w:color="000000"/>
                    <w:bottom w:val="single" w:sz="4" w:space="0" w:color="000000"/>
                    <w:right w:val="single" w:sz="4" w:space="0" w:color="000000"/>
                  </w:tcBorders>
                  <w:shd w:val="clear" w:color="auto" w:fill="auto"/>
                  <w:vAlign w:val="center"/>
                </w:tcPr>
                <w:p w14:paraId="18C95693" w14:textId="77777777" w:rsidR="00AC4EFA" w:rsidRPr="00E65AD6" w:rsidRDefault="006900B4">
                  <w:pPr>
                    <w:spacing w:after="0" w:line="240" w:lineRule="auto"/>
                    <w:rPr>
                      <w:rFonts w:ascii="Josefin Sans" w:eastAsia="Josefin Sans" w:hAnsi="Josefin Sans" w:cs="Josefin Sans"/>
                      <w:b/>
                      <w:color w:val="000000"/>
                    </w:rPr>
                  </w:pPr>
                  <w:r w:rsidRPr="00E65AD6">
                    <w:rPr>
                      <w:rFonts w:ascii="Josefin Sans" w:eastAsia="Josefin Sans" w:hAnsi="Josefin Sans" w:cs="Josefin Sans"/>
                      <w:b/>
                      <w:color w:val="000000"/>
                    </w:rPr>
                    <w:t>Até 20%</w:t>
                  </w:r>
                </w:p>
              </w:tc>
            </w:tr>
            <w:tr w:rsidR="00AC4EFA" w:rsidRPr="00E65AD6" w14:paraId="18C95698"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95" w14:textId="77777777" w:rsidR="00AC4EFA" w:rsidRPr="00E65AD6" w:rsidRDefault="006900B4">
                  <w:pPr>
                    <w:spacing w:after="0" w:line="240" w:lineRule="auto"/>
                    <w:jc w:val="both"/>
                    <w:rPr>
                      <w:rFonts w:ascii="Josefin Sans" w:eastAsia="Josefin Sans" w:hAnsi="Josefin Sans" w:cs="Josefin Sans"/>
                      <w:color w:val="000000"/>
                    </w:rPr>
                  </w:pPr>
                  <w:r w:rsidRPr="00E65AD6">
                    <w:rPr>
                      <w:rFonts w:ascii="Josefin Sans" w:eastAsia="Josefin Sans" w:hAnsi="Josefin Sans" w:cs="Josefin Sans"/>
                      <w:color w:val="000000"/>
                    </w:rPr>
                    <w:t>Certificados de recebíveis cujo lastro seja composto por direitos creditórios não-padronizados</w:t>
                  </w:r>
                </w:p>
              </w:tc>
              <w:tc>
                <w:tcPr>
                  <w:tcW w:w="2275" w:type="dxa"/>
                  <w:tcBorders>
                    <w:top w:val="nil"/>
                    <w:left w:val="nil"/>
                    <w:bottom w:val="single" w:sz="4" w:space="0" w:color="000000"/>
                    <w:right w:val="single" w:sz="4" w:space="0" w:color="000000"/>
                  </w:tcBorders>
                  <w:shd w:val="clear" w:color="auto" w:fill="auto"/>
                </w:tcPr>
                <w:p w14:paraId="18C95696"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tcBorders>
                    <w:top w:val="nil"/>
                    <w:left w:val="single" w:sz="4" w:space="0" w:color="000000"/>
                    <w:bottom w:val="single" w:sz="4" w:space="0" w:color="000000"/>
                    <w:right w:val="single" w:sz="4" w:space="0" w:color="000000"/>
                  </w:tcBorders>
                  <w:shd w:val="clear" w:color="auto" w:fill="auto"/>
                  <w:vAlign w:val="center"/>
                </w:tcPr>
                <w:p w14:paraId="18C95697"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Até 5%, dentro do limite da linha acima</w:t>
                  </w:r>
                </w:p>
              </w:tc>
            </w:tr>
            <w:tr w:rsidR="00AC4EFA" w:rsidRPr="00E65AD6" w14:paraId="18C9569C" w14:textId="77777777">
              <w:trPr>
                <w:trHeight w:val="900"/>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99" w14:textId="77777777" w:rsidR="00AC4EFA" w:rsidRPr="00E65AD6" w:rsidRDefault="006900B4">
                  <w:pPr>
                    <w:spacing w:after="0" w:line="240" w:lineRule="auto"/>
                    <w:jc w:val="both"/>
                    <w:rPr>
                      <w:rFonts w:ascii="Josefin Sans" w:eastAsia="Josefin Sans" w:hAnsi="Josefin Sans" w:cs="Josefin Sans"/>
                      <w:color w:val="000000"/>
                    </w:rPr>
                  </w:pPr>
                  <w:r w:rsidRPr="00E65AD6">
                    <w:rPr>
                      <w:rFonts w:ascii="Josefin Sans" w:eastAsia="Josefin Sans" w:hAnsi="Josefin Sans" w:cs="Josefin Sans"/>
                      <w:color w:val="000000"/>
                    </w:rPr>
                    <w:t>Valores mobiliários representativos de dívida de emissão de companhia emissora não registrada na CVM</w:t>
                  </w:r>
                </w:p>
              </w:tc>
              <w:tc>
                <w:tcPr>
                  <w:tcW w:w="2275" w:type="dxa"/>
                  <w:tcBorders>
                    <w:top w:val="nil"/>
                    <w:left w:val="single" w:sz="4" w:space="0" w:color="000000"/>
                    <w:bottom w:val="single" w:sz="4" w:space="0" w:color="000000"/>
                    <w:right w:val="single" w:sz="4" w:space="0" w:color="000000"/>
                  </w:tcBorders>
                  <w:shd w:val="clear" w:color="auto" w:fill="auto"/>
                </w:tcPr>
                <w:p w14:paraId="18C9569A"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tcBorders>
                    <w:top w:val="nil"/>
                    <w:left w:val="single" w:sz="4" w:space="0" w:color="000000"/>
                    <w:bottom w:val="single" w:sz="4" w:space="0" w:color="000000"/>
                    <w:right w:val="single" w:sz="4" w:space="0" w:color="000000"/>
                  </w:tcBorders>
                  <w:shd w:val="clear" w:color="auto" w:fill="auto"/>
                  <w:vAlign w:val="center"/>
                </w:tcPr>
                <w:p w14:paraId="18C9569B"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Até 20%</w:t>
                  </w:r>
                </w:p>
              </w:tc>
            </w:tr>
            <w:tr w:rsidR="00AC4EFA" w:rsidRPr="00E65AD6" w14:paraId="18C956A0"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9D"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Cotas de Fundos de Investimento em Participações (“FIP”)</w:t>
                  </w:r>
                </w:p>
              </w:tc>
              <w:tc>
                <w:tcPr>
                  <w:tcW w:w="2275" w:type="dxa"/>
                  <w:tcBorders>
                    <w:top w:val="nil"/>
                    <w:left w:val="nil"/>
                    <w:bottom w:val="single" w:sz="4" w:space="0" w:color="000000"/>
                    <w:right w:val="single" w:sz="4" w:space="0" w:color="000000"/>
                  </w:tcBorders>
                  <w:shd w:val="clear" w:color="auto" w:fill="auto"/>
                </w:tcPr>
                <w:p w14:paraId="18C9569E"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569F"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Até 15%</w:t>
                  </w:r>
                </w:p>
              </w:tc>
            </w:tr>
            <w:tr w:rsidR="00AC4EFA" w:rsidRPr="00E65AD6" w14:paraId="18C956A4" w14:textId="77777777">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A1"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Cotas de Fundos de Investimento do Agronegócio (“FIAGRO”)</w:t>
                  </w:r>
                </w:p>
              </w:tc>
              <w:tc>
                <w:tcPr>
                  <w:tcW w:w="2275" w:type="dxa"/>
                  <w:tcBorders>
                    <w:top w:val="nil"/>
                    <w:left w:val="nil"/>
                    <w:bottom w:val="single" w:sz="4" w:space="0" w:color="000000"/>
                    <w:right w:val="single" w:sz="4" w:space="0" w:color="000000"/>
                  </w:tcBorders>
                  <w:shd w:val="clear" w:color="auto" w:fill="auto"/>
                </w:tcPr>
                <w:p w14:paraId="18C956A2"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56A3"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Até 15%</w:t>
                  </w:r>
                </w:p>
              </w:tc>
            </w:tr>
            <w:tr w:rsidR="00AC4EFA" w:rsidRPr="00E65AD6" w14:paraId="18C956A8" w14:textId="77777777" w:rsidTr="00393665">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A5"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Cotas de FIAGRO cujas políticas de investimento admitam a aquisição de direitos creditórios não-padronizados</w:t>
                  </w:r>
                </w:p>
              </w:tc>
              <w:tc>
                <w:tcPr>
                  <w:tcW w:w="2275" w:type="dxa"/>
                  <w:tcBorders>
                    <w:top w:val="nil"/>
                    <w:left w:val="nil"/>
                    <w:bottom w:val="single" w:sz="4" w:space="0" w:color="000000"/>
                    <w:right w:val="single" w:sz="4" w:space="0" w:color="000000"/>
                  </w:tcBorders>
                  <w:shd w:val="clear" w:color="auto" w:fill="auto"/>
                  <w:vAlign w:val="center"/>
                </w:tcPr>
                <w:p w14:paraId="18C956A6"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56A7"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Até 5%, dentro do limite da linha acima</w:t>
                  </w:r>
                </w:p>
              </w:tc>
            </w:tr>
            <w:tr w:rsidR="00AC4EFA" w:rsidRPr="00E65AD6" w14:paraId="18C956AC" w14:textId="77777777" w:rsidTr="00393665">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A9"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Títulos e contratos de investimento coletivo, o que inclui, mas não se limita, aos CIC-hoteleiros, observadas as disposições regulamentares aplicáveis;</w:t>
                  </w:r>
                </w:p>
              </w:tc>
              <w:tc>
                <w:tcPr>
                  <w:tcW w:w="2275" w:type="dxa"/>
                  <w:tcBorders>
                    <w:top w:val="single" w:sz="4" w:space="0" w:color="000000"/>
                    <w:left w:val="nil"/>
                    <w:bottom w:val="single" w:sz="4" w:space="0" w:color="000000"/>
                    <w:right w:val="single" w:sz="4" w:space="0" w:color="000000"/>
                  </w:tcBorders>
                  <w:shd w:val="clear" w:color="auto" w:fill="auto"/>
                  <w:vAlign w:val="center"/>
                </w:tcPr>
                <w:p w14:paraId="18C956AA"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C956AB"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Até 10%</w:t>
                  </w:r>
                </w:p>
              </w:tc>
            </w:tr>
            <w:tr w:rsidR="00AC4EFA" w:rsidRPr="00E65AD6" w14:paraId="18C956B0" w14:textId="77777777" w:rsidTr="00393665">
              <w:trPr>
                <w:trHeight w:val="283"/>
              </w:trPr>
              <w:tc>
                <w:tcPr>
                  <w:tcW w:w="5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56AD"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Créditos de descarbonização (“CBIO”) e créditos de carbono</w:t>
                  </w:r>
                </w:p>
              </w:tc>
              <w:tc>
                <w:tcPr>
                  <w:tcW w:w="2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56AE" w14:textId="6DE9506F"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C956AF" w14:textId="77777777" w:rsidR="00AC4EFA" w:rsidRPr="00E65AD6" w:rsidRDefault="00AC4EFA">
                  <w:pPr>
                    <w:widowControl w:val="0"/>
                    <w:pBdr>
                      <w:top w:val="nil"/>
                      <w:left w:val="nil"/>
                      <w:bottom w:val="nil"/>
                      <w:right w:val="nil"/>
                      <w:between w:val="nil"/>
                    </w:pBdr>
                    <w:spacing w:after="0"/>
                    <w:rPr>
                      <w:rFonts w:ascii="Josefin Sans" w:eastAsia="Josefin Sans" w:hAnsi="Josefin Sans" w:cs="Josefin Sans"/>
                      <w:color w:val="000000"/>
                    </w:rPr>
                  </w:pPr>
                </w:p>
              </w:tc>
            </w:tr>
            <w:tr w:rsidR="00AC4EFA" w:rsidRPr="00E65AD6" w14:paraId="18C956B4" w14:textId="77777777" w:rsidTr="00393665">
              <w:trPr>
                <w:trHeight w:val="283"/>
              </w:trPr>
              <w:tc>
                <w:tcPr>
                  <w:tcW w:w="5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56B1"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Criptoativos</w:t>
                  </w:r>
                </w:p>
              </w:tc>
              <w:tc>
                <w:tcPr>
                  <w:tcW w:w="2275" w:type="dxa"/>
                  <w:tcBorders>
                    <w:top w:val="single" w:sz="4" w:space="0" w:color="000000"/>
                    <w:left w:val="nil"/>
                    <w:bottom w:val="single" w:sz="4" w:space="0" w:color="000000"/>
                    <w:right w:val="single" w:sz="4" w:space="0" w:color="000000"/>
                  </w:tcBorders>
                  <w:shd w:val="clear" w:color="auto" w:fill="auto"/>
                  <w:vAlign w:val="center"/>
                </w:tcPr>
                <w:p w14:paraId="18C956B2"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C956B3" w14:textId="77777777" w:rsidR="00AC4EFA" w:rsidRPr="00E65AD6" w:rsidRDefault="00AC4EFA">
                  <w:pPr>
                    <w:widowControl w:val="0"/>
                    <w:pBdr>
                      <w:top w:val="nil"/>
                      <w:left w:val="nil"/>
                      <w:bottom w:val="nil"/>
                      <w:right w:val="nil"/>
                      <w:between w:val="nil"/>
                    </w:pBdr>
                    <w:spacing w:after="0"/>
                    <w:rPr>
                      <w:rFonts w:ascii="Josefin Sans" w:eastAsia="Josefin Sans" w:hAnsi="Josefin Sans" w:cs="Josefin Sans"/>
                      <w:color w:val="000000"/>
                    </w:rPr>
                  </w:pPr>
                </w:p>
              </w:tc>
            </w:tr>
            <w:tr w:rsidR="00AC4EFA" w:rsidRPr="00E65AD6" w14:paraId="18C956B8" w14:textId="77777777" w:rsidTr="00393665">
              <w:trPr>
                <w:trHeight w:val="283"/>
              </w:trPr>
              <w:tc>
                <w:tcPr>
                  <w:tcW w:w="5426" w:type="dxa"/>
                  <w:tcBorders>
                    <w:top w:val="nil"/>
                    <w:left w:val="single" w:sz="4" w:space="0" w:color="000000"/>
                    <w:bottom w:val="single" w:sz="4" w:space="0" w:color="000000"/>
                    <w:right w:val="single" w:sz="4" w:space="0" w:color="000000"/>
                  </w:tcBorders>
                  <w:shd w:val="clear" w:color="auto" w:fill="auto"/>
                  <w:vAlign w:val="center"/>
                </w:tcPr>
                <w:p w14:paraId="18C956B5"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 xml:space="preserve">Valores mobiliários emitidos por meio de plataformas eletrônicas de investimento participativo, desde que sejam objeto de escrituração realizada por </w:t>
                  </w:r>
                  <w:proofErr w:type="spellStart"/>
                  <w:r w:rsidRPr="00E65AD6">
                    <w:rPr>
                      <w:rFonts w:ascii="Josefin Sans" w:eastAsia="Josefin Sans" w:hAnsi="Josefin Sans" w:cs="Josefin Sans"/>
                    </w:rPr>
                    <w:t>escriturador</w:t>
                  </w:r>
                  <w:proofErr w:type="spellEnd"/>
                  <w:r w:rsidRPr="00E65AD6">
                    <w:rPr>
                      <w:rFonts w:ascii="Josefin Sans" w:eastAsia="Josefin Sans" w:hAnsi="Josefin Sans" w:cs="Josefin Sans"/>
                    </w:rPr>
                    <w:t xml:space="preserve"> autorizado pela CVM</w:t>
                  </w:r>
                </w:p>
              </w:tc>
              <w:tc>
                <w:tcPr>
                  <w:tcW w:w="2275" w:type="dxa"/>
                  <w:tcBorders>
                    <w:top w:val="single" w:sz="4" w:space="0" w:color="000000"/>
                    <w:left w:val="nil"/>
                    <w:bottom w:val="single" w:sz="4" w:space="0" w:color="auto"/>
                    <w:right w:val="single" w:sz="4" w:space="0" w:color="000000"/>
                  </w:tcBorders>
                  <w:shd w:val="clear" w:color="auto" w:fill="auto"/>
                  <w:vAlign w:val="center"/>
                </w:tcPr>
                <w:p w14:paraId="18C956B6"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8"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18C956B7" w14:textId="77777777" w:rsidR="00AC4EFA" w:rsidRPr="00E65AD6" w:rsidRDefault="00AC4EFA">
                  <w:pPr>
                    <w:widowControl w:val="0"/>
                    <w:pBdr>
                      <w:top w:val="nil"/>
                      <w:left w:val="nil"/>
                      <w:bottom w:val="nil"/>
                      <w:right w:val="nil"/>
                      <w:between w:val="nil"/>
                    </w:pBdr>
                    <w:spacing w:after="0"/>
                    <w:rPr>
                      <w:rFonts w:ascii="Josefin Sans" w:eastAsia="Josefin Sans" w:hAnsi="Josefin Sans" w:cs="Josefin Sans"/>
                      <w:color w:val="000000"/>
                    </w:rPr>
                  </w:pPr>
                </w:p>
              </w:tc>
            </w:tr>
          </w:tbl>
          <w:p w14:paraId="18C956B9" w14:textId="77777777" w:rsidR="00AC4EFA" w:rsidRPr="00E65AD6" w:rsidRDefault="00AC4EFA">
            <w:pPr>
              <w:rPr>
                <w:rFonts w:ascii="Josefin Sans" w:hAnsi="Josefin Sans"/>
                <w:sz w:val="22"/>
                <w:szCs w:val="22"/>
              </w:rPr>
            </w:pPr>
          </w:p>
          <w:tbl>
            <w:tblPr>
              <w:tblStyle w:val="a9"/>
              <w:tblW w:w="9816" w:type="dxa"/>
              <w:tblInd w:w="0" w:type="dxa"/>
              <w:tblLayout w:type="fixed"/>
              <w:tblLook w:val="0400" w:firstRow="0" w:lastRow="0" w:firstColumn="0" w:lastColumn="0" w:noHBand="0" w:noVBand="1"/>
            </w:tblPr>
            <w:tblGrid>
              <w:gridCol w:w="4340"/>
              <w:gridCol w:w="2314"/>
              <w:gridCol w:w="3162"/>
            </w:tblGrid>
            <w:tr w:rsidR="00AC4EFA" w:rsidRPr="00E65AD6" w14:paraId="18C956BC" w14:textId="77777777" w:rsidTr="00393665">
              <w:trPr>
                <w:trHeight w:val="283"/>
              </w:trPr>
              <w:tc>
                <w:tcPr>
                  <w:tcW w:w="9816"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18C956BB" w14:textId="77777777" w:rsidR="00AC4EFA" w:rsidRPr="00E65AD6" w:rsidRDefault="006900B4">
                  <w:pPr>
                    <w:spacing w:after="0" w:line="240" w:lineRule="auto"/>
                    <w:jc w:val="center"/>
                    <w:rPr>
                      <w:rFonts w:ascii="Josefin Sans" w:eastAsia="Josefin Sans" w:hAnsi="Josefin Sans" w:cs="Josefin Sans"/>
                    </w:rPr>
                  </w:pPr>
                  <w:r w:rsidRPr="00E65AD6">
                    <w:rPr>
                      <w:rFonts w:ascii="Josefin Sans" w:eastAsia="Josefin Sans" w:hAnsi="Josefin Sans" w:cs="Josefin Sans"/>
                      <w:b/>
                    </w:rPr>
                    <w:t>LIMITES POR EMISSOR (% do PL)</w:t>
                  </w:r>
                </w:p>
              </w:tc>
            </w:tr>
            <w:tr w:rsidR="00AC4EFA" w:rsidRPr="00E65AD6" w14:paraId="18C956C0" w14:textId="77777777" w:rsidTr="00393665">
              <w:trPr>
                <w:trHeight w:val="283"/>
              </w:trPr>
              <w:tc>
                <w:tcPr>
                  <w:tcW w:w="434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6BD"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EMISSOR</w:t>
                  </w:r>
                </w:p>
              </w:tc>
              <w:tc>
                <w:tcPr>
                  <w:tcW w:w="231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6BE"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Permitido / Vedado</w:t>
                  </w:r>
                </w:p>
              </w:tc>
              <w:tc>
                <w:tcPr>
                  <w:tcW w:w="316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6BF"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Limite aplicável</w:t>
                  </w:r>
                </w:p>
              </w:tc>
            </w:tr>
            <w:tr w:rsidR="00AC4EFA" w:rsidRPr="00E65AD6" w14:paraId="18C956C4" w14:textId="77777777" w:rsidTr="00393665">
              <w:trPr>
                <w:trHeight w:val="283"/>
              </w:trPr>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56C1"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Instituições Financeiras</w:t>
                  </w:r>
                </w:p>
              </w:tc>
              <w:tc>
                <w:tcPr>
                  <w:tcW w:w="2314" w:type="dxa"/>
                  <w:tcBorders>
                    <w:top w:val="single" w:sz="4" w:space="0" w:color="000000"/>
                    <w:left w:val="nil"/>
                    <w:bottom w:val="single" w:sz="4" w:space="0" w:color="000000"/>
                    <w:right w:val="single" w:sz="4" w:space="0" w:color="000000"/>
                  </w:tcBorders>
                  <w:shd w:val="clear" w:color="auto" w:fill="auto"/>
                  <w:vAlign w:val="center"/>
                </w:tcPr>
                <w:p w14:paraId="18C956C2" w14:textId="77777777" w:rsidR="00AC4EFA" w:rsidRPr="00E65AD6" w:rsidRDefault="006900B4">
                  <w:pPr>
                    <w:spacing w:after="0" w:line="240" w:lineRule="auto"/>
                    <w:jc w:val="center"/>
                    <w:rPr>
                      <w:rFonts w:ascii="Josefin Sans" w:eastAsia="Josefin Sans" w:hAnsi="Josefin Sans" w:cs="Josefin Sans"/>
                    </w:rPr>
                  </w:pPr>
                  <w:r w:rsidRPr="00E65AD6">
                    <w:rPr>
                      <w:rFonts w:ascii="Josefin Sans" w:eastAsia="Josefin Sans" w:hAnsi="Josefin Sans" w:cs="Josefin Sans"/>
                    </w:rPr>
                    <w:t>Permitido</w:t>
                  </w:r>
                </w:p>
              </w:tc>
              <w:tc>
                <w:tcPr>
                  <w:tcW w:w="3162" w:type="dxa"/>
                  <w:tcBorders>
                    <w:top w:val="single" w:sz="4" w:space="0" w:color="000000"/>
                    <w:left w:val="nil"/>
                    <w:bottom w:val="single" w:sz="4" w:space="0" w:color="000000"/>
                    <w:right w:val="single" w:sz="4" w:space="0" w:color="000000"/>
                  </w:tcBorders>
                  <w:shd w:val="clear" w:color="auto" w:fill="auto"/>
                  <w:vAlign w:val="center"/>
                </w:tcPr>
                <w:p w14:paraId="18C956C3"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Até 20%</w:t>
                  </w:r>
                </w:p>
              </w:tc>
            </w:tr>
            <w:tr w:rsidR="00AC4EFA" w:rsidRPr="00E65AD6" w14:paraId="18C956C8" w14:textId="77777777" w:rsidTr="00393665">
              <w:trPr>
                <w:trHeight w:val="283"/>
              </w:trPr>
              <w:tc>
                <w:tcPr>
                  <w:tcW w:w="4340" w:type="dxa"/>
                  <w:tcBorders>
                    <w:top w:val="nil"/>
                    <w:left w:val="single" w:sz="4" w:space="0" w:color="000000"/>
                    <w:bottom w:val="single" w:sz="4" w:space="0" w:color="000000"/>
                    <w:right w:val="single" w:sz="4" w:space="0" w:color="000000"/>
                  </w:tcBorders>
                  <w:shd w:val="clear" w:color="auto" w:fill="auto"/>
                  <w:vAlign w:val="center"/>
                </w:tcPr>
                <w:p w14:paraId="18C956C5"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 xml:space="preserve">Companhia aberta </w:t>
                  </w:r>
                  <w:r w:rsidRPr="00E65AD6">
                    <w:rPr>
                      <w:rFonts w:ascii="Josefin Sans" w:eastAsia="Josefin Sans" w:hAnsi="Josefin Sans" w:cs="Josefin Sans"/>
                      <w:color w:val="000000"/>
                    </w:rPr>
                    <w:t>e, no caso de aplicações em BDR - Ações, quando o emissor for companhia aberta ou assemelhada, nos termos de norma específica.</w:t>
                  </w:r>
                </w:p>
              </w:tc>
              <w:tc>
                <w:tcPr>
                  <w:tcW w:w="2314" w:type="dxa"/>
                  <w:tcBorders>
                    <w:top w:val="nil"/>
                    <w:left w:val="nil"/>
                    <w:bottom w:val="single" w:sz="4" w:space="0" w:color="000000"/>
                    <w:right w:val="single" w:sz="4" w:space="0" w:color="000000"/>
                  </w:tcBorders>
                  <w:shd w:val="clear" w:color="auto" w:fill="auto"/>
                  <w:vAlign w:val="center"/>
                </w:tcPr>
                <w:p w14:paraId="18C956C6" w14:textId="77777777" w:rsidR="00AC4EFA" w:rsidRPr="00E65AD6" w:rsidRDefault="006900B4">
                  <w:pPr>
                    <w:spacing w:after="0" w:line="240" w:lineRule="auto"/>
                    <w:jc w:val="center"/>
                    <w:rPr>
                      <w:rFonts w:ascii="Josefin Sans" w:eastAsia="Josefin Sans" w:hAnsi="Josefin Sans" w:cs="Josefin Sans"/>
                    </w:rPr>
                  </w:pPr>
                  <w:r w:rsidRPr="00E65AD6">
                    <w:rPr>
                      <w:rFonts w:ascii="Josefin Sans" w:eastAsia="Josefin Sans" w:hAnsi="Josefin Sans" w:cs="Josefin Sans"/>
                    </w:rPr>
                    <w:t>Permitido</w:t>
                  </w:r>
                </w:p>
              </w:tc>
              <w:tc>
                <w:tcPr>
                  <w:tcW w:w="3162" w:type="dxa"/>
                  <w:tcBorders>
                    <w:top w:val="nil"/>
                    <w:left w:val="nil"/>
                    <w:bottom w:val="single" w:sz="4" w:space="0" w:color="000000"/>
                    <w:right w:val="single" w:sz="4" w:space="0" w:color="000000"/>
                  </w:tcBorders>
                  <w:shd w:val="clear" w:color="auto" w:fill="auto"/>
                  <w:vAlign w:val="center"/>
                </w:tcPr>
                <w:p w14:paraId="18C956C7"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Até 10%</w:t>
                  </w:r>
                </w:p>
              </w:tc>
            </w:tr>
            <w:tr w:rsidR="00AC4EFA" w:rsidRPr="00E65AD6" w14:paraId="18C956CC" w14:textId="77777777" w:rsidTr="00393665">
              <w:trPr>
                <w:trHeight w:val="283"/>
              </w:trPr>
              <w:tc>
                <w:tcPr>
                  <w:tcW w:w="4340" w:type="dxa"/>
                  <w:tcBorders>
                    <w:top w:val="nil"/>
                    <w:left w:val="single" w:sz="4" w:space="0" w:color="000000"/>
                    <w:bottom w:val="single" w:sz="4" w:space="0" w:color="000000"/>
                    <w:right w:val="single" w:sz="4" w:space="0" w:color="000000"/>
                  </w:tcBorders>
                  <w:shd w:val="clear" w:color="auto" w:fill="auto"/>
                  <w:vAlign w:val="center"/>
                </w:tcPr>
                <w:p w14:paraId="18C956C9" w14:textId="77777777" w:rsidR="00AC4EFA" w:rsidRPr="00E65AD6" w:rsidRDefault="006900B4">
                  <w:pPr>
                    <w:spacing w:after="0" w:line="240" w:lineRule="auto"/>
                    <w:jc w:val="both"/>
                    <w:rPr>
                      <w:rFonts w:ascii="Josefin Sans" w:eastAsia="Josefin Sans" w:hAnsi="Josefin Sans" w:cs="Josefin Sans"/>
                      <w:color w:val="000000"/>
                    </w:rPr>
                  </w:pPr>
                  <w:r w:rsidRPr="00E65AD6">
                    <w:rPr>
                      <w:rFonts w:ascii="Josefin Sans" w:eastAsia="Josefin Sans" w:hAnsi="Josefin Sans" w:cs="Josefin Sans"/>
                      <w:color w:val="000000"/>
                    </w:rPr>
                    <w:t>Sociedade de propósito específico que seja subsidiária integral de companhia securitizadora registrada na categoria S2</w:t>
                  </w:r>
                </w:p>
              </w:tc>
              <w:tc>
                <w:tcPr>
                  <w:tcW w:w="2314" w:type="dxa"/>
                  <w:tcBorders>
                    <w:top w:val="nil"/>
                    <w:left w:val="nil"/>
                    <w:bottom w:val="single" w:sz="4" w:space="0" w:color="000000"/>
                    <w:right w:val="single" w:sz="4" w:space="0" w:color="000000"/>
                  </w:tcBorders>
                  <w:shd w:val="clear" w:color="auto" w:fill="auto"/>
                  <w:vAlign w:val="center"/>
                </w:tcPr>
                <w:p w14:paraId="18C956CA"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3162" w:type="dxa"/>
                  <w:tcBorders>
                    <w:top w:val="nil"/>
                    <w:left w:val="nil"/>
                    <w:bottom w:val="single" w:sz="4" w:space="0" w:color="000000"/>
                    <w:right w:val="single" w:sz="4" w:space="0" w:color="000000"/>
                  </w:tcBorders>
                  <w:shd w:val="clear" w:color="auto" w:fill="auto"/>
                  <w:vAlign w:val="center"/>
                </w:tcPr>
                <w:p w14:paraId="18C956CB"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Até 10%</w:t>
                  </w:r>
                </w:p>
              </w:tc>
            </w:tr>
            <w:tr w:rsidR="00AC4EFA" w:rsidRPr="00E65AD6" w14:paraId="18C956D0" w14:textId="77777777" w:rsidTr="00393665">
              <w:trPr>
                <w:trHeight w:val="283"/>
              </w:trPr>
              <w:tc>
                <w:tcPr>
                  <w:tcW w:w="4340" w:type="dxa"/>
                  <w:tcBorders>
                    <w:top w:val="nil"/>
                    <w:left w:val="single" w:sz="4" w:space="0" w:color="000000"/>
                    <w:bottom w:val="single" w:sz="4" w:space="0" w:color="000000"/>
                    <w:right w:val="single" w:sz="4" w:space="0" w:color="000000"/>
                  </w:tcBorders>
                  <w:shd w:val="clear" w:color="auto" w:fill="auto"/>
                  <w:vAlign w:val="center"/>
                </w:tcPr>
                <w:p w14:paraId="18C956CD"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Pessoa Física e Pessoa Jurídica de direito privado (não enquadrada nos itens acima)</w:t>
                  </w:r>
                </w:p>
              </w:tc>
              <w:tc>
                <w:tcPr>
                  <w:tcW w:w="2314" w:type="dxa"/>
                  <w:tcBorders>
                    <w:top w:val="nil"/>
                    <w:left w:val="nil"/>
                    <w:bottom w:val="single" w:sz="4" w:space="0" w:color="000000"/>
                    <w:right w:val="single" w:sz="4" w:space="0" w:color="000000"/>
                  </w:tcBorders>
                  <w:shd w:val="clear" w:color="auto" w:fill="auto"/>
                  <w:vAlign w:val="center"/>
                </w:tcPr>
                <w:p w14:paraId="18C956CE" w14:textId="77777777" w:rsidR="00AC4EFA" w:rsidRPr="00E65AD6" w:rsidRDefault="006900B4">
                  <w:pPr>
                    <w:spacing w:after="0" w:line="240" w:lineRule="auto"/>
                    <w:jc w:val="center"/>
                    <w:rPr>
                      <w:rFonts w:ascii="Josefin Sans" w:eastAsia="Josefin Sans" w:hAnsi="Josefin Sans" w:cs="Josefin Sans"/>
                    </w:rPr>
                  </w:pPr>
                  <w:r w:rsidRPr="00E65AD6">
                    <w:rPr>
                      <w:rFonts w:ascii="Josefin Sans" w:eastAsia="Josefin Sans" w:hAnsi="Josefin Sans" w:cs="Josefin Sans"/>
                    </w:rPr>
                    <w:t>Permitido</w:t>
                  </w:r>
                </w:p>
              </w:tc>
              <w:tc>
                <w:tcPr>
                  <w:tcW w:w="3162" w:type="dxa"/>
                  <w:tcBorders>
                    <w:top w:val="nil"/>
                    <w:left w:val="nil"/>
                    <w:bottom w:val="single" w:sz="4" w:space="0" w:color="000000"/>
                    <w:right w:val="single" w:sz="4" w:space="0" w:color="000000"/>
                  </w:tcBorders>
                  <w:shd w:val="clear" w:color="auto" w:fill="auto"/>
                  <w:vAlign w:val="center"/>
                </w:tcPr>
                <w:p w14:paraId="18C956CF"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Até 5%</w:t>
                  </w:r>
                </w:p>
              </w:tc>
            </w:tr>
            <w:tr w:rsidR="00AC4EFA" w:rsidRPr="00E65AD6" w14:paraId="18C956D4" w14:textId="77777777" w:rsidTr="00393665">
              <w:trPr>
                <w:trHeight w:val="283"/>
              </w:trPr>
              <w:tc>
                <w:tcPr>
                  <w:tcW w:w="4340" w:type="dxa"/>
                  <w:tcBorders>
                    <w:top w:val="nil"/>
                    <w:left w:val="single" w:sz="4" w:space="0" w:color="000000"/>
                    <w:bottom w:val="single" w:sz="4" w:space="0" w:color="000000"/>
                    <w:right w:val="single" w:sz="4" w:space="0" w:color="000000"/>
                  </w:tcBorders>
                  <w:shd w:val="clear" w:color="auto" w:fill="auto"/>
                  <w:vAlign w:val="center"/>
                </w:tcPr>
                <w:p w14:paraId="18C956D1"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color w:val="000000"/>
                    </w:rPr>
                    <w:t xml:space="preserve">Classes de Fundos de investimento </w:t>
                  </w:r>
                </w:p>
              </w:tc>
              <w:tc>
                <w:tcPr>
                  <w:tcW w:w="2314" w:type="dxa"/>
                  <w:tcBorders>
                    <w:top w:val="nil"/>
                    <w:left w:val="nil"/>
                    <w:bottom w:val="single" w:sz="4" w:space="0" w:color="000000"/>
                    <w:right w:val="single" w:sz="4" w:space="0" w:color="000000"/>
                  </w:tcBorders>
                  <w:shd w:val="clear" w:color="auto" w:fill="auto"/>
                  <w:vAlign w:val="center"/>
                </w:tcPr>
                <w:p w14:paraId="18C956D2" w14:textId="77777777" w:rsidR="00AC4EFA" w:rsidRPr="00E65AD6" w:rsidRDefault="006900B4">
                  <w:pPr>
                    <w:spacing w:after="0" w:line="240" w:lineRule="auto"/>
                    <w:jc w:val="center"/>
                    <w:rPr>
                      <w:rFonts w:ascii="Josefin Sans" w:eastAsia="Josefin Sans" w:hAnsi="Josefin Sans" w:cs="Josefin Sans"/>
                    </w:rPr>
                  </w:pPr>
                  <w:r w:rsidRPr="00E65AD6">
                    <w:rPr>
                      <w:rFonts w:ascii="Josefin Sans" w:eastAsia="Josefin Sans" w:hAnsi="Josefin Sans" w:cs="Josefin Sans"/>
                      <w:color w:val="000000"/>
                    </w:rPr>
                    <w:t>Permitido</w:t>
                  </w:r>
                </w:p>
              </w:tc>
              <w:tc>
                <w:tcPr>
                  <w:tcW w:w="3162" w:type="dxa"/>
                  <w:tcBorders>
                    <w:top w:val="nil"/>
                    <w:left w:val="nil"/>
                    <w:bottom w:val="single" w:sz="4" w:space="0" w:color="000000"/>
                    <w:right w:val="single" w:sz="4" w:space="0" w:color="000000"/>
                  </w:tcBorders>
                  <w:shd w:val="clear" w:color="auto" w:fill="auto"/>
                  <w:vAlign w:val="center"/>
                </w:tcPr>
                <w:p w14:paraId="18C956D3"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color w:val="000000"/>
                    </w:rPr>
                    <w:t>Até 100%</w:t>
                  </w:r>
                </w:p>
              </w:tc>
            </w:tr>
            <w:tr w:rsidR="00AC4EFA" w:rsidRPr="00E65AD6" w14:paraId="18C956D8" w14:textId="77777777" w:rsidTr="00393665">
              <w:trPr>
                <w:trHeight w:val="283"/>
              </w:trPr>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56D5"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União Federal</w:t>
                  </w:r>
                </w:p>
              </w:tc>
              <w:tc>
                <w:tcPr>
                  <w:tcW w:w="2314" w:type="dxa"/>
                  <w:tcBorders>
                    <w:top w:val="single" w:sz="4" w:space="0" w:color="000000"/>
                    <w:left w:val="nil"/>
                    <w:bottom w:val="single" w:sz="4" w:space="0" w:color="000000"/>
                    <w:right w:val="single" w:sz="4" w:space="0" w:color="000000"/>
                  </w:tcBorders>
                  <w:shd w:val="clear" w:color="auto" w:fill="auto"/>
                  <w:vAlign w:val="center"/>
                </w:tcPr>
                <w:p w14:paraId="18C956D6" w14:textId="77777777" w:rsidR="00AC4EFA" w:rsidRPr="00E65AD6" w:rsidRDefault="006900B4">
                  <w:pPr>
                    <w:spacing w:after="0" w:line="240" w:lineRule="auto"/>
                    <w:jc w:val="center"/>
                    <w:rPr>
                      <w:rFonts w:ascii="Josefin Sans" w:eastAsia="Josefin Sans" w:hAnsi="Josefin Sans" w:cs="Josefin Sans"/>
                    </w:rPr>
                  </w:pPr>
                  <w:r w:rsidRPr="00E65AD6">
                    <w:rPr>
                      <w:rFonts w:ascii="Josefin Sans" w:eastAsia="Josefin Sans" w:hAnsi="Josefin Sans" w:cs="Josefin Sans"/>
                    </w:rPr>
                    <w:t>Permitido</w:t>
                  </w:r>
                </w:p>
              </w:tc>
              <w:tc>
                <w:tcPr>
                  <w:tcW w:w="3162" w:type="dxa"/>
                  <w:tcBorders>
                    <w:top w:val="single" w:sz="4" w:space="0" w:color="000000"/>
                    <w:left w:val="nil"/>
                    <w:bottom w:val="single" w:sz="4" w:space="0" w:color="000000"/>
                    <w:right w:val="single" w:sz="4" w:space="0" w:color="000000"/>
                  </w:tcBorders>
                  <w:shd w:val="clear" w:color="auto" w:fill="auto"/>
                  <w:vAlign w:val="center"/>
                </w:tcPr>
                <w:p w14:paraId="18C956D7"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Até 100%</w:t>
                  </w:r>
                </w:p>
              </w:tc>
            </w:tr>
            <w:tr w:rsidR="00AC4EFA" w:rsidRPr="00E65AD6" w14:paraId="18C956DA" w14:textId="77777777" w:rsidTr="00393665">
              <w:trPr>
                <w:trHeight w:val="283"/>
              </w:trPr>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C956D9" w14:textId="77777777" w:rsidR="00AC4EFA" w:rsidRPr="00E65AD6" w:rsidRDefault="006900B4">
                  <w:pPr>
                    <w:spacing w:after="0" w:line="240" w:lineRule="auto"/>
                    <w:jc w:val="both"/>
                    <w:rPr>
                      <w:rFonts w:ascii="Josefin Sans" w:eastAsia="Josefin Sans" w:hAnsi="Josefin Sans" w:cs="Josefin Sans"/>
                      <w:b/>
                    </w:rPr>
                  </w:pPr>
                  <w:r w:rsidRPr="00E65AD6">
                    <w:rPr>
                      <w:rFonts w:ascii="Josefin Sans" w:eastAsia="Josefin Sans" w:hAnsi="Josefin Sans" w:cs="Josefin Sans"/>
                      <w:b/>
                      <w:color w:val="000000"/>
                    </w:rPr>
                    <w:lastRenderedPageBreak/>
                    <w:t>Os limites por emissor acima não se aplicam aos emissores dos ativos financeiros de renda variável, podendo o investimento da classe do Fundo em ativos financeiros de tais emissores estar exposto, direta ou indiretamente, a significativa concentração, com os riscos daí decorrentes.</w:t>
                  </w:r>
                </w:p>
              </w:tc>
            </w:tr>
            <w:tr w:rsidR="00AC4EFA" w:rsidRPr="00E65AD6" w14:paraId="18C956DC" w14:textId="77777777" w:rsidTr="00393665">
              <w:trPr>
                <w:trHeight w:val="122"/>
              </w:trPr>
              <w:tc>
                <w:tcPr>
                  <w:tcW w:w="9816" w:type="dxa"/>
                  <w:gridSpan w:val="3"/>
                  <w:tcBorders>
                    <w:top w:val="single" w:sz="4" w:space="0" w:color="000000"/>
                    <w:left w:val="nil"/>
                    <w:right w:val="nil"/>
                  </w:tcBorders>
                  <w:shd w:val="clear" w:color="auto" w:fill="auto"/>
                  <w:vAlign w:val="bottom"/>
                </w:tcPr>
                <w:p w14:paraId="18C956DB" w14:textId="77777777" w:rsidR="00AC4EFA" w:rsidRPr="00E65AD6" w:rsidRDefault="00AC4EFA">
                  <w:pPr>
                    <w:spacing w:after="0" w:line="240" w:lineRule="auto"/>
                    <w:jc w:val="both"/>
                    <w:rPr>
                      <w:rFonts w:ascii="Josefin Sans" w:eastAsia="Josefin Sans" w:hAnsi="Josefin Sans" w:cs="Josefin Sans"/>
                      <w:b/>
                    </w:rPr>
                  </w:pPr>
                </w:p>
              </w:tc>
            </w:tr>
            <w:tr w:rsidR="00AC4EFA" w:rsidRPr="00E65AD6" w14:paraId="18C956E1" w14:textId="77777777" w:rsidTr="00393665">
              <w:trPr>
                <w:trHeight w:val="283"/>
              </w:trPr>
              <w:tc>
                <w:tcPr>
                  <w:tcW w:w="434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6DD"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CRÉDITO PRIVADO</w:t>
                  </w:r>
                </w:p>
              </w:tc>
              <w:tc>
                <w:tcPr>
                  <w:tcW w:w="231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6DE"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Permitido / Vedado</w:t>
                  </w:r>
                </w:p>
              </w:tc>
              <w:tc>
                <w:tcPr>
                  <w:tcW w:w="316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6DF"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Limite aplicável</w:t>
                  </w:r>
                </w:p>
                <w:p w14:paraId="18C956E0"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 do PL</w:t>
                  </w:r>
                </w:p>
              </w:tc>
            </w:tr>
            <w:tr w:rsidR="00AC4EFA" w:rsidRPr="00E65AD6" w14:paraId="18C956E5" w14:textId="77777777" w:rsidTr="00393665">
              <w:trPr>
                <w:trHeight w:val="283"/>
              </w:trPr>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56E2"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color w:val="000000"/>
                    </w:rPr>
                    <w:t>Ativos de crédito privado e/ou títulos públicos que não da União, considerando-se a consolidação dos investimentos da Classe e das classes investidas</w:t>
                  </w:r>
                </w:p>
              </w:tc>
              <w:tc>
                <w:tcPr>
                  <w:tcW w:w="2314" w:type="dxa"/>
                  <w:tcBorders>
                    <w:top w:val="single" w:sz="4" w:space="0" w:color="000000"/>
                    <w:left w:val="nil"/>
                    <w:bottom w:val="single" w:sz="4" w:space="0" w:color="000000"/>
                    <w:right w:val="single" w:sz="4" w:space="0" w:color="000000"/>
                  </w:tcBorders>
                  <w:shd w:val="clear" w:color="auto" w:fill="auto"/>
                  <w:vAlign w:val="center"/>
                </w:tcPr>
                <w:p w14:paraId="18C956E3" w14:textId="77777777" w:rsidR="00AC4EFA" w:rsidRPr="00E65AD6" w:rsidRDefault="006900B4">
                  <w:pPr>
                    <w:spacing w:after="0" w:line="240" w:lineRule="auto"/>
                    <w:jc w:val="center"/>
                    <w:rPr>
                      <w:rFonts w:ascii="Josefin Sans" w:eastAsia="Josefin Sans" w:hAnsi="Josefin Sans" w:cs="Josefin Sans"/>
                    </w:rPr>
                  </w:pPr>
                  <w:r w:rsidRPr="00E65AD6">
                    <w:rPr>
                      <w:rFonts w:ascii="Josefin Sans" w:eastAsia="Josefin Sans" w:hAnsi="Josefin Sans" w:cs="Josefin Sans"/>
                    </w:rPr>
                    <w:t>Permitido</w:t>
                  </w:r>
                </w:p>
              </w:tc>
              <w:tc>
                <w:tcPr>
                  <w:tcW w:w="3162" w:type="dxa"/>
                  <w:tcBorders>
                    <w:top w:val="single" w:sz="4" w:space="0" w:color="000000"/>
                    <w:left w:val="nil"/>
                    <w:bottom w:val="single" w:sz="4" w:space="0" w:color="000000"/>
                    <w:right w:val="single" w:sz="4" w:space="0" w:color="000000"/>
                  </w:tcBorders>
                  <w:shd w:val="clear" w:color="auto" w:fill="auto"/>
                  <w:vAlign w:val="center"/>
                </w:tcPr>
                <w:p w14:paraId="18C956E4"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Até 50%</w:t>
                  </w:r>
                </w:p>
              </w:tc>
            </w:tr>
            <w:tr w:rsidR="00AC4EFA" w:rsidRPr="00E65AD6" w14:paraId="18C956E7" w14:textId="77777777" w:rsidTr="00393665">
              <w:trPr>
                <w:trHeight w:val="283"/>
              </w:trPr>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C956E6" w14:textId="77777777" w:rsidR="00AC4EFA" w:rsidRPr="00E65AD6" w:rsidRDefault="006900B4">
                  <w:pPr>
                    <w:spacing w:after="0" w:line="240" w:lineRule="auto"/>
                    <w:jc w:val="both"/>
                    <w:rPr>
                      <w:rFonts w:ascii="Josefin Sans" w:eastAsia="Josefin Sans" w:hAnsi="Josefin Sans" w:cs="Josefin Sans"/>
                      <w:b/>
                    </w:rPr>
                  </w:pPr>
                  <w:r w:rsidRPr="00E65AD6">
                    <w:rPr>
                      <w:rFonts w:ascii="Josefin Sans" w:eastAsia="Josefin Sans" w:hAnsi="Josefin Sans" w:cs="Josefin Sans"/>
                      <w:b/>
                      <w:color w:val="000000"/>
                    </w:rPr>
                    <w:t>O limite de crédito privado estabelecido neste quadro prevalece sobre os limites do quadro Limites por Ativo com relação aos ativos de crédito privado</w:t>
                  </w:r>
                  <w:r w:rsidRPr="00E65AD6">
                    <w:rPr>
                      <w:rFonts w:ascii="Josefin Sans" w:eastAsia="Josefin Sans" w:hAnsi="Josefin Sans" w:cs="Josefin Sans"/>
                    </w:rPr>
                    <w:t xml:space="preserve"> </w:t>
                  </w:r>
                  <w:r w:rsidRPr="00E65AD6">
                    <w:rPr>
                      <w:rFonts w:ascii="Josefin Sans" w:eastAsia="Josefin Sans" w:hAnsi="Josefin Sans" w:cs="Josefin Sans"/>
                      <w:b/>
                      <w:color w:val="000000"/>
                    </w:rPr>
                    <w:t>quando os limites indicados no referido quadro forem maiores do que o limite aqui previsto.</w:t>
                  </w:r>
                </w:p>
              </w:tc>
            </w:tr>
          </w:tbl>
          <w:p w14:paraId="18C956E8" w14:textId="77777777" w:rsidR="00AC4EFA" w:rsidRPr="00E65AD6" w:rsidRDefault="00AC4EFA">
            <w:pPr>
              <w:rPr>
                <w:rFonts w:ascii="Josefin Sans" w:hAnsi="Josefin Sans"/>
                <w:sz w:val="22"/>
                <w:szCs w:val="22"/>
              </w:rPr>
            </w:pPr>
          </w:p>
          <w:tbl>
            <w:tblPr>
              <w:tblStyle w:val="aa"/>
              <w:tblW w:w="9816" w:type="dxa"/>
              <w:tblInd w:w="0" w:type="dxa"/>
              <w:tblLayout w:type="fixed"/>
              <w:tblLook w:val="0400" w:firstRow="0" w:lastRow="0" w:firstColumn="0" w:lastColumn="0" w:noHBand="0" w:noVBand="1"/>
            </w:tblPr>
            <w:tblGrid>
              <w:gridCol w:w="4340"/>
              <w:gridCol w:w="2314"/>
              <w:gridCol w:w="3162"/>
            </w:tblGrid>
            <w:tr w:rsidR="00AC4EFA" w:rsidRPr="00E65AD6" w14:paraId="18C956ED" w14:textId="77777777" w:rsidTr="00393665">
              <w:trPr>
                <w:trHeight w:val="283"/>
              </w:trPr>
              <w:tc>
                <w:tcPr>
                  <w:tcW w:w="434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6E9"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color w:val="000000"/>
                    </w:rPr>
                    <w:t>DERIVATIVOS (</w:t>
                  </w:r>
                  <w:r w:rsidRPr="00E65AD6">
                    <w:rPr>
                      <w:rFonts w:ascii="Josefin Sans" w:eastAsia="Josefin Sans" w:hAnsi="Josefin Sans" w:cs="Josefin Sans"/>
                      <w:b/>
                    </w:rPr>
                    <w:t xml:space="preserve">Exposição </w:t>
                  </w:r>
                  <w:proofErr w:type="spellStart"/>
                  <w:r w:rsidRPr="00E65AD6">
                    <w:rPr>
                      <w:rFonts w:ascii="Josefin Sans" w:eastAsia="Josefin Sans" w:hAnsi="Josefin Sans" w:cs="Josefin Sans"/>
                      <w:b/>
                    </w:rPr>
                    <w:t>a</w:t>
                  </w:r>
                  <w:proofErr w:type="spellEnd"/>
                  <w:r w:rsidRPr="00E65AD6">
                    <w:rPr>
                      <w:rFonts w:ascii="Josefin Sans" w:eastAsia="Josefin Sans" w:hAnsi="Josefin Sans" w:cs="Josefin Sans"/>
                      <w:b/>
                    </w:rPr>
                    <w:t xml:space="preserve"> Risco de Capital)</w:t>
                  </w:r>
                </w:p>
              </w:tc>
              <w:tc>
                <w:tcPr>
                  <w:tcW w:w="231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6EA"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Permitido / Vedado</w:t>
                  </w:r>
                </w:p>
              </w:tc>
              <w:tc>
                <w:tcPr>
                  <w:tcW w:w="316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6EB"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Limite aplicável</w:t>
                  </w:r>
                </w:p>
                <w:p w14:paraId="18C956EC"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 do PL)</w:t>
                  </w:r>
                </w:p>
              </w:tc>
            </w:tr>
            <w:tr w:rsidR="00AC4EFA" w:rsidRPr="00E65AD6" w14:paraId="18C956F1" w14:textId="77777777" w:rsidTr="00393665">
              <w:trPr>
                <w:trHeight w:val="283"/>
              </w:trPr>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56EE" w14:textId="77777777" w:rsidR="00AC4EFA" w:rsidRPr="00E65AD6" w:rsidRDefault="006900B4">
                  <w:pPr>
                    <w:spacing w:after="0" w:line="240" w:lineRule="auto"/>
                    <w:rPr>
                      <w:rFonts w:ascii="Josefin Sans" w:eastAsia="Josefin Sans" w:hAnsi="Josefin Sans" w:cs="Josefin Sans"/>
                    </w:rPr>
                  </w:pPr>
                  <w:r w:rsidRPr="00E65AD6">
                    <w:rPr>
                      <w:rFonts w:ascii="Josefin Sans" w:eastAsia="Josefin Sans" w:hAnsi="Josefin Sans" w:cs="Josefin Sans"/>
                    </w:rPr>
                    <w:t>Proteção da carteira (</w:t>
                  </w:r>
                  <w:r w:rsidRPr="00E65AD6">
                    <w:rPr>
                      <w:rFonts w:ascii="Josefin Sans" w:eastAsia="Josefin Sans" w:hAnsi="Josefin Sans" w:cs="Josefin Sans"/>
                      <w:i/>
                    </w:rPr>
                    <w:t>hedge</w:t>
                  </w:r>
                  <w:r w:rsidRPr="00E65AD6">
                    <w:rPr>
                      <w:rFonts w:ascii="Josefin Sans" w:eastAsia="Josefin Sans" w:hAnsi="Josefin Sans" w:cs="Josefin Sans"/>
                    </w:rPr>
                    <w:t>)</w:t>
                  </w:r>
                </w:p>
              </w:tc>
              <w:tc>
                <w:tcPr>
                  <w:tcW w:w="2314" w:type="dxa"/>
                  <w:tcBorders>
                    <w:top w:val="single" w:sz="4" w:space="0" w:color="000000"/>
                    <w:left w:val="nil"/>
                    <w:bottom w:val="single" w:sz="4" w:space="0" w:color="000000"/>
                    <w:right w:val="single" w:sz="4" w:space="0" w:color="000000"/>
                  </w:tcBorders>
                  <w:shd w:val="clear" w:color="auto" w:fill="auto"/>
                  <w:vAlign w:val="center"/>
                </w:tcPr>
                <w:p w14:paraId="18C956EF" w14:textId="77777777" w:rsidR="00AC4EFA" w:rsidRPr="00E65AD6" w:rsidRDefault="006900B4">
                  <w:pPr>
                    <w:spacing w:after="0" w:line="240" w:lineRule="auto"/>
                    <w:jc w:val="center"/>
                    <w:rPr>
                      <w:rFonts w:ascii="Josefin Sans" w:eastAsia="Josefin Sans" w:hAnsi="Josefin Sans" w:cs="Josefin Sans"/>
                    </w:rPr>
                  </w:pPr>
                  <w:r w:rsidRPr="00E65AD6">
                    <w:rPr>
                      <w:rFonts w:ascii="Josefin Sans" w:eastAsia="Josefin Sans" w:hAnsi="Josefin Sans" w:cs="Josefin Sans"/>
                    </w:rPr>
                    <w:t>Permitido</w:t>
                  </w:r>
                </w:p>
              </w:tc>
              <w:tc>
                <w:tcPr>
                  <w:tcW w:w="3162" w:type="dxa"/>
                  <w:tcBorders>
                    <w:top w:val="single" w:sz="4" w:space="0" w:color="000000"/>
                    <w:left w:val="nil"/>
                    <w:bottom w:val="single" w:sz="4" w:space="0" w:color="000000"/>
                    <w:right w:val="single" w:sz="4" w:space="0" w:color="000000"/>
                  </w:tcBorders>
                  <w:shd w:val="clear" w:color="auto" w:fill="auto"/>
                  <w:vAlign w:val="center"/>
                </w:tcPr>
                <w:p w14:paraId="18C956F0"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Até 100%</w:t>
                  </w:r>
                </w:p>
              </w:tc>
            </w:tr>
            <w:tr w:rsidR="00AC4EFA" w:rsidRPr="00E65AD6" w14:paraId="18C956F5" w14:textId="77777777" w:rsidTr="00393665">
              <w:trPr>
                <w:trHeight w:val="283"/>
              </w:trPr>
              <w:tc>
                <w:tcPr>
                  <w:tcW w:w="4340" w:type="dxa"/>
                  <w:tcBorders>
                    <w:top w:val="nil"/>
                    <w:left w:val="single" w:sz="4" w:space="0" w:color="000000"/>
                    <w:bottom w:val="single" w:sz="4" w:space="0" w:color="000000"/>
                    <w:right w:val="single" w:sz="4" w:space="0" w:color="000000"/>
                  </w:tcBorders>
                  <w:shd w:val="clear" w:color="auto" w:fill="auto"/>
                  <w:vAlign w:val="center"/>
                </w:tcPr>
                <w:p w14:paraId="18C956F2" w14:textId="77777777" w:rsidR="00AC4EFA" w:rsidRPr="00E65AD6" w:rsidRDefault="006900B4">
                  <w:pPr>
                    <w:spacing w:after="0" w:line="240" w:lineRule="auto"/>
                    <w:rPr>
                      <w:rFonts w:ascii="Josefin Sans" w:eastAsia="Josefin Sans" w:hAnsi="Josefin Sans" w:cs="Josefin Sans"/>
                    </w:rPr>
                  </w:pPr>
                  <w:r w:rsidRPr="00E65AD6">
                    <w:rPr>
                      <w:rFonts w:ascii="Josefin Sans" w:eastAsia="Josefin Sans" w:hAnsi="Josefin Sans" w:cs="Josefin Sans"/>
                    </w:rPr>
                    <w:t>Assunção de risco</w:t>
                  </w:r>
                </w:p>
              </w:tc>
              <w:tc>
                <w:tcPr>
                  <w:tcW w:w="2314" w:type="dxa"/>
                  <w:tcBorders>
                    <w:top w:val="nil"/>
                    <w:left w:val="nil"/>
                    <w:bottom w:val="single" w:sz="4" w:space="0" w:color="000000"/>
                    <w:right w:val="single" w:sz="4" w:space="0" w:color="000000"/>
                  </w:tcBorders>
                  <w:shd w:val="clear" w:color="auto" w:fill="auto"/>
                  <w:vAlign w:val="center"/>
                </w:tcPr>
                <w:p w14:paraId="18C956F3" w14:textId="77777777" w:rsidR="00AC4EFA" w:rsidRPr="00E65AD6" w:rsidRDefault="006900B4">
                  <w:pPr>
                    <w:spacing w:after="0" w:line="240" w:lineRule="auto"/>
                    <w:jc w:val="center"/>
                    <w:rPr>
                      <w:rFonts w:ascii="Josefin Sans" w:eastAsia="Josefin Sans" w:hAnsi="Josefin Sans" w:cs="Josefin Sans"/>
                    </w:rPr>
                  </w:pPr>
                  <w:r w:rsidRPr="00E65AD6">
                    <w:rPr>
                      <w:rFonts w:ascii="Josefin Sans" w:eastAsia="Josefin Sans" w:hAnsi="Josefin Sans" w:cs="Josefin Sans"/>
                    </w:rPr>
                    <w:t>Permitido</w:t>
                  </w:r>
                </w:p>
              </w:tc>
              <w:tc>
                <w:tcPr>
                  <w:tcW w:w="3162" w:type="dxa"/>
                  <w:tcBorders>
                    <w:top w:val="nil"/>
                    <w:left w:val="nil"/>
                    <w:bottom w:val="single" w:sz="4" w:space="0" w:color="000000"/>
                    <w:right w:val="single" w:sz="4" w:space="0" w:color="000000"/>
                  </w:tcBorders>
                  <w:shd w:val="clear" w:color="auto" w:fill="auto"/>
                  <w:vAlign w:val="center"/>
                </w:tcPr>
                <w:p w14:paraId="18C956F4"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Até 100%</w:t>
                  </w:r>
                </w:p>
              </w:tc>
            </w:tr>
            <w:tr w:rsidR="00AC4EFA" w:rsidRPr="00E65AD6" w14:paraId="18C956F9" w14:textId="77777777" w:rsidTr="00393665">
              <w:trPr>
                <w:trHeight w:val="283"/>
              </w:trPr>
              <w:tc>
                <w:tcPr>
                  <w:tcW w:w="4340" w:type="dxa"/>
                  <w:tcBorders>
                    <w:top w:val="nil"/>
                    <w:left w:val="single" w:sz="4" w:space="0" w:color="000000"/>
                    <w:bottom w:val="single" w:sz="4" w:space="0" w:color="000000"/>
                    <w:right w:val="single" w:sz="4" w:space="0" w:color="000000"/>
                  </w:tcBorders>
                  <w:shd w:val="clear" w:color="auto" w:fill="auto"/>
                  <w:vAlign w:val="center"/>
                </w:tcPr>
                <w:p w14:paraId="18C956F6" w14:textId="77777777" w:rsidR="00AC4EFA" w:rsidRPr="00E65AD6" w:rsidRDefault="006900B4">
                  <w:pPr>
                    <w:spacing w:after="0" w:line="240" w:lineRule="auto"/>
                    <w:rPr>
                      <w:rFonts w:ascii="Josefin Sans" w:eastAsia="Josefin Sans" w:hAnsi="Josefin Sans" w:cs="Josefin Sans"/>
                    </w:rPr>
                  </w:pPr>
                  <w:r w:rsidRPr="00E65AD6">
                    <w:rPr>
                      <w:rFonts w:ascii="Josefin Sans" w:eastAsia="Josefin Sans" w:hAnsi="Josefin Sans" w:cs="Josefin Sans"/>
                    </w:rPr>
                    <w:t>Alavancagem</w:t>
                  </w:r>
                </w:p>
              </w:tc>
              <w:tc>
                <w:tcPr>
                  <w:tcW w:w="2314" w:type="dxa"/>
                  <w:tcBorders>
                    <w:top w:val="nil"/>
                    <w:left w:val="nil"/>
                    <w:bottom w:val="single" w:sz="4" w:space="0" w:color="000000"/>
                    <w:right w:val="single" w:sz="4" w:space="0" w:color="000000"/>
                  </w:tcBorders>
                  <w:shd w:val="clear" w:color="auto" w:fill="auto"/>
                  <w:vAlign w:val="center"/>
                </w:tcPr>
                <w:p w14:paraId="18C956F7" w14:textId="77777777" w:rsidR="00AC4EFA" w:rsidRPr="00E65AD6" w:rsidRDefault="006900B4">
                  <w:pPr>
                    <w:spacing w:after="0" w:line="240" w:lineRule="auto"/>
                    <w:jc w:val="center"/>
                    <w:rPr>
                      <w:rFonts w:ascii="Josefin Sans" w:eastAsia="Josefin Sans" w:hAnsi="Josefin Sans" w:cs="Josefin Sans"/>
                    </w:rPr>
                  </w:pPr>
                  <w:r w:rsidRPr="00E65AD6">
                    <w:rPr>
                      <w:rFonts w:ascii="Josefin Sans" w:eastAsia="Josefin Sans" w:hAnsi="Josefin Sans" w:cs="Josefin Sans"/>
                    </w:rPr>
                    <w:t xml:space="preserve">Permitido </w:t>
                  </w:r>
                </w:p>
              </w:tc>
              <w:tc>
                <w:tcPr>
                  <w:tcW w:w="3162" w:type="dxa"/>
                  <w:tcBorders>
                    <w:top w:val="nil"/>
                    <w:left w:val="nil"/>
                    <w:bottom w:val="single" w:sz="4" w:space="0" w:color="000000"/>
                    <w:right w:val="single" w:sz="4" w:space="0" w:color="000000"/>
                  </w:tcBorders>
                  <w:shd w:val="clear" w:color="auto" w:fill="auto"/>
                  <w:vAlign w:val="center"/>
                </w:tcPr>
                <w:p w14:paraId="18C956F8"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Sem Limite</w:t>
                  </w:r>
                </w:p>
              </w:tc>
            </w:tr>
            <w:tr w:rsidR="00AC4EFA" w:rsidRPr="00E65AD6" w14:paraId="18C956FC" w14:textId="77777777" w:rsidTr="00393665">
              <w:trPr>
                <w:trHeight w:val="283"/>
              </w:trPr>
              <w:tc>
                <w:tcPr>
                  <w:tcW w:w="4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56FA" w14:textId="77777777" w:rsidR="00AC4EFA" w:rsidRPr="00E65AD6" w:rsidRDefault="006900B4">
                  <w:pPr>
                    <w:spacing w:after="0" w:line="240" w:lineRule="auto"/>
                    <w:rPr>
                      <w:rFonts w:ascii="Josefin Sans" w:eastAsia="Josefin Sans" w:hAnsi="Josefin Sans" w:cs="Josefin Sans"/>
                    </w:rPr>
                  </w:pPr>
                  <w:r w:rsidRPr="00E65AD6">
                    <w:rPr>
                      <w:rFonts w:ascii="Josefin Sans" w:eastAsia="Josefin Sans" w:hAnsi="Josefin Sans" w:cs="Josefin Sans"/>
                    </w:rPr>
                    <w:t xml:space="preserve">Permite exposição </w:t>
                  </w:r>
                  <w:proofErr w:type="spellStart"/>
                  <w:r w:rsidRPr="00E65AD6">
                    <w:rPr>
                      <w:rFonts w:ascii="Josefin Sans" w:eastAsia="Josefin Sans" w:hAnsi="Josefin Sans" w:cs="Josefin Sans"/>
                    </w:rPr>
                    <w:t>a</w:t>
                  </w:r>
                  <w:proofErr w:type="spellEnd"/>
                  <w:r w:rsidRPr="00E65AD6">
                    <w:rPr>
                      <w:rFonts w:ascii="Josefin Sans" w:eastAsia="Josefin Sans" w:hAnsi="Josefin Sans" w:cs="Josefin Sans"/>
                    </w:rPr>
                    <w:t xml:space="preserve"> risco de capital</w:t>
                  </w:r>
                </w:p>
              </w:tc>
              <w:tc>
                <w:tcPr>
                  <w:tcW w:w="5476" w:type="dxa"/>
                  <w:gridSpan w:val="2"/>
                  <w:tcBorders>
                    <w:top w:val="single" w:sz="4" w:space="0" w:color="000000"/>
                    <w:left w:val="nil"/>
                    <w:bottom w:val="single" w:sz="4" w:space="0" w:color="000000"/>
                    <w:right w:val="single" w:sz="4" w:space="0" w:color="000000"/>
                  </w:tcBorders>
                  <w:shd w:val="clear" w:color="auto" w:fill="auto"/>
                  <w:vAlign w:val="center"/>
                </w:tcPr>
                <w:p w14:paraId="18C956FB"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Permitido</w:t>
                  </w:r>
                </w:p>
              </w:tc>
            </w:tr>
            <w:tr w:rsidR="00AC4EFA" w:rsidRPr="00E65AD6" w14:paraId="18C956FE" w14:textId="77777777" w:rsidTr="00393665">
              <w:trPr>
                <w:trHeight w:val="283"/>
              </w:trPr>
              <w:tc>
                <w:tcPr>
                  <w:tcW w:w="9816" w:type="dxa"/>
                  <w:gridSpan w:val="3"/>
                  <w:tcBorders>
                    <w:top w:val="single" w:sz="4" w:space="0" w:color="000000"/>
                  </w:tcBorders>
                  <w:shd w:val="clear" w:color="auto" w:fill="auto"/>
                </w:tcPr>
                <w:p w14:paraId="18C956FD" w14:textId="77777777" w:rsidR="00AC4EFA" w:rsidRPr="00E65AD6" w:rsidRDefault="00AC4EFA">
                  <w:pPr>
                    <w:spacing w:after="0" w:line="240" w:lineRule="auto"/>
                    <w:jc w:val="both"/>
                    <w:rPr>
                      <w:rFonts w:ascii="Josefin Sans" w:eastAsia="Josefin Sans" w:hAnsi="Josefin Sans" w:cs="Josefin Sans"/>
                      <w:b/>
                    </w:rPr>
                  </w:pPr>
                </w:p>
              </w:tc>
            </w:tr>
            <w:tr w:rsidR="00AC4EFA" w:rsidRPr="00E65AD6" w14:paraId="18C95703" w14:textId="77777777" w:rsidTr="00393665">
              <w:trPr>
                <w:trHeight w:val="283"/>
              </w:trPr>
              <w:tc>
                <w:tcPr>
                  <w:tcW w:w="434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6FF"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INVESTIMENTO NO EXTERIOR</w:t>
                  </w:r>
                </w:p>
              </w:tc>
              <w:tc>
                <w:tcPr>
                  <w:tcW w:w="231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700"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Permitido / Vedado</w:t>
                  </w:r>
                </w:p>
              </w:tc>
              <w:tc>
                <w:tcPr>
                  <w:tcW w:w="3162" w:type="dxa"/>
                  <w:tcBorders>
                    <w:top w:val="single" w:sz="4" w:space="0" w:color="000000"/>
                    <w:left w:val="single" w:sz="4" w:space="0" w:color="000000"/>
                    <w:bottom w:val="single" w:sz="4" w:space="0" w:color="000000"/>
                    <w:right w:val="single" w:sz="4" w:space="0" w:color="000000"/>
                  </w:tcBorders>
                  <w:shd w:val="clear" w:color="auto" w:fill="E6E6E6"/>
                  <w:vAlign w:val="bottom"/>
                </w:tcPr>
                <w:p w14:paraId="18C95701"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Limite aplicável</w:t>
                  </w:r>
                </w:p>
                <w:p w14:paraId="18C95702"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 do PL)</w:t>
                  </w:r>
                </w:p>
              </w:tc>
            </w:tr>
            <w:tr w:rsidR="00AC4EFA" w:rsidRPr="00E65AD6" w14:paraId="18C95707" w14:textId="77777777" w:rsidTr="00393665">
              <w:trPr>
                <w:trHeight w:val="283"/>
              </w:trPr>
              <w:tc>
                <w:tcPr>
                  <w:tcW w:w="43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C95704"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rPr>
                    <w:t>Ativos financeiros negociados no exterior registrados em sistema de registro, objeto de escrituração de ativos, de custódia ou de depósito central, em todos os casos, por instituições devidamente autorizadas em seus países de origem e supervisionadas por supervisor local ou ter sua existência diligentemente verificada pelo Custodiante da Classe, conforme definido na regulamentação em vigor e cotas de fundos de investimento ou veículos de investimento no exterior (“Fundos no Exterior”), observado o disposto neste Regulamento</w:t>
                  </w:r>
                </w:p>
              </w:tc>
              <w:tc>
                <w:tcPr>
                  <w:tcW w:w="2314" w:type="dxa"/>
                  <w:tcBorders>
                    <w:top w:val="single" w:sz="4" w:space="0" w:color="000000"/>
                    <w:left w:val="nil"/>
                    <w:bottom w:val="single" w:sz="4" w:space="0" w:color="000000"/>
                    <w:right w:val="single" w:sz="4" w:space="0" w:color="000000"/>
                  </w:tcBorders>
                  <w:shd w:val="clear" w:color="auto" w:fill="auto"/>
                  <w:vAlign w:val="center"/>
                </w:tcPr>
                <w:p w14:paraId="18C95705" w14:textId="77777777" w:rsidR="00AC4EFA" w:rsidRPr="00E65AD6" w:rsidRDefault="006900B4">
                  <w:pPr>
                    <w:spacing w:after="0" w:line="240" w:lineRule="auto"/>
                    <w:jc w:val="center"/>
                    <w:rPr>
                      <w:rFonts w:ascii="Josefin Sans" w:eastAsia="Josefin Sans" w:hAnsi="Josefin Sans" w:cs="Josefin Sans"/>
                    </w:rPr>
                  </w:pPr>
                  <w:r w:rsidRPr="00E65AD6">
                    <w:rPr>
                      <w:rFonts w:ascii="Josefin Sans" w:eastAsia="Josefin Sans" w:hAnsi="Josefin Sans" w:cs="Josefin Sans"/>
                      <w:color w:val="000000"/>
                    </w:rPr>
                    <w:t>Permitido</w:t>
                  </w:r>
                </w:p>
              </w:tc>
              <w:tc>
                <w:tcPr>
                  <w:tcW w:w="3162" w:type="dxa"/>
                  <w:tcBorders>
                    <w:top w:val="single" w:sz="4" w:space="0" w:color="000000"/>
                    <w:left w:val="nil"/>
                    <w:bottom w:val="single" w:sz="4" w:space="0" w:color="000000"/>
                    <w:right w:val="single" w:sz="4" w:space="0" w:color="000000"/>
                  </w:tcBorders>
                  <w:shd w:val="clear" w:color="auto" w:fill="auto"/>
                  <w:vAlign w:val="center"/>
                </w:tcPr>
                <w:p w14:paraId="18C95706" w14:textId="77777777" w:rsidR="00AC4EFA" w:rsidRPr="00E65AD6" w:rsidRDefault="006900B4">
                  <w:pPr>
                    <w:spacing w:after="0" w:line="240" w:lineRule="auto"/>
                    <w:jc w:val="center"/>
                    <w:rPr>
                      <w:rFonts w:ascii="Josefin Sans" w:eastAsia="Josefin Sans" w:hAnsi="Josefin Sans" w:cs="Josefin Sans"/>
                      <w:b/>
                    </w:rPr>
                  </w:pPr>
                  <w:r w:rsidRPr="00E65AD6">
                    <w:rPr>
                      <w:rFonts w:ascii="Josefin Sans" w:eastAsia="Josefin Sans" w:hAnsi="Josefin Sans" w:cs="Josefin Sans"/>
                      <w:b/>
                    </w:rPr>
                    <w:t>Até 20%</w:t>
                  </w:r>
                </w:p>
              </w:tc>
            </w:tr>
            <w:tr w:rsidR="00AC4EFA" w:rsidRPr="00E65AD6" w14:paraId="18C95709" w14:textId="77777777" w:rsidTr="00393665">
              <w:trPr>
                <w:trHeight w:val="283"/>
              </w:trPr>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18C95708" w14:textId="77777777" w:rsidR="00AC4EFA" w:rsidRPr="00E65AD6" w:rsidRDefault="006900B4">
                  <w:pPr>
                    <w:spacing w:after="0" w:line="240" w:lineRule="auto"/>
                    <w:jc w:val="both"/>
                    <w:rPr>
                      <w:rFonts w:ascii="Josefin Sans" w:eastAsia="Josefin Sans" w:hAnsi="Josefin Sans" w:cs="Josefin Sans"/>
                      <w:b/>
                    </w:rPr>
                  </w:pPr>
                  <w:r w:rsidRPr="00E65AD6">
                    <w:rPr>
                      <w:rFonts w:ascii="Josefin Sans" w:eastAsia="Josefin Sans" w:hAnsi="Josefin Sans" w:cs="Josefin Sans"/>
                      <w:b/>
                      <w:color w:val="000000"/>
                    </w:rPr>
                    <w:t>As aplicações pela Classe e pelas classes investidas em ativos financeiros no exterior não são cumulativamente consideradas no cálculo dos correspondentes limites de concentração por emissor e por modalidade de ativo financeiro aplicáveis aos ativos domésticos.</w:t>
                  </w:r>
                </w:p>
              </w:tc>
            </w:tr>
            <w:tr w:rsidR="00AC4EFA" w:rsidRPr="00E65AD6" w14:paraId="18C9570B" w14:textId="77777777" w:rsidTr="00393665">
              <w:trPr>
                <w:trHeight w:val="283"/>
              </w:trPr>
              <w:tc>
                <w:tcPr>
                  <w:tcW w:w="9816" w:type="dxa"/>
                  <w:gridSpan w:val="3"/>
                  <w:tcBorders>
                    <w:top w:val="single" w:sz="4" w:space="0" w:color="000000"/>
                  </w:tcBorders>
                  <w:shd w:val="clear" w:color="auto" w:fill="auto"/>
                </w:tcPr>
                <w:p w14:paraId="18C9570A" w14:textId="77777777" w:rsidR="00AC4EFA" w:rsidRPr="00E65AD6" w:rsidRDefault="00AC4EFA">
                  <w:pPr>
                    <w:spacing w:after="0" w:line="240" w:lineRule="auto"/>
                    <w:jc w:val="both"/>
                    <w:rPr>
                      <w:rFonts w:ascii="Josefin Sans" w:eastAsia="Josefin Sans" w:hAnsi="Josefin Sans" w:cs="Josefin Sans"/>
                      <w:b/>
                    </w:rPr>
                  </w:pPr>
                </w:p>
              </w:tc>
            </w:tr>
          </w:tbl>
          <w:p w14:paraId="18C9570C" w14:textId="77777777" w:rsidR="00AC4EFA" w:rsidRPr="00E65AD6" w:rsidRDefault="00AC4EFA">
            <w:pPr>
              <w:jc w:val="center"/>
              <w:rPr>
                <w:rFonts w:ascii="Josefin Sans" w:eastAsia="Josefin Sans" w:hAnsi="Josefin Sans" w:cs="Josefin Sans"/>
                <w:sz w:val="22"/>
                <w:szCs w:val="22"/>
              </w:rPr>
            </w:pPr>
          </w:p>
          <w:p w14:paraId="18C9570D" w14:textId="77777777" w:rsidR="00AC4EFA" w:rsidRPr="00E65AD6" w:rsidRDefault="006900B4">
            <w:pPr>
              <w:ind w:right="176"/>
              <w:jc w:val="center"/>
              <w:rPr>
                <w:rFonts w:ascii="Josefin Sans" w:eastAsia="Josefin Sans" w:hAnsi="Josefin Sans" w:cs="Josefin Sans"/>
                <w:sz w:val="22"/>
                <w:szCs w:val="22"/>
              </w:rPr>
            </w:pPr>
            <w:r w:rsidRPr="00E65AD6">
              <w:rPr>
                <w:rFonts w:ascii="Josefin Sans" w:eastAsia="Josefin Sans" w:hAnsi="Josefin Sans" w:cs="Josefin Sans"/>
                <w:b/>
                <w:sz w:val="22"/>
                <w:szCs w:val="22"/>
              </w:rPr>
              <w:t>DAS OPERAÇÕES COM O GESTOR E LIGADAS PELA CLASSE E/OU PELAS CLASSES INVESTIDAS</w:t>
            </w:r>
          </w:p>
          <w:p w14:paraId="18C9570E" w14:textId="77777777" w:rsidR="00AC4EFA" w:rsidRPr="00E65AD6" w:rsidRDefault="00AC4EFA">
            <w:pPr>
              <w:jc w:val="both"/>
              <w:rPr>
                <w:rFonts w:ascii="Josefin Sans" w:eastAsia="Josefin Sans" w:hAnsi="Josefin Sans" w:cs="Josefin Sans"/>
                <w:sz w:val="22"/>
                <w:szCs w:val="22"/>
              </w:rPr>
            </w:pPr>
          </w:p>
          <w:tbl>
            <w:tblPr>
              <w:tblStyle w:val="ab"/>
              <w:tblW w:w="9751" w:type="dxa"/>
              <w:tblInd w:w="65" w:type="dxa"/>
              <w:tblLayout w:type="fixed"/>
              <w:tblLook w:val="0400" w:firstRow="0" w:lastRow="0" w:firstColumn="0" w:lastColumn="0" w:noHBand="0" w:noVBand="1"/>
            </w:tblPr>
            <w:tblGrid>
              <w:gridCol w:w="5635"/>
              <w:gridCol w:w="1985"/>
              <w:gridCol w:w="2131"/>
            </w:tblGrid>
            <w:tr w:rsidR="00AC4EFA" w:rsidRPr="00E65AD6" w14:paraId="18C95713" w14:textId="77777777" w:rsidTr="005A6FD7">
              <w:trPr>
                <w:trHeight w:val="283"/>
              </w:trPr>
              <w:tc>
                <w:tcPr>
                  <w:tcW w:w="563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70F"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 xml:space="preserve">OPERAÇÕES COM O GESTOR E LIGADAS </w:t>
                  </w:r>
                </w:p>
              </w:tc>
              <w:tc>
                <w:tcPr>
                  <w:tcW w:w="198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710"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Permitido / Vedado</w:t>
                  </w:r>
                </w:p>
              </w:tc>
              <w:tc>
                <w:tcPr>
                  <w:tcW w:w="213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C95711"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Limite aplicável</w:t>
                  </w:r>
                </w:p>
                <w:p w14:paraId="18C95712"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 do PL)</w:t>
                  </w:r>
                </w:p>
              </w:tc>
            </w:tr>
            <w:tr w:rsidR="00AC4EFA" w:rsidRPr="00E65AD6" w14:paraId="18C95717" w14:textId="77777777" w:rsidTr="005A6FD7">
              <w:trPr>
                <w:trHeight w:val="283"/>
              </w:trPr>
              <w:tc>
                <w:tcPr>
                  <w:tcW w:w="5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5714" w14:textId="77777777" w:rsidR="00AC4EFA" w:rsidRPr="00E65AD6" w:rsidRDefault="006900B4">
                  <w:pPr>
                    <w:spacing w:after="0" w:line="240" w:lineRule="auto"/>
                    <w:jc w:val="both"/>
                    <w:rPr>
                      <w:rFonts w:ascii="Josefin Sans" w:eastAsia="Josefin Sans" w:hAnsi="Josefin Sans" w:cs="Josefin Sans"/>
                    </w:rPr>
                  </w:pPr>
                  <w:r w:rsidRPr="00E65AD6">
                    <w:rPr>
                      <w:rFonts w:ascii="Josefin Sans" w:eastAsia="Josefin Sans" w:hAnsi="Josefin Sans" w:cs="Josefin Sans"/>
                      <w:color w:val="000000"/>
                    </w:rPr>
                    <w:t>Títulos ou valores mobiliários de emissão do Gestor ou de empresas a eles ligadas</w:t>
                  </w:r>
                  <w:r w:rsidRPr="00E65AD6">
                    <w:rPr>
                      <w:rFonts w:ascii="Josefin Sans" w:eastAsia="Josefin Sans" w:hAnsi="Josefin Sans" w:cs="Josefin Sans"/>
                    </w:rPr>
                    <w:t>, sendo vedada a aquisição de ações do Gestor,</w:t>
                  </w:r>
                  <w:r w:rsidRPr="00E65AD6">
                    <w:rPr>
                      <w:rFonts w:ascii="Josefin Sans" w:eastAsia="Josefin Sans" w:hAnsi="Josefin Sans" w:cs="Josefin Sans"/>
                      <w:color w:val="000000"/>
                    </w:rPr>
                    <w:t xml:space="preserve"> </w:t>
                  </w:r>
                  <w:r w:rsidRPr="00E65AD6">
                    <w:rPr>
                      <w:rFonts w:ascii="Josefin Sans" w:eastAsia="Josefin Sans" w:hAnsi="Josefin Sans" w:cs="Josefin Sans"/>
                    </w:rPr>
                    <w:t>exceto nas hipóteses em que a Classe do Fundo e/ou as Classe Investidas busquem reproduzir índice de mercado do qual estas ações façam parte, exclusivamente na proporção desta participação</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18C95715" w14:textId="77777777" w:rsidR="00AC4EFA" w:rsidRPr="00E65AD6" w:rsidRDefault="006900B4">
                  <w:pPr>
                    <w:spacing w:after="0" w:line="240" w:lineRule="auto"/>
                    <w:jc w:val="center"/>
                    <w:rPr>
                      <w:rFonts w:ascii="Josefin Sans" w:eastAsia="Josefin Sans" w:hAnsi="Josefin Sans" w:cs="Josefin Sans"/>
                      <w:color w:val="000000"/>
                      <w:highlight w:val="yellow"/>
                    </w:rPr>
                  </w:pPr>
                  <w:r w:rsidRPr="00E65AD6">
                    <w:rPr>
                      <w:rFonts w:ascii="Josefin Sans" w:eastAsia="Josefin Sans" w:hAnsi="Josefin Sans" w:cs="Josefin Sans"/>
                      <w:color w:val="000000"/>
                    </w:rPr>
                    <w:t>Permitido</w:t>
                  </w:r>
                </w:p>
              </w:tc>
              <w:tc>
                <w:tcPr>
                  <w:tcW w:w="2131" w:type="dxa"/>
                  <w:tcBorders>
                    <w:top w:val="single" w:sz="4" w:space="0" w:color="000000"/>
                    <w:left w:val="nil"/>
                    <w:bottom w:val="single" w:sz="4" w:space="0" w:color="000000"/>
                    <w:right w:val="single" w:sz="4" w:space="0" w:color="000000"/>
                  </w:tcBorders>
                  <w:shd w:val="clear" w:color="auto" w:fill="auto"/>
                  <w:vAlign w:val="center"/>
                </w:tcPr>
                <w:p w14:paraId="18C95716" w14:textId="77777777" w:rsidR="00AC4EFA" w:rsidRPr="00E65AD6" w:rsidRDefault="006900B4">
                  <w:pPr>
                    <w:spacing w:after="0" w:line="240" w:lineRule="auto"/>
                    <w:jc w:val="center"/>
                    <w:rPr>
                      <w:rFonts w:ascii="Josefin Sans" w:eastAsia="Josefin Sans" w:hAnsi="Josefin Sans" w:cs="Josefin Sans"/>
                      <w:b/>
                      <w:color w:val="000000"/>
                      <w:highlight w:val="yellow"/>
                    </w:rPr>
                  </w:pPr>
                  <w:r w:rsidRPr="00E65AD6">
                    <w:rPr>
                      <w:rFonts w:ascii="Josefin Sans" w:eastAsia="Josefin Sans" w:hAnsi="Josefin Sans" w:cs="Josefin Sans"/>
                      <w:b/>
                      <w:color w:val="000000"/>
                    </w:rPr>
                    <w:t>Até 20%</w:t>
                  </w:r>
                </w:p>
              </w:tc>
            </w:tr>
            <w:tr w:rsidR="00AC4EFA" w:rsidRPr="00E65AD6" w14:paraId="18C9571B" w14:textId="77777777" w:rsidTr="005A6FD7">
              <w:trPr>
                <w:trHeight w:val="283"/>
              </w:trPr>
              <w:tc>
                <w:tcPr>
                  <w:tcW w:w="5635" w:type="dxa"/>
                  <w:tcBorders>
                    <w:top w:val="nil"/>
                    <w:left w:val="single" w:sz="4" w:space="0" w:color="000000"/>
                    <w:bottom w:val="single" w:sz="4" w:space="0" w:color="000000"/>
                    <w:right w:val="single" w:sz="4" w:space="0" w:color="000000"/>
                  </w:tcBorders>
                  <w:shd w:val="clear" w:color="auto" w:fill="auto"/>
                  <w:vAlign w:val="center"/>
                </w:tcPr>
                <w:p w14:paraId="18C95718" w14:textId="77777777" w:rsidR="00AC4EFA" w:rsidRPr="00E65AD6" w:rsidRDefault="006900B4">
                  <w:pPr>
                    <w:spacing w:after="0" w:line="240" w:lineRule="auto"/>
                    <w:jc w:val="both"/>
                    <w:rPr>
                      <w:rFonts w:ascii="Josefin Sans" w:eastAsia="Josefin Sans" w:hAnsi="Josefin Sans" w:cs="Josefin Sans"/>
                      <w:color w:val="000000"/>
                    </w:rPr>
                  </w:pPr>
                  <w:r w:rsidRPr="00E65AD6">
                    <w:rPr>
                      <w:rFonts w:ascii="Josefin Sans" w:eastAsia="Josefin Sans" w:hAnsi="Josefin Sans" w:cs="Josefin Sans"/>
                      <w:color w:val="000000"/>
                    </w:rPr>
                    <w:t>Classe de fundos de investimento geridos pelo Gestor ou empresas a eles ligadas</w:t>
                  </w:r>
                </w:p>
              </w:tc>
              <w:tc>
                <w:tcPr>
                  <w:tcW w:w="1985" w:type="dxa"/>
                  <w:tcBorders>
                    <w:top w:val="nil"/>
                    <w:left w:val="nil"/>
                    <w:bottom w:val="single" w:sz="4" w:space="0" w:color="000000"/>
                    <w:right w:val="single" w:sz="4" w:space="0" w:color="000000"/>
                  </w:tcBorders>
                  <w:shd w:val="clear" w:color="auto" w:fill="auto"/>
                  <w:vAlign w:val="center"/>
                </w:tcPr>
                <w:p w14:paraId="18C95719" w14:textId="77777777" w:rsidR="00AC4EFA" w:rsidRPr="00E65AD6" w:rsidRDefault="006900B4">
                  <w:pPr>
                    <w:spacing w:after="0" w:line="24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Permitido</w:t>
                  </w:r>
                </w:p>
              </w:tc>
              <w:tc>
                <w:tcPr>
                  <w:tcW w:w="2131" w:type="dxa"/>
                  <w:tcBorders>
                    <w:top w:val="nil"/>
                    <w:left w:val="nil"/>
                    <w:bottom w:val="single" w:sz="4" w:space="0" w:color="000000"/>
                    <w:right w:val="single" w:sz="4" w:space="0" w:color="000000"/>
                  </w:tcBorders>
                  <w:shd w:val="clear" w:color="auto" w:fill="auto"/>
                  <w:vAlign w:val="center"/>
                </w:tcPr>
                <w:p w14:paraId="18C9571A" w14:textId="77777777" w:rsidR="00AC4EFA" w:rsidRPr="00E65AD6" w:rsidRDefault="006900B4">
                  <w:pPr>
                    <w:spacing w:after="0" w:line="24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Até 100%</w:t>
                  </w:r>
                </w:p>
              </w:tc>
            </w:tr>
            <w:tr w:rsidR="00AC4EFA" w:rsidRPr="00E65AD6" w14:paraId="18C9571F" w14:textId="77777777" w:rsidTr="005A6FD7">
              <w:trPr>
                <w:trHeight w:val="283"/>
              </w:trPr>
              <w:tc>
                <w:tcPr>
                  <w:tcW w:w="5635" w:type="dxa"/>
                  <w:tcBorders>
                    <w:top w:val="nil"/>
                    <w:left w:val="single" w:sz="4" w:space="0" w:color="000000"/>
                    <w:bottom w:val="single" w:sz="4" w:space="0" w:color="000000"/>
                    <w:right w:val="single" w:sz="4" w:space="0" w:color="000000"/>
                  </w:tcBorders>
                  <w:shd w:val="clear" w:color="auto" w:fill="auto"/>
                  <w:vAlign w:val="center"/>
                </w:tcPr>
                <w:p w14:paraId="18C9571C" w14:textId="77777777" w:rsidR="00AC4EFA" w:rsidRPr="00E65AD6" w:rsidRDefault="006900B4">
                  <w:pPr>
                    <w:spacing w:after="0" w:line="240" w:lineRule="auto"/>
                    <w:jc w:val="both"/>
                    <w:rPr>
                      <w:rFonts w:ascii="Josefin Sans" w:eastAsia="Josefin Sans" w:hAnsi="Josefin Sans" w:cs="Josefin Sans"/>
                      <w:color w:val="000000"/>
                    </w:rPr>
                  </w:pPr>
                  <w:r w:rsidRPr="00E65AD6">
                    <w:rPr>
                      <w:rFonts w:ascii="Josefin Sans" w:eastAsia="Josefin Sans" w:hAnsi="Josefin Sans" w:cs="Josefin Sans"/>
                      <w:color w:val="000000"/>
                    </w:rPr>
                    <w:t>Operações tendo como contraparte o Gestor e empresas a eles ligadas</w:t>
                  </w:r>
                </w:p>
              </w:tc>
              <w:tc>
                <w:tcPr>
                  <w:tcW w:w="1985" w:type="dxa"/>
                  <w:tcBorders>
                    <w:top w:val="nil"/>
                    <w:left w:val="nil"/>
                    <w:bottom w:val="single" w:sz="4" w:space="0" w:color="000000"/>
                    <w:right w:val="single" w:sz="4" w:space="0" w:color="000000"/>
                  </w:tcBorders>
                  <w:shd w:val="clear" w:color="auto" w:fill="auto"/>
                  <w:vAlign w:val="center"/>
                </w:tcPr>
                <w:p w14:paraId="18C9571D" w14:textId="77777777" w:rsidR="00AC4EFA" w:rsidRPr="00E65AD6" w:rsidRDefault="006900B4">
                  <w:pPr>
                    <w:spacing w:after="0" w:line="240" w:lineRule="auto"/>
                    <w:jc w:val="center"/>
                    <w:rPr>
                      <w:rFonts w:ascii="Josefin Sans" w:eastAsia="Josefin Sans" w:hAnsi="Josefin Sans" w:cs="Josefin Sans"/>
                      <w:color w:val="000000"/>
                      <w:highlight w:val="yellow"/>
                    </w:rPr>
                  </w:pPr>
                  <w:r w:rsidRPr="00E65AD6">
                    <w:rPr>
                      <w:rFonts w:ascii="Josefin Sans" w:eastAsia="Josefin Sans" w:hAnsi="Josefin Sans" w:cs="Josefin Sans"/>
                      <w:color w:val="000000"/>
                    </w:rPr>
                    <w:t>Permitido</w:t>
                  </w:r>
                </w:p>
              </w:tc>
              <w:tc>
                <w:tcPr>
                  <w:tcW w:w="2131" w:type="dxa"/>
                  <w:tcBorders>
                    <w:top w:val="nil"/>
                    <w:left w:val="nil"/>
                    <w:bottom w:val="single" w:sz="4" w:space="0" w:color="000000"/>
                    <w:right w:val="single" w:sz="4" w:space="0" w:color="000000"/>
                  </w:tcBorders>
                  <w:shd w:val="clear" w:color="auto" w:fill="auto"/>
                  <w:vAlign w:val="center"/>
                </w:tcPr>
                <w:p w14:paraId="18C9571E" w14:textId="77777777" w:rsidR="00AC4EFA" w:rsidRPr="00E65AD6" w:rsidRDefault="006900B4">
                  <w:pPr>
                    <w:spacing w:after="0" w:line="240" w:lineRule="auto"/>
                    <w:jc w:val="center"/>
                    <w:rPr>
                      <w:rFonts w:ascii="Josefin Sans" w:eastAsia="Josefin Sans" w:hAnsi="Josefin Sans" w:cs="Josefin Sans"/>
                      <w:b/>
                      <w:color w:val="000000"/>
                      <w:highlight w:val="yellow"/>
                    </w:rPr>
                  </w:pPr>
                  <w:r w:rsidRPr="00E65AD6">
                    <w:rPr>
                      <w:rFonts w:ascii="Josefin Sans" w:eastAsia="Josefin Sans" w:hAnsi="Josefin Sans" w:cs="Josefin Sans"/>
                      <w:b/>
                      <w:color w:val="000000"/>
                    </w:rPr>
                    <w:t>Até 100%</w:t>
                  </w:r>
                </w:p>
              </w:tc>
            </w:tr>
          </w:tbl>
          <w:p w14:paraId="18C95720" w14:textId="77777777" w:rsidR="00AC4EFA" w:rsidRPr="00E65AD6" w:rsidRDefault="00AC4EFA">
            <w:pPr>
              <w:jc w:val="both"/>
              <w:rPr>
                <w:rFonts w:ascii="Josefin Sans" w:eastAsia="Josefin Sans" w:hAnsi="Josefin Sans" w:cs="Josefin Sans"/>
                <w:sz w:val="22"/>
                <w:szCs w:val="22"/>
              </w:rPr>
            </w:pPr>
          </w:p>
          <w:p w14:paraId="18C95721" w14:textId="77777777" w:rsidR="00AC4EFA" w:rsidRPr="00E65AD6" w:rsidRDefault="006900B4">
            <w:pPr>
              <w:ind w:right="172"/>
              <w:jc w:val="both"/>
              <w:rPr>
                <w:rFonts w:ascii="Josefin Sans" w:eastAsia="Josefin Sans" w:hAnsi="Josefin Sans" w:cs="Josefin Sans"/>
                <w:sz w:val="22"/>
                <w:szCs w:val="22"/>
              </w:rPr>
            </w:pPr>
            <w:r w:rsidRPr="00E65AD6">
              <w:rPr>
                <w:rFonts w:ascii="Josefin Sans" w:eastAsia="Josefin Sans" w:hAnsi="Josefin Sans" w:cs="Josefin Sans"/>
                <w:sz w:val="22"/>
                <w:szCs w:val="22"/>
              </w:rPr>
              <w:t>3. Os limites indicados nos quadros acima serão considerados em conjunto e cumulativamente.</w:t>
            </w:r>
          </w:p>
          <w:p w14:paraId="18C95722" w14:textId="77777777" w:rsidR="00AC4EFA" w:rsidRPr="00E65AD6" w:rsidRDefault="00AC4EFA">
            <w:pPr>
              <w:ind w:right="172"/>
              <w:jc w:val="both"/>
              <w:rPr>
                <w:rFonts w:ascii="Josefin Sans" w:eastAsia="Josefin Sans" w:hAnsi="Josefin Sans" w:cs="Josefin Sans"/>
                <w:sz w:val="22"/>
                <w:szCs w:val="22"/>
                <w:highlight w:val="yellow"/>
              </w:rPr>
            </w:pPr>
          </w:p>
          <w:p w14:paraId="18C95723" w14:textId="77777777" w:rsidR="00AC4EFA" w:rsidRPr="00E65AD6" w:rsidRDefault="006900B4">
            <w:pPr>
              <w:ind w:right="172"/>
              <w:jc w:val="both"/>
              <w:rPr>
                <w:rFonts w:ascii="Josefin Sans" w:eastAsia="Josefin Sans" w:hAnsi="Josefin Sans" w:cs="Josefin Sans"/>
                <w:sz w:val="22"/>
                <w:szCs w:val="22"/>
              </w:rPr>
            </w:pPr>
            <w:r w:rsidRPr="00E65AD6">
              <w:rPr>
                <w:rFonts w:ascii="Josefin Sans" w:eastAsia="Josefin Sans" w:hAnsi="Josefin Sans" w:cs="Josefin Sans"/>
                <w:sz w:val="22"/>
                <w:szCs w:val="22"/>
              </w:rPr>
              <w:t>4. Observado o disposto nos quadros acima, cada Classe Investida observará os limites por emissor e por modalidade de ativo previstos na regulamentação aplicável.</w:t>
            </w:r>
          </w:p>
          <w:p w14:paraId="18C95724" w14:textId="77777777" w:rsidR="00AC4EFA" w:rsidRPr="00E65AD6" w:rsidRDefault="00AC4EFA">
            <w:pPr>
              <w:ind w:right="172"/>
              <w:jc w:val="both"/>
              <w:rPr>
                <w:rFonts w:ascii="Josefin Sans" w:eastAsia="Josefin Sans" w:hAnsi="Josefin Sans" w:cs="Josefin Sans"/>
                <w:sz w:val="22"/>
                <w:szCs w:val="22"/>
              </w:rPr>
            </w:pPr>
          </w:p>
          <w:p w14:paraId="18C95725" w14:textId="77777777" w:rsidR="00AC4EFA" w:rsidRPr="00E65AD6" w:rsidRDefault="006900B4">
            <w:pPr>
              <w:ind w:right="172"/>
              <w:jc w:val="both"/>
              <w:rPr>
                <w:rFonts w:ascii="Josefin Sans" w:eastAsia="Josefin Sans" w:hAnsi="Josefin Sans" w:cs="Josefin Sans"/>
                <w:sz w:val="22"/>
                <w:szCs w:val="22"/>
              </w:rPr>
            </w:pPr>
            <w:r w:rsidRPr="00E65AD6">
              <w:rPr>
                <w:rFonts w:ascii="Josefin Sans" w:eastAsia="Josefin Sans" w:hAnsi="Josefin Sans" w:cs="Josefin Sans"/>
                <w:sz w:val="22"/>
                <w:szCs w:val="22"/>
              </w:rPr>
              <w:t>5. A Classe não será obrigada a consolidar as aplicações em classes de cotas de fundos de índice negociados em mercados organizados e em classes investidas cujas carteiras sejam geridas por terceiros não ligados ao Gestor da Classe, exceto se referidas classes investidas forem destinadas a investidores profissionais.</w:t>
            </w:r>
          </w:p>
          <w:p w14:paraId="18C95726" w14:textId="77777777" w:rsidR="00AC4EFA" w:rsidRPr="00E65AD6" w:rsidRDefault="00AC4EFA">
            <w:pPr>
              <w:ind w:right="172"/>
              <w:jc w:val="both"/>
              <w:rPr>
                <w:rFonts w:ascii="Josefin Sans" w:eastAsia="Josefin Sans" w:hAnsi="Josefin Sans" w:cs="Josefin Sans"/>
                <w:sz w:val="22"/>
                <w:szCs w:val="22"/>
              </w:rPr>
            </w:pPr>
          </w:p>
          <w:p w14:paraId="18C95727" w14:textId="77777777" w:rsidR="00AC4EFA" w:rsidRPr="00E65AD6" w:rsidRDefault="006900B4">
            <w:pPr>
              <w:pBdr>
                <w:top w:val="nil"/>
                <w:left w:val="nil"/>
                <w:bottom w:val="nil"/>
                <w:right w:val="nil"/>
                <w:between w:val="nil"/>
              </w:pBdr>
              <w:tabs>
                <w:tab w:val="left" w:pos="590"/>
              </w:tabs>
              <w:spacing w:after="120"/>
              <w:ind w:right="172"/>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6. As quantias que forem atribuídas à classe a título de dividendos, juros sobre capital próprio, reembolso de proventos decorrentes do empréstimo de valores mobiliários ou rendimentos advindos de ativos financeiros que integrem a carteira da classe devem ser incorporadas ao patrimônio líquido da classe. </w:t>
            </w:r>
          </w:p>
          <w:p w14:paraId="18C95728" w14:textId="77777777" w:rsidR="00AC4EFA" w:rsidRPr="00E65AD6" w:rsidRDefault="00AC4EFA">
            <w:pPr>
              <w:ind w:right="172"/>
              <w:jc w:val="both"/>
              <w:rPr>
                <w:rFonts w:ascii="Josefin Sans" w:eastAsia="Josefin Sans" w:hAnsi="Josefin Sans" w:cs="Josefin Sans"/>
                <w:sz w:val="22"/>
                <w:szCs w:val="22"/>
              </w:rPr>
            </w:pPr>
          </w:p>
          <w:p w14:paraId="18C95729" w14:textId="77777777" w:rsidR="00AC4EFA" w:rsidRPr="00E65AD6" w:rsidRDefault="006900B4">
            <w:pPr>
              <w:ind w:right="172"/>
              <w:jc w:val="both"/>
              <w:rPr>
                <w:rFonts w:ascii="Josefin Sans" w:eastAsia="Josefin Sans" w:hAnsi="Josefin Sans" w:cs="Josefin Sans"/>
                <w:sz w:val="22"/>
                <w:szCs w:val="22"/>
              </w:rPr>
            </w:pPr>
            <w:r w:rsidRPr="00E65AD6">
              <w:rPr>
                <w:rFonts w:ascii="Josefin Sans" w:eastAsia="Josefin Sans" w:hAnsi="Josefin Sans" w:cs="Josefin Sans"/>
                <w:sz w:val="22"/>
                <w:szCs w:val="22"/>
              </w:rPr>
              <w:t>7. A Classe e as classes investidas podem realizar operações compromissadas de acordo com a regulamentação do Conselho Monetário Nacional utilizando como objeto os ativos financeiros que possam integrar a sua Carteira, devendo, nos termos da regulamentação aplicável, serem observados os limites por emissor e ativo previstos no quadro acima.</w:t>
            </w:r>
          </w:p>
          <w:p w14:paraId="18C9572A" w14:textId="77777777" w:rsidR="00AC4EFA" w:rsidRPr="00E65AD6" w:rsidRDefault="00AC4EFA">
            <w:pPr>
              <w:ind w:right="172"/>
              <w:jc w:val="both"/>
              <w:rPr>
                <w:rFonts w:ascii="Josefin Sans" w:eastAsia="Josefin Sans" w:hAnsi="Josefin Sans" w:cs="Josefin Sans"/>
                <w:sz w:val="22"/>
                <w:szCs w:val="22"/>
              </w:rPr>
            </w:pPr>
          </w:p>
          <w:p w14:paraId="18C9572B" w14:textId="77777777" w:rsidR="00AC4EFA" w:rsidRPr="00E65AD6" w:rsidRDefault="006900B4">
            <w:pPr>
              <w:ind w:right="172"/>
              <w:jc w:val="both"/>
              <w:rPr>
                <w:rFonts w:ascii="Josefin Sans" w:eastAsia="Josefin Sans" w:hAnsi="Josefin Sans" w:cs="Josefin Sans"/>
                <w:sz w:val="22"/>
                <w:szCs w:val="22"/>
              </w:rPr>
            </w:pPr>
            <w:r w:rsidRPr="00E65AD6">
              <w:rPr>
                <w:rFonts w:ascii="Josefin Sans" w:eastAsia="Josefin Sans" w:hAnsi="Josefin Sans" w:cs="Josefin Sans"/>
                <w:sz w:val="22"/>
                <w:szCs w:val="22"/>
              </w:rPr>
              <w:t>8. Ficam vedadas as aplicações pela Classe em classes de cotas de fundos de investimento que invistam diretamente na Classe, assim como é vedada a aplicação de recursos de uma classe e cotas de outra classe do mesmo Fundo.</w:t>
            </w:r>
          </w:p>
          <w:p w14:paraId="18C9572C" w14:textId="77777777" w:rsidR="00AC4EFA" w:rsidRPr="00E65AD6" w:rsidRDefault="00AC4EFA">
            <w:pPr>
              <w:jc w:val="both"/>
              <w:rPr>
                <w:rFonts w:ascii="Josefin Sans" w:eastAsia="Josefin Sans" w:hAnsi="Josefin Sans" w:cs="Josefin Sans"/>
                <w:sz w:val="22"/>
                <w:szCs w:val="22"/>
              </w:rPr>
            </w:pPr>
          </w:p>
          <w:p w14:paraId="18C9572D" w14:textId="77777777" w:rsidR="00AC4EFA" w:rsidRPr="00E65AD6" w:rsidRDefault="006900B4">
            <w:pPr>
              <w:ind w:right="172"/>
              <w:jc w:val="both"/>
              <w:rPr>
                <w:rFonts w:ascii="Josefin Sans" w:eastAsia="Josefin Sans" w:hAnsi="Josefin Sans" w:cs="Josefin Sans"/>
                <w:sz w:val="22"/>
                <w:szCs w:val="22"/>
              </w:rPr>
            </w:pPr>
            <w:r w:rsidRPr="00E65AD6">
              <w:rPr>
                <w:rFonts w:ascii="Josefin Sans" w:eastAsia="Josefin Sans" w:hAnsi="Josefin Sans" w:cs="Josefin Sans"/>
                <w:sz w:val="22"/>
                <w:szCs w:val="22"/>
              </w:rPr>
              <w:t xml:space="preserve">9. O Administrador, o Gestor e qualquer empresa pertencente ao mesmo conglomerado financeiro, bem como diretores, gerentes e funcionários dessas empresas poderão ter posições </w:t>
            </w:r>
            <w:proofErr w:type="gramStart"/>
            <w:r w:rsidRPr="00E65AD6">
              <w:rPr>
                <w:rFonts w:ascii="Josefin Sans" w:eastAsia="Josefin Sans" w:hAnsi="Josefin Sans" w:cs="Josefin Sans"/>
                <w:sz w:val="22"/>
                <w:szCs w:val="22"/>
              </w:rPr>
              <w:t>em, subscrever ou operar</w:t>
            </w:r>
            <w:proofErr w:type="gramEnd"/>
            <w:r w:rsidRPr="00E65AD6">
              <w:rPr>
                <w:rFonts w:ascii="Josefin Sans" w:eastAsia="Josefin Sans" w:hAnsi="Josefin Sans" w:cs="Josefin Sans"/>
                <w:sz w:val="22"/>
                <w:szCs w:val="22"/>
              </w:rPr>
              <w:t xml:space="preserve"> com ativos financeiros que integrem ou venham a integrar a carteira da Classe e/ou a carteira das classes investidas.</w:t>
            </w:r>
          </w:p>
          <w:p w14:paraId="18C9572E" w14:textId="77777777" w:rsidR="00AC4EFA" w:rsidRPr="00E65AD6" w:rsidRDefault="00AC4EFA">
            <w:pPr>
              <w:jc w:val="both"/>
              <w:rPr>
                <w:rFonts w:ascii="Josefin Sans" w:eastAsia="Josefin Sans" w:hAnsi="Josefin Sans" w:cs="Josefin Sans"/>
                <w:sz w:val="22"/>
                <w:szCs w:val="22"/>
              </w:rPr>
            </w:pPr>
          </w:p>
          <w:p w14:paraId="18C9572F" w14:textId="77777777" w:rsidR="00AC4EFA" w:rsidRPr="00E65AD6" w:rsidRDefault="006900B4">
            <w:pPr>
              <w:ind w:right="314"/>
              <w:jc w:val="both"/>
              <w:rPr>
                <w:rFonts w:ascii="Josefin Sans" w:eastAsia="Josefin Sans" w:hAnsi="Josefin Sans" w:cs="Josefin Sans"/>
                <w:sz w:val="22"/>
                <w:szCs w:val="22"/>
              </w:rPr>
            </w:pPr>
            <w:r w:rsidRPr="00E65AD6">
              <w:rPr>
                <w:rFonts w:ascii="Josefin Sans" w:eastAsia="Josefin Sans" w:hAnsi="Josefin Sans" w:cs="Josefin Sans"/>
                <w:sz w:val="22"/>
                <w:szCs w:val="22"/>
              </w:rPr>
              <w:t>10. A Classe e/ou as classes investidas poderão realizar suas operações por meio de instituições autorizadas a operar no mercado de títulos e/ou valores mobiliários, ligadas ou não ao Administrador, ao Gestor e às empresas a eles ligadas, podendo, inclusive, direta ou indiretamente, adquirir ativos financeiros que sejam objeto de oferta pública ou privada, que sejam coordenadas, lideradas, ou das quais participem as referidas instituições.</w:t>
            </w:r>
          </w:p>
        </w:tc>
      </w:tr>
    </w:tbl>
    <w:p w14:paraId="18C95731" w14:textId="77777777" w:rsidR="00AC4EFA" w:rsidRPr="00E65AD6" w:rsidRDefault="00AC4EFA">
      <w:pPr>
        <w:spacing w:after="120" w:line="240" w:lineRule="auto"/>
        <w:rPr>
          <w:rFonts w:ascii="Josefin Sans" w:eastAsia="Josefin Sans" w:hAnsi="Josefin Sans" w:cs="Josefin Sans"/>
        </w:rPr>
      </w:pPr>
      <w:bookmarkStart w:id="0" w:name="_heading=h.gjdgxs" w:colFirst="0" w:colLast="0"/>
      <w:bookmarkEnd w:id="0"/>
    </w:p>
    <w:tbl>
      <w:tblPr>
        <w:tblStyle w:val="ac"/>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AC4EFA" w:rsidRPr="00E65AD6" w14:paraId="18C95733" w14:textId="77777777" w:rsidTr="00E65AD6">
        <w:trPr>
          <w:trHeight w:val="282"/>
        </w:trPr>
        <w:tc>
          <w:tcPr>
            <w:tcW w:w="10490" w:type="dxa"/>
          </w:tcPr>
          <w:p w14:paraId="18C95732" w14:textId="77777777" w:rsidR="00AC4EFA" w:rsidRPr="00E65AD6" w:rsidRDefault="006900B4">
            <w:pPr>
              <w:pStyle w:val="Ttulo1"/>
              <w:keepNext/>
              <w:numPr>
                <w:ilvl w:val="0"/>
                <w:numId w:val="19"/>
              </w:numPr>
              <w:pBdr>
                <w:top w:val="none" w:sz="0" w:space="0" w:color="000000"/>
                <w:left w:val="none" w:sz="0" w:space="0" w:color="000000"/>
                <w:bottom w:val="none" w:sz="0" w:space="0" w:color="000000"/>
                <w:right w:val="none" w:sz="0" w:space="0" w:color="000000"/>
                <w:between w:val="none" w:sz="0" w:space="0" w:color="000000"/>
              </w:pBdr>
              <w:tabs>
                <w:tab w:val="left" w:pos="543"/>
              </w:tabs>
              <w:spacing w:before="0" w:after="120"/>
              <w:ind w:left="169"/>
              <w:rPr>
                <w:rFonts w:ascii="Josefin Sans" w:eastAsia="Josefin Sans" w:hAnsi="Josefin Sans" w:cs="Josefin Sans"/>
                <w:sz w:val="22"/>
                <w:szCs w:val="22"/>
              </w:rPr>
            </w:pPr>
            <w:r w:rsidRPr="00E65AD6">
              <w:rPr>
                <w:rFonts w:ascii="Josefin Sans" w:eastAsia="Josefin Sans" w:hAnsi="Josefin Sans" w:cs="Josefin Sans"/>
                <w:smallCaps/>
                <w:sz w:val="22"/>
                <w:szCs w:val="22"/>
              </w:rPr>
              <w:t>Dos fatores de risco</w:t>
            </w:r>
          </w:p>
        </w:tc>
      </w:tr>
      <w:tr w:rsidR="00AC4EFA" w:rsidRPr="00E65AD6" w14:paraId="18C9573C" w14:textId="77777777" w:rsidTr="00E65AD6">
        <w:trPr>
          <w:trHeight w:val="996"/>
        </w:trPr>
        <w:tc>
          <w:tcPr>
            <w:tcW w:w="10490" w:type="dxa"/>
          </w:tcPr>
          <w:p w14:paraId="18C95734" w14:textId="77777777" w:rsidR="00AC4EFA" w:rsidRPr="00E65AD6" w:rsidRDefault="006900B4">
            <w:pPr>
              <w:numPr>
                <w:ilvl w:val="0"/>
                <w:numId w:val="22"/>
              </w:numPr>
              <w:pBdr>
                <w:top w:val="nil"/>
                <w:left w:val="nil"/>
                <w:bottom w:val="nil"/>
                <w:right w:val="nil"/>
                <w:between w:val="nil"/>
              </w:pBdr>
              <w:tabs>
                <w:tab w:val="left" w:pos="595"/>
              </w:tabs>
              <w:spacing w:after="120"/>
              <w:ind w:left="27" w:right="37" w:hanging="27"/>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Tendo em vista a natureza dos Ativos Financeiros elencados na política de investimentos da classe, os cotistas devem estar cientes de que a classe estará sujeita aos seguintes fatores de risco:</w:t>
            </w:r>
          </w:p>
          <w:p w14:paraId="18C95735" w14:textId="77777777" w:rsidR="00AC4EFA" w:rsidRPr="00E65AD6" w:rsidRDefault="006900B4">
            <w:pPr>
              <w:numPr>
                <w:ilvl w:val="1"/>
                <w:numId w:val="22"/>
              </w:numPr>
              <w:pBdr>
                <w:top w:val="nil"/>
                <w:left w:val="nil"/>
                <w:bottom w:val="nil"/>
                <w:right w:val="nil"/>
                <w:between w:val="nil"/>
              </w:pBdr>
              <w:tabs>
                <w:tab w:val="left" w:pos="169"/>
                <w:tab w:val="left" w:pos="595"/>
              </w:tabs>
              <w:spacing w:after="120"/>
              <w:ind w:left="27" w:right="37" w:hanging="6"/>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Risco de variação de preços de ações admitidas à negociação em mercado organizado</w:t>
            </w:r>
            <w:r w:rsidRPr="00E65AD6">
              <w:rPr>
                <w:rFonts w:ascii="Josefin Sans" w:eastAsia="Josefin Sans" w:hAnsi="Josefin Sans" w:cs="Josefin Sans"/>
                <w:b/>
                <w:color w:val="000000"/>
                <w:sz w:val="22"/>
                <w:szCs w:val="22"/>
              </w:rPr>
              <w:t>.</w:t>
            </w:r>
          </w:p>
          <w:p w14:paraId="18C95736" w14:textId="77777777" w:rsidR="00AC4EFA" w:rsidRPr="00E65AD6" w:rsidRDefault="006900B4">
            <w:pPr>
              <w:numPr>
                <w:ilvl w:val="0"/>
                <w:numId w:val="22"/>
              </w:numPr>
              <w:pBdr>
                <w:top w:val="nil"/>
                <w:left w:val="nil"/>
                <w:bottom w:val="nil"/>
                <w:right w:val="nil"/>
                <w:between w:val="nil"/>
              </w:pBdr>
              <w:tabs>
                <w:tab w:val="left" w:pos="584"/>
              </w:tabs>
              <w:spacing w:after="120"/>
              <w:ind w:left="27" w:right="37" w:hanging="27"/>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Outros riscos: a classe também poderá estar sujeita a outros riscos advindos de motivos alheios ou exógenos ao seu controle, os quais, se materializados, podem acarretar perdas à classe e aos cotistas atribuído a cada cota o direito a um voto na assembleia geral de cotistas, </w:t>
            </w:r>
            <w:sdt>
              <w:sdtPr>
                <w:rPr>
                  <w:rFonts w:ascii="Josefin Sans" w:hAnsi="Josefin Sans"/>
                </w:rPr>
                <w:tag w:val="goog_rdk_8"/>
                <w:id w:val="39098188"/>
              </w:sdtPr>
              <w:sdtEndPr/>
              <w:sdtContent/>
            </w:sdt>
            <w:r w:rsidRPr="00E65AD6">
              <w:rPr>
                <w:rFonts w:ascii="Josefin Sans" w:eastAsia="Josefin Sans" w:hAnsi="Josefin Sans" w:cs="Josefin Sans"/>
                <w:color w:val="000000"/>
                <w:sz w:val="22"/>
                <w:szCs w:val="22"/>
              </w:rPr>
              <w:t xml:space="preserve">tais como: </w:t>
            </w:r>
          </w:p>
          <w:p w14:paraId="18C95737" w14:textId="2465969F" w:rsidR="00AC4EFA" w:rsidRPr="00E65AD6" w:rsidRDefault="00777A90">
            <w:pPr>
              <w:numPr>
                <w:ilvl w:val="1"/>
                <w:numId w:val="22"/>
              </w:numPr>
              <w:pBdr>
                <w:top w:val="nil"/>
                <w:left w:val="nil"/>
                <w:bottom w:val="nil"/>
                <w:right w:val="nil"/>
                <w:between w:val="nil"/>
              </w:pBdr>
              <w:tabs>
                <w:tab w:val="left" w:pos="584"/>
              </w:tabs>
              <w:spacing w:after="120"/>
              <w:ind w:right="37"/>
              <w:jc w:val="both"/>
              <w:rPr>
                <w:rFonts w:ascii="Josefin Sans" w:eastAsia="Josefin Sans" w:hAnsi="Josefin Sans" w:cs="Josefin Sans"/>
                <w:color w:val="000000"/>
                <w:sz w:val="22"/>
                <w:szCs w:val="22"/>
              </w:rPr>
            </w:pPr>
            <w:sdt>
              <w:sdtPr>
                <w:rPr>
                  <w:rFonts w:ascii="Josefin Sans" w:hAnsi="Josefin Sans"/>
                </w:rPr>
                <w:tag w:val="goog_rdk_9"/>
                <w:id w:val="180639211"/>
              </w:sdtPr>
              <w:sdtEndPr/>
              <w:sdtContent/>
            </w:sdt>
            <w:r w:rsidR="006900B4" w:rsidRPr="00E65AD6">
              <w:rPr>
                <w:rFonts w:ascii="Josefin Sans" w:eastAsia="Josefin Sans" w:hAnsi="Josefin Sans" w:cs="Josefin Sans"/>
                <w:b/>
                <w:sz w:val="22"/>
                <w:szCs w:val="22"/>
              </w:rPr>
              <w:t>Risco de Crédito</w:t>
            </w:r>
            <w:r w:rsidR="004508CC" w:rsidRPr="00E65AD6">
              <w:rPr>
                <w:rFonts w:ascii="Josefin Sans" w:eastAsia="Josefin Sans" w:hAnsi="Josefin Sans" w:cs="Josefin Sans"/>
                <w:b/>
                <w:sz w:val="22"/>
                <w:szCs w:val="22"/>
              </w:rPr>
              <w:t xml:space="preserve">: </w:t>
            </w:r>
            <w:r w:rsidR="004508CC" w:rsidRPr="00E65AD6">
              <w:rPr>
                <w:rFonts w:ascii="Josefin Sans" w:eastAsia="Josefin Sans" w:hAnsi="Josefin Sans" w:cs="Josefin Sans"/>
                <w:bCs/>
                <w:sz w:val="22"/>
                <w:szCs w:val="22"/>
              </w:rPr>
              <w:t>Consiste no risco de os emissores de ativos financeiros de renda fixa que integram a carteira do FUNDO e/ou dos fundos investidos não cumprirem suas obrigações de pagar tanto o principal como os respectivos juros de suas dívidas para com o FUNDO e/ou o fundo investido. Adicionalmente, os contratos de derivativos estão eventualmente sujeitos ao risco de a contraparte ou instituição garantidora não honrar sua liquidação.</w:t>
            </w:r>
          </w:p>
          <w:p w14:paraId="18C95738" w14:textId="3DE69E90" w:rsidR="00AC4EFA" w:rsidRPr="00E65AD6" w:rsidRDefault="006900B4">
            <w:pPr>
              <w:numPr>
                <w:ilvl w:val="1"/>
                <w:numId w:val="22"/>
              </w:numPr>
              <w:pBdr>
                <w:top w:val="nil"/>
                <w:left w:val="nil"/>
                <w:bottom w:val="nil"/>
                <w:right w:val="nil"/>
                <w:between w:val="nil"/>
              </w:pBdr>
              <w:tabs>
                <w:tab w:val="left" w:pos="584"/>
              </w:tabs>
              <w:spacing w:after="120"/>
              <w:ind w:right="37"/>
              <w:jc w:val="both"/>
              <w:rPr>
                <w:rFonts w:ascii="Josefin Sans" w:eastAsia="Josefin Sans" w:hAnsi="Josefin Sans" w:cs="Josefin Sans"/>
                <w:b/>
                <w:sz w:val="22"/>
                <w:szCs w:val="22"/>
              </w:rPr>
            </w:pPr>
            <w:r w:rsidRPr="00E65AD6">
              <w:rPr>
                <w:rFonts w:ascii="Josefin Sans" w:eastAsia="Josefin Sans" w:hAnsi="Josefin Sans" w:cs="Josefin Sans"/>
                <w:b/>
                <w:sz w:val="22"/>
                <w:szCs w:val="22"/>
              </w:rPr>
              <w:t>Risco de Mercado</w:t>
            </w:r>
            <w:r w:rsidR="00E63E5A" w:rsidRPr="00E65AD6">
              <w:rPr>
                <w:rFonts w:ascii="Josefin Sans" w:eastAsia="Josefin Sans" w:hAnsi="Josefin Sans" w:cs="Josefin Sans"/>
                <w:b/>
                <w:sz w:val="22"/>
                <w:szCs w:val="22"/>
              </w:rPr>
              <w:t>:</w:t>
            </w:r>
            <w:r w:rsidR="00E63E5A" w:rsidRPr="00E65AD6">
              <w:rPr>
                <w:rFonts w:ascii="Josefin Sans" w:hAnsi="Josefin Sans"/>
                <w:sz w:val="22"/>
                <w:szCs w:val="22"/>
              </w:rPr>
              <w:t xml:space="preserve"> </w:t>
            </w:r>
            <w:r w:rsidR="00E63E5A" w:rsidRPr="00E65AD6">
              <w:rPr>
                <w:rFonts w:ascii="Josefin Sans" w:eastAsia="Josefin Sans" w:hAnsi="Josefin Sans" w:cs="Josefin Sans"/>
                <w:bCs/>
                <w:sz w:val="22"/>
                <w:szCs w:val="22"/>
              </w:rPr>
              <w:t xml:space="preserve">Consiste no risco de variação no valor dos ativos financeiros da carteira do FUNDO e/ou dos fundos investidos. O valor destes ativos financeiros pode aumentar ou diminuir, de acordo com as flutuações de preços e cotações de mercado, as taxas de juros e os resultados das empresas emissoras. Em caso de queda do valor dos ativos financeiros que compõem a carteira do FUNDO e/ou dos fundos investidos, o patrimônio líquido do FUNDO pode ser afetado negativamente. A queda dos preços dos ativos financeiros integrantes da Carteira pode ser temporária, não existindo, no entanto, garantia de que não se estendam por períodos longos e/ou indeterminados. Em determinados momentos de mercado, a volatilidade </w:t>
            </w:r>
            <w:r w:rsidR="00E63E5A" w:rsidRPr="00E65AD6">
              <w:rPr>
                <w:rFonts w:ascii="Josefin Sans" w:eastAsia="Josefin Sans" w:hAnsi="Josefin Sans" w:cs="Josefin Sans"/>
                <w:bCs/>
                <w:sz w:val="22"/>
                <w:szCs w:val="22"/>
              </w:rPr>
              <w:lastRenderedPageBreak/>
              <w:t>dos preços dos ativos financeiros e dos derivativos pode ser elevada, podendo acarretar oscilações bruscas no resultado do FUNDO.</w:t>
            </w:r>
          </w:p>
          <w:p w14:paraId="18C95739" w14:textId="59A81CE8" w:rsidR="00AC4EFA" w:rsidRPr="00E65AD6" w:rsidRDefault="006900B4">
            <w:pPr>
              <w:numPr>
                <w:ilvl w:val="1"/>
                <w:numId w:val="22"/>
              </w:numPr>
              <w:pBdr>
                <w:top w:val="nil"/>
                <w:left w:val="nil"/>
                <w:bottom w:val="nil"/>
                <w:right w:val="nil"/>
                <w:between w:val="nil"/>
              </w:pBdr>
              <w:tabs>
                <w:tab w:val="left" w:pos="584"/>
              </w:tabs>
              <w:spacing w:after="120"/>
              <w:ind w:right="37"/>
              <w:jc w:val="both"/>
              <w:rPr>
                <w:rFonts w:ascii="Josefin Sans" w:eastAsia="Josefin Sans" w:hAnsi="Josefin Sans" w:cs="Josefin Sans"/>
                <w:b/>
                <w:sz w:val="22"/>
                <w:szCs w:val="22"/>
              </w:rPr>
            </w:pPr>
            <w:r w:rsidRPr="00E65AD6">
              <w:rPr>
                <w:rFonts w:ascii="Josefin Sans" w:eastAsia="Josefin Sans" w:hAnsi="Josefin Sans" w:cs="Josefin Sans"/>
                <w:b/>
                <w:sz w:val="22"/>
                <w:szCs w:val="22"/>
              </w:rPr>
              <w:t>Risco de Liquidez</w:t>
            </w:r>
            <w:r w:rsidR="00704DE7" w:rsidRPr="00E65AD6">
              <w:rPr>
                <w:rFonts w:ascii="Josefin Sans" w:eastAsia="Josefin Sans" w:hAnsi="Josefin Sans" w:cs="Josefin Sans"/>
                <w:b/>
                <w:sz w:val="22"/>
                <w:szCs w:val="22"/>
              </w:rPr>
              <w:t xml:space="preserve">: </w:t>
            </w:r>
            <w:r w:rsidR="00704DE7" w:rsidRPr="00E65AD6">
              <w:rPr>
                <w:rFonts w:ascii="Josefin Sans" w:eastAsia="Josefin Sans" w:hAnsi="Josefin Sans" w:cs="Josefin Sans"/>
                <w:bCs/>
                <w:sz w:val="22"/>
                <w:szCs w:val="22"/>
              </w:rPr>
              <w:t>O risco de liquidez caracteriza-se pela baixa ou mesmo falta de demanda pelos ativos financeiros integrantes da carteira do FUNDO e/ou dos fundos investidos. Neste caso, o FUNDO pode não estar apto a efetuar, dentro do prazo máximo estabelecido neste Regulamento e na regulamentação em vigor, pagamentos relativos a resgates de cotas do FUNDO, quando solicitados pelos cotistas. Este cenário pode se dar em função da falta de liquidez dos mercados nos quais os valores mobiliários integrantes da carteira do FUNDO e/ou dos fundos investidos são negociados ou de outras condições atípicas de mercado.</w:t>
            </w:r>
          </w:p>
          <w:p w14:paraId="18C9573A" w14:textId="4E5B765A" w:rsidR="00AC4EFA" w:rsidRPr="00E65AD6" w:rsidRDefault="006900B4">
            <w:pPr>
              <w:numPr>
                <w:ilvl w:val="1"/>
                <w:numId w:val="22"/>
              </w:numPr>
              <w:pBdr>
                <w:top w:val="nil"/>
                <w:left w:val="nil"/>
                <w:bottom w:val="nil"/>
                <w:right w:val="nil"/>
                <w:between w:val="nil"/>
              </w:pBdr>
              <w:tabs>
                <w:tab w:val="left" w:pos="584"/>
              </w:tabs>
              <w:spacing w:after="120"/>
              <w:ind w:right="37"/>
              <w:jc w:val="both"/>
              <w:rPr>
                <w:rFonts w:ascii="Josefin Sans" w:eastAsia="Josefin Sans" w:hAnsi="Josefin Sans" w:cs="Josefin Sans"/>
                <w:bCs/>
                <w:sz w:val="22"/>
                <w:szCs w:val="22"/>
              </w:rPr>
            </w:pPr>
            <w:r w:rsidRPr="00E65AD6">
              <w:rPr>
                <w:rFonts w:ascii="Josefin Sans" w:eastAsia="Josefin Sans" w:hAnsi="Josefin Sans" w:cs="Josefin Sans"/>
                <w:b/>
                <w:sz w:val="22"/>
                <w:szCs w:val="22"/>
              </w:rPr>
              <w:t>Risco Operacional</w:t>
            </w:r>
            <w:r w:rsidR="0036597E" w:rsidRPr="00E65AD6">
              <w:rPr>
                <w:rFonts w:ascii="Josefin Sans" w:eastAsia="Josefin Sans" w:hAnsi="Josefin Sans" w:cs="Josefin Sans"/>
                <w:b/>
                <w:sz w:val="22"/>
                <w:szCs w:val="22"/>
              </w:rPr>
              <w:t xml:space="preserve">: </w:t>
            </w:r>
            <w:r w:rsidR="00CC7EC1" w:rsidRPr="00E65AD6">
              <w:rPr>
                <w:rFonts w:ascii="Josefin Sans" w:eastAsia="Josefin Sans" w:hAnsi="Josefin Sans" w:cs="Josefin Sans"/>
                <w:bCs/>
                <w:sz w:val="22"/>
                <w:szCs w:val="22"/>
              </w:rPr>
              <w:t>O risco de perda direta ou indireta, resultante de falha, deficiência ou inadequação de processos internos, pessoas e sistemas, ou de eventos externos.</w:t>
            </w:r>
          </w:p>
          <w:p w14:paraId="0ECB558A" w14:textId="77777777" w:rsidR="00294C8E" w:rsidRPr="00E65AD6" w:rsidRDefault="006900B4" w:rsidP="00294C8E">
            <w:pPr>
              <w:numPr>
                <w:ilvl w:val="1"/>
                <w:numId w:val="22"/>
              </w:numPr>
              <w:pBdr>
                <w:top w:val="nil"/>
                <w:left w:val="nil"/>
                <w:bottom w:val="nil"/>
                <w:right w:val="nil"/>
                <w:between w:val="nil"/>
              </w:pBdr>
              <w:tabs>
                <w:tab w:val="left" w:pos="584"/>
              </w:tabs>
              <w:spacing w:after="120"/>
              <w:ind w:right="37"/>
              <w:jc w:val="both"/>
              <w:rPr>
                <w:rFonts w:ascii="Josefin Sans" w:hAnsi="Josefin Sans"/>
                <w:sz w:val="22"/>
                <w:szCs w:val="22"/>
              </w:rPr>
            </w:pPr>
            <w:r w:rsidRPr="00E65AD6">
              <w:rPr>
                <w:rFonts w:ascii="Josefin Sans" w:eastAsia="Josefin Sans" w:hAnsi="Josefin Sans" w:cs="Josefin Sans"/>
                <w:b/>
                <w:sz w:val="22"/>
                <w:szCs w:val="22"/>
              </w:rPr>
              <w:t>Risco Legal</w:t>
            </w:r>
            <w:r w:rsidR="0036597E" w:rsidRPr="00E65AD6">
              <w:rPr>
                <w:rFonts w:ascii="Josefin Sans" w:eastAsia="Josefin Sans" w:hAnsi="Josefin Sans" w:cs="Josefin Sans"/>
                <w:b/>
                <w:sz w:val="22"/>
                <w:szCs w:val="22"/>
              </w:rPr>
              <w:t xml:space="preserve">: </w:t>
            </w:r>
            <w:r w:rsidR="00826391" w:rsidRPr="00E65AD6">
              <w:rPr>
                <w:rFonts w:ascii="Josefin Sans" w:eastAsia="Josefin Sans" w:hAnsi="Josefin Sans" w:cs="Josefin Sans"/>
                <w:bCs/>
                <w:sz w:val="22"/>
                <w:szCs w:val="22"/>
              </w:rPr>
              <w:t>E</w:t>
            </w:r>
            <w:r w:rsidR="0036597E" w:rsidRPr="00E65AD6">
              <w:rPr>
                <w:rFonts w:ascii="Josefin Sans" w:eastAsia="Josefin Sans" w:hAnsi="Josefin Sans" w:cs="Josefin Sans"/>
                <w:bCs/>
                <w:sz w:val="22"/>
                <w:szCs w:val="22"/>
              </w:rPr>
              <w:t>ventual interferência de órgãos reguladores no mercado, mudanças na legislação e regulamentação aplicáveis aos Fundos de Investimento, decretação de moratória, fechamento parcial ou total dos mercados, alteração nas políticas monetárias e cambiais, dentre outros eventos, podem impactar as condições de funcionamento do FUNDO e/ou dos Fundos de Investimento, bem como seu respectivo desempenho.</w:t>
            </w:r>
          </w:p>
          <w:p w14:paraId="7723BF4A" w14:textId="4C34B347" w:rsidR="00294C8E" w:rsidRPr="00E65AD6" w:rsidRDefault="00E65AD6" w:rsidP="00294C8E">
            <w:pPr>
              <w:numPr>
                <w:ilvl w:val="1"/>
                <w:numId w:val="22"/>
              </w:numPr>
              <w:pBdr>
                <w:top w:val="nil"/>
                <w:left w:val="nil"/>
                <w:bottom w:val="nil"/>
                <w:right w:val="nil"/>
                <w:between w:val="nil"/>
              </w:pBdr>
              <w:tabs>
                <w:tab w:val="left" w:pos="584"/>
              </w:tabs>
              <w:spacing w:after="120"/>
              <w:ind w:right="37"/>
              <w:jc w:val="both"/>
              <w:rPr>
                <w:rFonts w:ascii="Josefin Sans" w:eastAsia="Josefin Sans" w:hAnsi="Josefin Sans" w:cs="Josefin Sans"/>
                <w:bCs/>
                <w:sz w:val="22"/>
                <w:szCs w:val="22"/>
              </w:rPr>
            </w:pPr>
            <w:r>
              <w:rPr>
                <w:rFonts w:ascii="Josefin Sans" w:eastAsia="Josefin Sans" w:hAnsi="Josefin Sans" w:cs="Josefin Sans"/>
                <w:b/>
                <w:sz w:val="22"/>
                <w:szCs w:val="22"/>
              </w:rPr>
              <w:t>R</w:t>
            </w:r>
            <w:r w:rsidRPr="00E65AD6">
              <w:rPr>
                <w:rFonts w:ascii="Josefin Sans" w:eastAsia="Josefin Sans" w:hAnsi="Josefin Sans" w:cs="Josefin Sans"/>
                <w:b/>
                <w:sz w:val="22"/>
                <w:szCs w:val="22"/>
              </w:rPr>
              <w:t xml:space="preserve">isco de </w:t>
            </w:r>
            <w:r>
              <w:rPr>
                <w:rFonts w:ascii="Josefin Sans" w:eastAsia="Josefin Sans" w:hAnsi="Josefin Sans" w:cs="Josefin Sans"/>
                <w:b/>
                <w:sz w:val="22"/>
                <w:szCs w:val="22"/>
              </w:rPr>
              <w:t>C</w:t>
            </w:r>
            <w:r w:rsidRPr="00E65AD6">
              <w:rPr>
                <w:rFonts w:ascii="Josefin Sans" w:eastAsia="Josefin Sans" w:hAnsi="Josefin Sans" w:cs="Josefin Sans"/>
                <w:b/>
                <w:sz w:val="22"/>
                <w:szCs w:val="22"/>
              </w:rPr>
              <w:t xml:space="preserve">oncentração de </w:t>
            </w:r>
            <w:r>
              <w:rPr>
                <w:rFonts w:ascii="Josefin Sans" w:eastAsia="Josefin Sans" w:hAnsi="Josefin Sans" w:cs="Josefin Sans"/>
                <w:b/>
                <w:sz w:val="22"/>
                <w:szCs w:val="22"/>
              </w:rPr>
              <w:t>A</w:t>
            </w:r>
            <w:r w:rsidRPr="00E65AD6">
              <w:rPr>
                <w:rFonts w:ascii="Josefin Sans" w:eastAsia="Josefin Sans" w:hAnsi="Josefin Sans" w:cs="Josefin Sans"/>
                <w:b/>
                <w:sz w:val="22"/>
                <w:szCs w:val="22"/>
              </w:rPr>
              <w:t xml:space="preserve">tivos </w:t>
            </w:r>
            <w:r>
              <w:rPr>
                <w:rFonts w:ascii="Josefin Sans" w:eastAsia="Josefin Sans" w:hAnsi="Josefin Sans" w:cs="Josefin Sans"/>
                <w:b/>
                <w:sz w:val="22"/>
                <w:szCs w:val="22"/>
              </w:rPr>
              <w:t>F</w:t>
            </w:r>
            <w:r w:rsidRPr="00E65AD6">
              <w:rPr>
                <w:rFonts w:ascii="Josefin Sans" w:eastAsia="Josefin Sans" w:hAnsi="Josefin Sans" w:cs="Josefin Sans"/>
                <w:b/>
                <w:sz w:val="22"/>
                <w:szCs w:val="22"/>
              </w:rPr>
              <w:t xml:space="preserve">inanceiros de um </w:t>
            </w:r>
            <w:r>
              <w:rPr>
                <w:rFonts w:ascii="Josefin Sans" w:eastAsia="Josefin Sans" w:hAnsi="Josefin Sans" w:cs="Josefin Sans"/>
                <w:b/>
                <w:sz w:val="22"/>
                <w:szCs w:val="22"/>
              </w:rPr>
              <w:t>M</w:t>
            </w:r>
            <w:r w:rsidRPr="00E65AD6">
              <w:rPr>
                <w:rFonts w:ascii="Josefin Sans" w:eastAsia="Josefin Sans" w:hAnsi="Josefin Sans" w:cs="Josefin Sans"/>
                <w:b/>
                <w:sz w:val="22"/>
                <w:szCs w:val="22"/>
              </w:rPr>
              <w:t xml:space="preserve">esmo </w:t>
            </w:r>
            <w:r>
              <w:rPr>
                <w:rFonts w:ascii="Josefin Sans" w:eastAsia="Josefin Sans" w:hAnsi="Josefin Sans" w:cs="Josefin Sans"/>
                <w:b/>
                <w:sz w:val="22"/>
                <w:szCs w:val="22"/>
              </w:rPr>
              <w:t>E</w:t>
            </w:r>
            <w:r w:rsidRPr="00E65AD6">
              <w:rPr>
                <w:rFonts w:ascii="Josefin Sans" w:eastAsia="Josefin Sans" w:hAnsi="Josefin Sans" w:cs="Josefin Sans"/>
                <w:b/>
                <w:sz w:val="22"/>
                <w:szCs w:val="22"/>
              </w:rPr>
              <w:t>missor:</w:t>
            </w:r>
            <w:r w:rsidRPr="00E65AD6">
              <w:rPr>
                <w:rFonts w:ascii="Josefin Sans" w:eastAsia="Josefin Sans" w:hAnsi="Josefin Sans" w:cs="Josefin Sans"/>
                <w:bCs/>
                <w:sz w:val="22"/>
                <w:szCs w:val="22"/>
              </w:rPr>
              <w:t xml:space="preserve"> </w:t>
            </w:r>
            <w:r w:rsidR="00294C8E" w:rsidRPr="00E65AD6">
              <w:rPr>
                <w:rFonts w:ascii="Josefin Sans" w:eastAsia="Josefin Sans" w:hAnsi="Josefin Sans" w:cs="Josefin Sans"/>
                <w:bCs/>
                <w:sz w:val="22"/>
                <w:szCs w:val="22"/>
              </w:rPr>
              <w:t>A possibilidade de concentração da carteira em ativos financeiros de um mesmo emissor representa risco de liquidez dos referidos ativos financeiros. Alterações da condição financeira de uma companhia ou de um grupo de companhias, alterações na expectativa de desempenho/resultados das companhias e da capacidade competitiva do setor investido podem, isolada ou cumulativamente, afetar adversamente o preço e/ou rendimento dos ativos financeiros da carteira dos fundos investidos. Nestes casos, o gestor dos fundos investidos pode ser obrigado a liquidar os ativos financeiros da carteira do fundo investido a preços depreciados podendo, com isso, influenciar negativamente o valor da cota do fundo investido e, consequentemente, do FUNDO.</w:t>
            </w:r>
          </w:p>
          <w:p w14:paraId="03A74199" w14:textId="52401577" w:rsidR="00294C8E" w:rsidRPr="00E65AD6" w:rsidRDefault="00E65AD6" w:rsidP="00294C8E">
            <w:pPr>
              <w:numPr>
                <w:ilvl w:val="1"/>
                <w:numId w:val="22"/>
              </w:numPr>
              <w:pBdr>
                <w:top w:val="nil"/>
                <w:left w:val="nil"/>
                <w:bottom w:val="nil"/>
                <w:right w:val="nil"/>
                <w:between w:val="nil"/>
              </w:pBdr>
              <w:tabs>
                <w:tab w:val="left" w:pos="584"/>
              </w:tabs>
              <w:spacing w:after="120"/>
              <w:ind w:right="37"/>
              <w:jc w:val="both"/>
              <w:rPr>
                <w:rFonts w:ascii="Josefin Sans" w:eastAsia="Josefin Sans" w:hAnsi="Josefin Sans" w:cs="Josefin Sans"/>
                <w:bCs/>
                <w:sz w:val="22"/>
                <w:szCs w:val="22"/>
              </w:rPr>
            </w:pPr>
            <w:r>
              <w:rPr>
                <w:rFonts w:ascii="Josefin Sans" w:eastAsia="Josefin Sans" w:hAnsi="Josefin Sans" w:cs="Josefin Sans"/>
                <w:b/>
                <w:sz w:val="22"/>
                <w:szCs w:val="22"/>
              </w:rPr>
              <w:t>R</w:t>
            </w:r>
            <w:r w:rsidRPr="00E65AD6">
              <w:rPr>
                <w:rFonts w:ascii="Josefin Sans" w:eastAsia="Josefin Sans" w:hAnsi="Josefin Sans" w:cs="Josefin Sans"/>
                <w:b/>
                <w:sz w:val="22"/>
                <w:szCs w:val="22"/>
              </w:rPr>
              <w:t xml:space="preserve">isco </w:t>
            </w:r>
            <w:r>
              <w:rPr>
                <w:rFonts w:ascii="Josefin Sans" w:eastAsia="Josefin Sans" w:hAnsi="Josefin Sans" w:cs="Josefin Sans"/>
                <w:b/>
                <w:sz w:val="22"/>
                <w:szCs w:val="22"/>
              </w:rPr>
              <w:t>P</w:t>
            </w:r>
            <w:r w:rsidRPr="00E65AD6">
              <w:rPr>
                <w:rFonts w:ascii="Josefin Sans" w:eastAsia="Josefin Sans" w:hAnsi="Josefin Sans" w:cs="Josefin Sans"/>
                <w:b/>
                <w:sz w:val="22"/>
                <w:szCs w:val="22"/>
              </w:rPr>
              <w:t xml:space="preserve">roveniente do </w:t>
            </w:r>
            <w:r>
              <w:rPr>
                <w:rFonts w:ascii="Josefin Sans" w:eastAsia="Josefin Sans" w:hAnsi="Josefin Sans" w:cs="Josefin Sans"/>
                <w:b/>
                <w:sz w:val="22"/>
                <w:szCs w:val="22"/>
              </w:rPr>
              <w:t>U</w:t>
            </w:r>
            <w:r w:rsidRPr="00E65AD6">
              <w:rPr>
                <w:rFonts w:ascii="Josefin Sans" w:eastAsia="Josefin Sans" w:hAnsi="Josefin Sans" w:cs="Josefin Sans"/>
                <w:b/>
                <w:sz w:val="22"/>
                <w:szCs w:val="22"/>
              </w:rPr>
              <w:t xml:space="preserve">so de </w:t>
            </w:r>
            <w:r>
              <w:rPr>
                <w:rFonts w:ascii="Josefin Sans" w:eastAsia="Josefin Sans" w:hAnsi="Josefin Sans" w:cs="Josefin Sans"/>
                <w:b/>
                <w:sz w:val="22"/>
                <w:szCs w:val="22"/>
              </w:rPr>
              <w:t>D</w:t>
            </w:r>
            <w:r w:rsidRPr="00E65AD6">
              <w:rPr>
                <w:rFonts w:ascii="Josefin Sans" w:eastAsia="Josefin Sans" w:hAnsi="Josefin Sans" w:cs="Josefin Sans"/>
                <w:b/>
                <w:sz w:val="22"/>
                <w:szCs w:val="22"/>
              </w:rPr>
              <w:t xml:space="preserve">erivativos: </w:t>
            </w:r>
            <w:r w:rsidR="00294C8E" w:rsidRPr="00E65AD6">
              <w:rPr>
                <w:rFonts w:ascii="Josefin Sans" w:eastAsia="Josefin Sans" w:hAnsi="Josefin Sans" w:cs="Josefin Sans"/>
                <w:bCs/>
                <w:sz w:val="22"/>
                <w:szCs w:val="22"/>
              </w:rPr>
              <w:t xml:space="preserve">O FUNDO ou os fundos investidos podem realizar operações nos mercados de derivativos como parte de sua estratégia de investimento. Estas operações podem não produzir os efeitos pretendidos, provocando oscilações bruscas e significativas no resultado do FUNDO ou dos fundos investidos, podendo ocasionar perdas patrimoniais para os cotistas. Isto pode ocorrer em virtude </w:t>
            </w:r>
            <w:proofErr w:type="gramStart"/>
            <w:r w:rsidR="00294C8E" w:rsidRPr="00E65AD6">
              <w:rPr>
                <w:rFonts w:ascii="Josefin Sans" w:eastAsia="Josefin Sans" w:hAnsi="Josefin Sans" w:cs="Josefin Sans"/>
                <w:bCs/>
                <w:sz w:val="22"/>
                <w:szCs w:val="22"/>
              </w:rPr>
              <w:t>do</w:t>
            </w:r>
            <w:proofErr w:type="gramEnd"/>
            <w:r w:rsidR="00294C8E" w:rsidRPr="00E65AD6">
              <w:rPr>
                <w:rFonts w:ascii="Josefin Sans" w:eastAsia="Josefin Sans" w:hAnsi="Josefin Sans" w:cs="Josefin Sans"/>
                <w:bCs/>
                <w:sz w:val="22"/>
                <w:szCs w:val="22"/>
              </w:rPr>
              <w:t xml:space="preserve"> preço dos derivativos depender, além do preço do ativo financeiro objeto do mercado à vista, de outros parâmetros de precificação baseados em expectativas futuras. Mesmo que o preço do ativo financeiro objeto permaneça inalterado, pode ocorrer variação nos preços dos derivativos, tendo como consequência o aumento de volatilidade da carteira do FUNDO ou dos fundos investidos. O risco de operar com uma exposição maior que o seu patrimônio líquido pode ser definido como a possibilidade de as perdas do FUNDO serem superiores ao seu patrimônio. Um fundo que possui níveis de exposição maiores que o seu patrimônio líquido representa risco adicional para os cotistas. Os preços dos ativos financeiros e dos derivativos podem sofrer alterações substanciais que podem levar a perdas ou ganhos significativos. </w:t>
            </w:r>
          </w:p>
          <w:p w14:paraId="16F1DB8B" w14:textId="3574F4DF" w:rsidR="00294C8E" w:rsidRPr="00E65AD6" w:rsidRDefault="00E65AD6" w:rsidP="00294C8E">
            <w:pPr>
              <w:numPr>
                <w:ilvl w:val="1"/>
                <w:numId w:val="22"/>
              </w:numPr>
              <w:pBdr>
                <w:top w:val="nil"/>
                <w:left w:val="nil"/>
                <w:bottom w:val="nil"/>
                <w:right w:val="nil"/>
                <w:between w:val="nil"/>
              </w:pBdr>
              <w:tabs>
                <w:tab w:val="left" w:pos="584"/>
              </w:tabs>
              <w:spacing w:after="120"/>
              <w:ind w:right="37"/>
              <w:jc w:val="both"/>
              <w:rPr>
                <w:rFonts w:ascii="Josefin Sans" w:eastAsia="Josefin Sans" w:hAnsi="Josefin Sans" w:cs="Josefin Sans"/>
                <w:bCs/>
                <w:sz w:val="22"/>
                <w:szCs w:val="22"/>
              </w:rPr>
            </w:pPr>
            <w:r>
              <w:rPr>
                <w:rFonts w:ascii="Josefin Sans" w:eastAsia="Josefin Sans" w:hAnsi="Josefin Sans" w:cs="Josefin Sans"/>
                <w:b/>
                <w:sz w:val="22"/>
                <w:szCs w:val="22"/>
              </w:rPr>
              <w:t>R</w:t>
            </w:r>
            <w:r w:rsidRPr="00E65AD6">
              <w:rPr>
                <w:rFonts w:ascii="Josefin Sans" w:eastAsia="Josefin Sans" w:hAnsi="Josefin Sans" w:cs="Josefin Sans"/>
                <w:b/>
                <w:sz w:val="22"/>
                <w:szCs w:val="22"/>
              </w:rPr>
              <w:t xml:space="preserve">isco de </w:t>
            </w:r>
            <w:r>
              <w:rPr>
                <w:rFonts w:ascii="Josefin Sans" w:eastAsia="Josefin Sans" w:hAnsi="Josefin Sans" w:cs="Josefin Sans"/>
                <w:b/>
                <w:sz w:val="22"/>
                <w:szCs w:val="22"/>
              </w:rPr>
              <w:t>M</w:t>
            </w:r>
            <w:r w:rsidRPr="00E65AD6">
              <w:rPr>
                <w:rFonts w:ascii="Josefin Sans" w:eastAsia="Josefin Sans" w:hAnsi="Josefin Sans" w:cs="Josefin Sans"/>
                <w:b/>
                <w:sz w:val="22"/>
                <w:szCs w:val="22"/>
              </w:rPr>
              <w:t xml:space="preserve">ercado </w:t>
            </w:r>
            <w:r>
              <w:rPr>
                <w:rFonts w:ascii="Josefin Sans" w:eastAsia="Josefin Sans" w:hAnsi="Josefin Sans" w:cs="Josefin Sans"/>
                <w:b/>
                <w:sz w:val="22"/>
                <w:szCs w:val="22"/>
              </w:rPr>
              <w:t>E</w:t>
            </w:r>
            <w:r w:rsidRPr="00E65AD6">
              <w:rPr>
                <w:rFonts w:ascii="Josefin Sans" w:eastAsia="Josefin Sans" w:hAnsi="Josefin Sans" w:cs="Josefin Sans"/>
                <w:b/>
                <w:sz w:val="22"/>
                <w:szCs w:val="22"/>
              </w:rPr>
              <w:t>xterno:</w:t>
            </w:r>
            <w:r w:rsidRPr="00E65AD6">
              <w:rPr>
                <w:rFonts w:ascii="Josefin Sans" w:eastAsia="Josefin Sans" w:hAnsi="Josefin Sans" w:cs="Josefin Sans"/>
                <w:bCs/>
                <w:sz w:val="22"/>
                <w:szCs w:val="22"/>
              </w:rPr>
              <w:t xml:space="preserve"> </w:t>
            </w:r>
            <w:r w:rsidR="00294C8E" w:rsidRPr="00E65AD6">
              <w:rPr>
                <w:rFonts w:ascii="Josefin Sans" w:eastAsia="Josefin Sans" w:hAnsi="Josefin Sans" w:cs="Josefin Sans"/>
                <w:bCs/>
                <w:sz w:val="22"/>
                <w:szCs w:val="22"/>
              </w:rPr>
              <w:t xml:space="preserve">O FUNDO poderá manter em sua carteira, de forma direta ou indireta, ativos financeiros negociados no exterior e, consequentemente, sua performance pode ser afetada por requisitos legais ou regulatórios, por exigências tributárias relativas a todos os países nos quais ele invista, direta ou indiretamente, ou, ainda, pela variação do Real em relação a outras moedas. Os investimentos do FUNDO estarão expostos a alterações nas condições política, econômica ou social nos países onde investe, o que pode afetar negativamente o valor de seus ativos financeiros. Podem ocorrer atrasos na transferência de juros, dividendos, ganhos de capital ou principal, entre países onde o FUNDO ou os fundos investidos invistam e o Brasil, o que pode interferir na liquidez e no desempenho do FUNDO. As operações do FUNDO ou dos fundos investidos no exterior poderão ser executadas em bolsas de valores, de mercadoria e futuros ou registradas em sistema de registro, de custódia ou de liquidação financeira de diferentes países que podem estar sujeitos a distintos níveis de regulamentação e supervisionados por autoridades locais reconhecidas. Entretanto, não existem garantias acerca da integridade das transações e nem sobre a igualdade de condições de acesso aos mercados locais. </w:t>
            </w:r>
          </w:p>
          <w:p w14:paraId="32614599" w14:textId="7A248F21" w:rsidR="00294C8E" w:rsidRPr="00E65AD6" w:rsidRDefault="00E65AD6" w:rsidP="00294C8E">
            <w:pPr>
              <w:numPr>
                <w:ilvl w:val="1"/>
                <w:numId w:val="22"/>
              </w:numPr>
              <w:pBdr>
                <w:top w:val="nil"/>
                <w:left w:val="nil"/>
                <w:bottom w:val="nil"/>
                <w:right w:val="nil"/>
                <w:between w:val="nil"/>
              </w:pBdr>
              <w:tabs>
                <w:tab w:val="left" w:pos="584"/>
              </w:tabs>
              <w:spacing w:after="120"/>
              <w:ind w:right="37"/>
              <w:jc w:val="both"/>
              <w:rPr>
                <w:rFonts w:ascii="Josefin Sans" w:eastAsia="Josefin Sans" w:hAnsi="Josefin Sans" w:cs="Josefin Sans"/>
                <w:bCs/>
                <w:sz w:val="22"/>
                <w:szCs w:val="22"/>
              </w:rPr>
            </w:pPr>
            <w:r>
              <w:rPr>
                <w:rFonts w:ascii="Josefin Sans" w:eastAsia="Josefin Sans" w:hAnsi="Josefin Sans" w:cs="Josefin Sans"/>
                <w:b/>
                <w:sz w:val="22"/>
                <w:szCs w:val="22"/>
              </w:rPr>
              <w:t>R</w:t>
            </w:r>
            <w:r w:rsidRPr="00E65AD6">
              <w:rPr>
                <w:rFonts w:ascii="Josefin Sans" w:eastAsia="Josefin Sans" w:hAnsi="Josefin Sans" w:cs="Josefin Sans"/>
                <w:b/>
                <w:sz w:val="22"/>
                <w:szCs w:val="22"/>
              </w:rPr>
              <w:t xml:space="preserve">isco de </w:t>
            </w:r>
            <w:r>
              <w:rPr>
                <w:rFonts w:ascii="Josefin Sans" w:eastAsia="Josefin Sans" w:hAnsi="Josefin Sans" w:cs="Josefin Sans"/>
                <w:b/>
                <w:sz w:val="22"/>
                <w:szCs w:val="22"/>
              </w:rPr>
              <w:t>C</w:t>
            </w:r>
            <w:r w:rsidRPr="00E65AD6">
              <w:rPr>
                <w:rFonts w:ascii="Josefin Sans" w:eastAsia="Josefin Sans" w:hAnsi="Josefin Sans" w:cs="Josefin Sans"/>
                <w:b/>
                <w:sz w:val="22"/>
                <w:szCs w:val="22"/>
              </w:rPr>
              <w:t>oncentração</w:t>
            </w:r>
            <w:r w:rsidRPr="00E65AD6">
              <w:rPr>
                <w:rFonts w:ascii="Josefin Sans" w:eastAsia="Josefin Sans" w:hAnsi="Josefin Sans" w:cs="Josefin Sans"/>
                <w:bCs/>
                <w:sz w:val="22"/>
                <w:szCs w:val="22"/>
              </w:rPr>
              <w:t xml:space="preserve">: </w:t>
            </w:r>
            <w:r w:rsidR="00294C8E" w:rsidRPr="00E65AD6">
              <w:rPr>
                <w:rFonts w:ascii="Josefin Sans" w:eastAsia="Josefin Sans" w:hAnsi="Josefin Sans" w:cs="Josefin Sans"/>
                <w:bCs/>
                <w:sz w:val="22"/>
                <w:szCs w:val="22"/>
              </w:rPr>
              <w:t xml:space="preserve">a concentração de investimento do FUNDO e/ou dos Fundos de Investimento, ativo financeiro, modalidade operacional ou mercado pode potencializar a </w:t>
            </w:r>
            <w:r w:rsidR="00294C8E" w:rsidRPr="00E65AD6">
              <w:rPr>
                <w:rFonts w:ascii="Josefin Sans" w:eastAsia="Josefin Sans" w:hAnsi="Josefin Sans" w:cs="Josefin Sans"/>
                <w:bCs/>
                <w:sz w:val="22"/>
                <w:szCs w:val="22"/>
              </w:rPr>
              <w:lastRenderedPageBreak/>
              <w:t xml:space="preserve">exposição da carteira e/ou carteira de investimento dos Fundos de Investimento aos riscos mencionados nos itens anteriores. </w:t>
            </w:r>
          </w:p>
          <w:p w14:paraId="51387A9D" w14:textId="4D7DF688" w:rsidR="00294C8E" w:rsidRPr="00E65AD6" w:rsidRDefault="00E65AD6" w:rsidP="00294C8E">
            <w:pPr>
              <w:numPr>
                <w:ilvl w:val="1"/>
                <w:numId w:val="22"/>
              </w:numPr>
              <w:pBdr>
                <w:top w:val="nil"/>
                <w:left w:val="nil"/>
                <w:bottom w:val="nil"/>
                <w:right w:val="nil"/>
                <w:between w:val="nil"/>
              </w:pBdr>
              <w:tabs>
                <w:tab w:val="left" w:pos="584"/>
              </w:tabs>
              <w:spacing w:after="120"/>
              <w:ind w:right="37"/>
              <w:jc w:val="both"/>
              <w:rPr>
                <w:rFonts w:ascii="Josefin Sans" w:eastAsia="Josefin Sans" w:hAnsi="Josefin Sans" w:cs="Josefin Sans"/>
                <w:bCs/>
                <w:sz w:val="22"/>
                <w:szCs w:val="22"/>
              </w:rPr>
            </w:pPr>
            <w:r>
              <w:rPr>
                <w:rFonts w:ascii="Josefin Sans" w:eastAsia="Josefin Sans" w:hAnsi="Josefin Sans" w:cs="Josefin Sans"/>
                <w:b/>
                <w:sz w:val="22"/>
                <w:szCs w:val="22"/>
              </w:rPr>
              <w:t>R</w:t>
            </w:r>
            <w:r w:rsidRPr="00E65AD6">
              <w:rPr>
                <w:rFonts w:ascii="Josefin Sans" w:eastAsia="Josefin Sans" w:hAnsi="Josefin Sans" w:cs="Josefin Sans"/>
                <w:b/>
                <w:sz w:val="22"/>
                <w:szCs w:val="22"/>
              </w:rPr>
              <w:t xml:space="preserve">isco </w:t>
            </w:r>
            <w:r>
              <w:rPr>
                <w:rFonts w:ascii="Josefin Sans" w:eastAsia="Josefin Sans" w:hAnsi="Josefin Sans" w:cs="Josefin Sans"/>
                <w:b/>
                <w:sz w:val="22"/>
                <w:szCs w:val="22"/>
              </w:rPr>
              <w:t>C</w:t>
            </w:r>
            <w:r w:rsidRPr="00E65AD6">
              <w:rPr>
                <w:rFonts w:ascii="Josefin Sans" w:eastAsia="Josefin Sans" w:hAnsi="Josefin Sans" w:cs="Josefin Sans"/>
                <w:b/>
                <w:sz w:val="22"/>
                <w:szCs w:val="22"/>
              </w:rPr>
              <w:t>ambial</w:t>
            </w:r>
            <w:r w:rsidRPr="00E65AD6">
              <w:rPr>
                <w:rFonts w:ascii="Josefin Sans" w:eastAsia="Josefin Sans" w:hAnsi="Josefin Sans" w:cs="Josefin Sans"/>
                <w:bCs/>
                <w:sz w:val="22"/>
                <w:szCs w:val="22"/>
              </w:rPr>
              <w:t xml:space="preserve">: </w:t>
            </w:r>
            <w:r w:rsidR="00294C8E" w:rsidRPr="00E65AD6">
              <w:rPr>
                <w:rFonts w:ascii="Josefin Sans" w:eastAsia="Josefin Sans" w:hAnsi="Josefin Sans" w:cs="Josefin Sans"/>
                <w:bCs/>
                <w:sz w:val="22"/>
                <w:szCs w:val="22"/>
              </w:rPr>
              <w:t xml:space="preserve">As condições econômicas nacionais e internacionais podem afetar o mercado resultando em alterações nas taxas de câmbio e juros e nos preços dos ativos financeiros em geral, bem como afetar o desempenho do FUNDO. </w:t>
            </w:r>
          </w:p>
          <w:p w14:paraId="18C9573B" w14:textId="72E007F8" w:rsidR="00294C8E" w:rsidRPr="00E65AD6" w:rsidRDefault="00E65AD6" w:rsidP="00294C8E">
            <w:pPr>
              <w:numPr>
                <w:ilvl w:val="1"/>
                <w:numId w:val="22"/>
              </w:numPr>
              <w:pBdr>
                <w:top w:val="nil"/>
                <w:left w:val="nil"/>
                <w:bottom w:val="nil"/>
                <w:right w:val="nil"/>
                <w:between w:val="nil"/>
              </w:pBdr>
              <w:tabs>
                <w:tab w:val="left" w:pos="584"/>
              </w:tabs>
              <w:spacing w:after="120"/>
              <w:ind w:right="37"/>
              <w:jc w:val="both"/>
              <w:rPr>
                <w:rFonts w:ascii="Josefin Sans" w:hAnsi="Josefin Sans"/>
                <w:sz w:val="22"/>
                <w:szCs w:val="22"/>
              </w:rPr>
            </w:pPr>
            <w:r>
              <w:rPr>
                <w:rFonts w:ascii="Josefin Sans" w:eastAsia="Josefin Sans" w:hAnsi="Josefin Sans" w:cs="Josefin Sans"/>
                <w:b/>
                <w:sz w:val="22"/>
                <w:szCs w:val="22"/>
              </w:rPr>
              <w:t>R</w:t>
            </w:r>
            <w:r w:rsidRPr="00E65AD6">
              <w:rPr>
                <w:rFonts w:ascii="Josefin Sans" w:eastAsia="Josefin Sans" w:hAnsi="Josefin Sans" w:cs="Josefin Sans"/>
                <w:b/>
                <w:sz w:val="22"/>
                <w:szCs w:val="22"/>
              </w:rPr>
              <w:t xml:space="preserve">isco </w:t>
            </w:r>
            <w:r>
              <w:rPr>
                <w:rFonts w:ascii="Josefin Sans" w:eastAsia="Josefin Sans" w:hAnsi="Josefin Sans" w:cs="Josefin Sans"/>
                <w:b/>
                <w:sz w:val="22"/>
                <w:szCs w:val="22"/>
              </w:rPr>
              <w:t>R</w:t>
            </w:r>
            <w:r w:rsidRPr="00E65AD6">
              <w:rPr>
                <w:rFonts w:ascii="Josefin Sans" w:eastAsia="Josefin Sans" w:hAnsi="Josefin Sans" w:cs="Josefin Sans"/>
                <w:b/>
                <w:sz w:val="22"/>
                <w:szCs w:val="22"/>
              </w:rPr>
              <w:t xml:space="preserve">elacionado aos </w:t>
            </w:r>
            <w:r>
              <w:rPr>
                <w:rFonts w:ascii="Josefin Sans" w:eastAsia="Josefin Sans" w:hAnsi="Josefin Sans" w:cs="Josefin Sans"/>
                <w:b/>
                <w:sz w:val="22"/>
                <w:szCs w:val="22"/>
              </w:rPr>
              <w:t>F</w:t>
            </w:r>
            <w:r w:rsidRPr="00E65AD6">
              <w:rPr>
                <w:rFonts w:ascii="Josefin Sans" w:eastAsia="Josefin Sans" w:hAnsi="Josefin Sans" w:cs="Josefin Sans"/>
                <w:b/>
                <w:sz w:val="22"/>
                <w:szCs w:val="22"/>
              </w:rPr>
              <w:t xml:space="preserve">undos de </w:t>
            </w:r>
            <w:r>
              <w:rPr>
                <w:rFonts w:ascii="Josefin Sans" w:eastAsia="Josefin Sans" w:hAnsi="Josefin Sans" w:cs="Josefin Sans"/>
                <w:b/>
                <w:sz w:val="22"/>
                <w:szCs w:val="22"/>
              </w:rPr>
              <w:t>I</w:t>
            </w:r>
            <w:r w:rsidRPr="00E65AD6">
              <w:rPr>
                <w:rFonts w:ascii="Josefin Sans" w:eastAsia="Josefin Sans" w:hAnsi="Josefin Sans" w:cs="Josefin Sans"/>
                <w:b/>
                <w:sz w:val="22"/>
                <w:szCs w:val="22"/>
              </w:rPr>
              <w:t>nvestimento:</w:t>
            </w:r>
            <w:r w:rsidRPr="00E65AD6">
              <w:rPr>
                <w:rFonts w:ascii="Josefin Sans" w:eastAsia="Josefin Sans" w:hAnsi="Josefin Sans" w:cs="Josefin Sans"/>
                <w:bCs/>
                <w:sz w:val="22"/>
                <w:szCs w:val="22"/>
              </w:rPr>
              <w:t xml:space="preserve"> </w:t>
            </w:r>
            <w:r w:rsidR="00294C8E" w:rsidRPr="00E65AD6">
              <w:rPr>
                <w:rFonts w:ascii="Josefin Sans" w:eastAsia="Josefin Sans" w:hAnsi="Josefin Sans" w:cs="Josefin Sans"/>
                <w:bCs/>
                <w:sz w:val="22"/>
                <w:szCs w:val="22"/>
              </w:rPr>
              <w:t>O FUNDO, na qualidade de cotistas dos Fundos de Investimento, está sujeito a todos os riscos envolvidos nas aplicações realizadas pelos Fundos de Investimento. O ADMINISTRADOR não tem qualquer poder de decisão ou interferência na composição da carteira de investimento ou na definição de estratégia de gestão dos Fundos de Investimento de terceiros.</w:t>
            </w:r>
            <w:r w:rsidR="00294C8E" w:rsidRPr="00E65AD6">
              <w:rPr>
                <w:rFonts w:ascii="Josefin Sans" w:hAnsi="Josefin Sans"/>
                <w:sz w:val="22"/>
                <w:szCs w:val="22"/>
              </w:rPr>
              <w:t xml:space="preserve"> </w:t>
            </w:r>
          </w:p>
        </w:tc>
      </w:tr>
    </w:tbl>
    <w:p w14:paraId="18C9573D" w14:textId="77777777" w:rsidR="00AC4EFA" w:rsidRPr="00E65AD6" w:rsidRDefault="00AC4EFA">
      <w:pPr>
        <w:pBdr>
          <w:top w:val="nil"/>
          <w:left w:val="nil"/>
          <w:bottom w:val="nil"/>
          <w:right w:val="nil"/>
          <w:between w:val="nil"/>
        </w:pBdr>
        <w:spacing w:before="80" w:after="80" w:line="240" w:lineRule="auto"/>
        <w:jc w:val="both"/>
        <w:rPr>
          <w:rFonts w:ascii="Josefin Sans" w:hAnsi="Josefin Sans" w:cs="Calibri"/>
          <w:color w:val="231F20"/>
        </w:rPr>
      </w:pPr>
    </w:p>
    <w:tbl>
      <w:tblPr>
        <w:tblStyle w:val="ad"/>
        <w:tblW w:w="10490" w:type="dxa"/>
        <w:tblInd w:w="-572" w:type="dxa"/>
        <w:tblBorders>
          <w:top w:val="nil"/>
          <w:left w:val="nil"/>
          <w:bottom w:val="nil"/>
          <w:right w:val="nil"/>
          <w:insideH w:val="nil"/>
          <w:insideV w:val="nil"/>
        </w:tblBorders>
        <w:tblLayout w:type="fixed"/>
        <w:tblLook w:val="0400" w:firstRow="0" w:lastRow="0" w:firstColumn="0" w:lastColumn="0" w:noHBand="0" w:noVBand="1"/>
      </w:tblPr>
      <w:tblGrid>
        <w:gridCol w:w="10490"/>
      </w:tblGrid>
      <w:tr w:rsidR="00AC4EFA" w:rsidRPr="00E65AD6" w14:paraId="18C9573F" w14:textId="77777777">
        <w:trPr>
          <w:trHeight w:val="128"/>
        </w:trPr>
        <w:tc>
          <w:tcPr>
            <w:tcW w:w="10490" w:type="dxa"/>
            <w:tcBorders>
              <w:top w:val="single" w:sz="4" w:space="0" w:color="000000"/>
              <w:left w:val="single" w:sz="4" w:space="0" w:color="000000"/>
              <w:bottom w:val="single" w:sz="4" w:space="0" w:color="000000"/>
              <w:right w:val="single" w:sz="4" w:space="0" w:color="000000"/>
            </w:tcBorders>
            <w:shd w:val="clear" w:color="auto" w:fill="000000"/>
          </w:tcPr>
          <w:p w14:paraId="18C9573E" w14:textId="77777777" w:rsidR="00AC4EFA" w:rsidRPr="00E65AD6" w:rsidRDefault="006900B4">
            <w:pPr>
              <w:pStyle w:val="Ttulo1"/>
              <w:keepNext/>
              <w:numPr>
                <w:ilvl w:val="0"/>
                <w:numId w:val="19"/>
              </w:numPr>
              <w:pBdr>
                <w:top w:val="none" w:sz="0" w:space="0" w:color="000000"/>
                <w:left w:val="none" w:sz="0" w:space="0" w:color="000000"/>
                <w:bottom w:val="none" w:sz="0" w:space="0" w:color="000000"/>
                <w:right w:val="none" w:sz="0" w:space="0" w:color="000000"/>
                <w:between w:val="none" w:sz="0" w:space="0" w:color="000000"/>
              </w:pBdr>
              <w:tabs>
                <w:tab w:val="left" w:pos="543"/>
              </w:tabs>
              <w:spacing w:before="0" w:after="120"/>
              <w:ind w:left="169"/>
              <w:rPr>
                <w:rFonts w:ascii="Josefin Sans" w:eastAsia="Josefin Sans" w:hAnsi="Josefin Sans" w:cs="Josefin Sans"/>
                <w:sz w:val="22"/>
                <w:szCs w:val="22"/>
              </w:rPr>
            </w:pPr>
            <w:r w:rsidRPr="00E65AD6">
              <w:rPr>
                <w:rFonts w:ascii="Josefin Sans" w:eastAsia="Josefin Sans" w:hAnsi="Josefin Sans" w:cs="Josefin Sans"/>
                <w:smallCaps/>
                <w:sz w:val="22"/>
                <w:szCs w:val="22"/>
              </w:rPr>
              <w:t>Da Dissolução E Da Liquidação</w:t>
            </w:r>
          </w:p>
        </w:tc>
      </w:tr>
      <w:tr w:rsidR="00AC4EFA" w:rsidRPr="00E65AD6" w14:paraId="18C9574D" w14:textId="77777777" w:rsidTr="000C4DA9">
        <w:trPr>
          <w:trHeight w:val="629"/>
        </w:trPr>
        <w:tc>
          <w:tcPr>
            <w:tcW w:w="10490" w:type="dxa"/>
            <w:tcBorders>
              <w:top w:val="single" w:sz="4" w:space="0" w:color="000000"/>
              <w:left w:val="single" w:sz="4" w:space="0" w:color="000000"/>
              <w:bottom w:val="single" w:sz="4" w:space="0" w:color="000000"/>
              <w:right w:val="single" w:sz="4" w:space="0" w:color="000000"/>
            </w:tcBorders>
          </w:tcPr>
          <w:p w14:paraId="18C95740" w14:textId="77777777" w:rsidR="00AC4EFA" w:rsidRPr="00E65AD6" w:rsidRDefault="006900B4">
            <w:pPr>
              <w:numPr>
                <w:ilvl w:val="0"/>
                <w:numId w:val="6"/>
              </w:numPr>
              <w:pBdr>
                <w:top w:val="nil"/>
                <w:left w:val="nil"/>
                <w:bottom w:val="nil"/>
                <w:right w:val="nil"/>
                <w:between w:val="nil"/>
              </w:pBdr>
              <w:tabs>
                <w:tab w:val="left" w:pos="604"/>
              </w:tabs>
              <w:spacing w:after="120"/>
              <w:ind w:left="0"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 Classe</w:t>
            </w:r>
            <w:r w:rsidRPr="00E65AD6">
              <w:rPr>
                <w:rFonts w:ascii="Josefin Sans" w:eastAsia="Josefin Sans" w:hAnsi="Josefin Sans" w:cs="Josefin Sans"/>
                <w:b/>
                <w:color w:val="000000"/>
                <w:sz w:val="22"/>
                <w:szCs w:val="22"/>
              </w:rPr>
              <w:t xml:space="preserve"> </w:t>
            </w:r>
            <w:r w:rsidRPr="00E65AD6">
              <w:rPr>
                <w:rFonts w:ascii="Josefin Sans" w:eastAsia="Josefin Sans" w:hAnsi="Josefin Sans" w:cs="Josefin Sans"/>
                <w:color w:val="000000"/>
                <w:sz w:val="22"/>
                <w:szCs w:val="22"/>
              </w:rPr>
              <w:t>será liquidada por deliberação da assembleia especial de cotistas especialmente convocada para esse fim ou na ocorrência dos eventos de liquidação descritos neste regulamento.</w:t>
            </w:r>
          </w:p>
          <w:p w14:paraId="18C95741" w14:textId="77777777" w:rsidR="00AC4EFA" w:rsidRPr="00E65AD6" w:rsidRDefault="006900B4">
            <w:pPr>
              <w:numPr>
                <w:ilvl w:val="1"/>
                <w:numId w:val="6"/>
              </w:numPr>
              <w:pBdr>
                <w:top w:val="nil"/>
                <w:left w:val="nil"/>
                <w:bottom w:val="nil"/>
                <w:right w:val="nil"/>
                <w:between w:val="nil"/>
              </w:pBdr>
              <w:tabs>
                <w:tab w:val="left" w:pos="604"/>
              </w:tabs>
              <w:spacing w:after="120"/>
              <w:ind w:left="0"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Na hipótese prevista por este artigo, o Administrador deve promover a divisão do patrimônio da Classe entre seus cotistas, na proporção de suas cotas, no prazo definido pela assembleia especial cotistas que aprovar a liquidação da Classe.</w:t>
            </w:r>
          </w:p>
          <w:p w14:paraId="18C95742" w14:textId="77777777" w:rsidR="00AC4EFA" w:rsidRPr="00E65AD6" w:rsidRDefault="006900B4">
            <w:pPr>
              <w:numPr>
                <w:ilvl w:val="0"/>
                <w:numId w:val="6"/>
              </w:numPr>
              <w:pBdr>
                <w:top w:val="nil"/>
                <w:left w:val="nil"/>
                <w:bottom w:val="nil"/>
                <w:right w:val="nil"/>
                <w:between w:val="nil"/>
              </w:pBdr>
              <w:tabs>
                <w:tab w:val="left" w:pos="604"/>
              </w:tabs>
              <w:spacing w:after="120"/>
              <w:ind w:left="0"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São eventos de liquidação antecipada, independentemente de deliberação em assembleia geral de cotistas:</w:t>
            </w:r>
          </w:p>
          <w:p w14:paraId="18C95743" w14:textId="77777777" w:rsidR="00AC4EFA" w:rsidRPr="00E65AD6" w:rsidRDefault="006900B4">
            <w:pPr>
              <w:numPr>
                <w:ilvl w:val="0"/>
                <w:numId w:val="9"/>
              </w:numPr>
              <w:pBdr>
                <w:top w:val="nil"/>
                <w:left w:val="nil"/>
                <w:bottom w:val="nil"/>
                <w:right w:val="nil"/>
                <w:between w:val="nil"/>
              </w:pBdr>
              <w:tabs>
                <w:tab w:val="left" w:pos="604"/>
              </w:tabs>
              <w:spacing w:after="120"/>
              <w:ind w:left="889" w:right="37" w:hanging="426"/>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caso a Classe passe a ter patrimônio líquido inferior a 10% do patrimônio inicial da Classe, representado pelas cotas subscritas na primeira emissão realizada pela classe;</w:t>
            </w:r>
          </w:p>
          <w:p w14:paraId="18C95744" w14:textId="77777777" w:rsidR="00AC4EFA" w:rsidRPr="00E65AD6" w:rsidRDefault="006900B4">
            <w:pPr>
              <w:numPr>
                <w:ilvl w:val="0"/>
                <w:numId w:val="9"/>
              </w:numPr>
              <w:pBdr>
                <w:top w:val="nil"/>
                <w:left w:val="nil"/>
                <w:bottom w:val="nil"/>
                <w:right w:val="nil"/>
                <w:between w:val="nil"/>
              </w:pBdr>
              <w:tabs>
                <w:tab w:val="left" w:pos="604"/>
              </w:tabs>
              <w:spacing w:after="120"/>
              <w:ind w:left="889" w:right="37" w:hanging="426"/>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descredenciamento, destituição ou renúncia do Administrador, caso, no prazo máximo de 90 dias da respectiva ocorrência, a assembleia geral de </w:t>
            </w:r>
            <w:proofErr w:type="gramStart"/>
            <w:r w:rsidRPr="00E65AD6">
              <w:rPr>
                <w:rFonts w:ascii="Josefin Sans" w:eastAsia="Josefin Sans" w:hAnsi="Josefin Sans" w:cs="Josefin Sans"/>
                <w:color w:val="000000"/>
                <w:sz w:val="22"/>
                <w:szCs w:val="22"/>
              </w:rPr>
              <w:t>cotistas convocada</w:t>
            </w:r>
            <w:proofErr w:type="gramEnd"/>
            <w:r w:rsidRPr="00E65AD6">
              <w:rPr>
                <w:rFonts w:ascii="Josefin Sans" w:eastAsia="Josefin Sans" w:hAnsi="Josefin Sans" w:cs="Josefin Sans"/>
                <w:color w:val="000000"/>
                <w:sz w:val="22"/>
                <w:szCs w:val="22"/>
              </w:rPr>
              <w:t xml:space="preserve"> para o fim de substituí-lo não alcance quórum suficiente ou não delibere sobre a liquidação da classe; e</w:t>
            </w:r>
          </w:p>
          <w:p w14:paraId="18C95745" w14:textId="77777777" w:rsidR="00AC4EFA" w:rsidRPr="00E65AD6" w:rsidRDefault="006900B4">
            <w:pPr>
              <w:numPr>
                <w:ilvl w:val="0"/>
                <w:numId w:val="9"/>
              </w:numPr>
              <w:pBdr>
                <w:top w:val="nil"/>
                <w:left w:val="nil"/>
                <w:bottom w:val="nil"/>
                <w:right w:val="nil"/>
                <w:between w:val="nil"/>
              </w:pBdr>
              <w:tabs>
                <w:tab w:val="left" w:pos="604"/>
              </w:tabs>
              <w:spacing w:after="120"/>
              <w:ind w:left="889" w:right="37" w:hanging="426"/>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ocorrência de patrimônio líquido negativo após consumidas as reservas mantidas no patrimônio da Classe, bem como após a alienação dos demais ativos da carteira da Classe.</w:t>
            </w:r>
          </w:p>
          <w:p w14:paraId="18C95746" w14:textId="77777777" w:rsidR="00AC4EFA" w:rsidRPr="00E65AD6" w:rsidRDefault="006900B4">
            <w:pPr>
              <w:numPr>
                <w:ilvl w:val="0"/>
                <w:numId w:val="6"/>
              </w:numPr>
              <w:pBdr>
                <w:top w:val="nil"/>
                <w:left w:val="nil"/>
                <w:bottom w:val="nil"/>
                <w:right w:val="nil"/>
                <w:between w:val="nil"/>
              </w:pBdr>
              <w:tabs>
                <w:tab w:val="left" w:pos="604"/>
              </w:tabs>
              <w:spacing w:after="120"/>
              <w:ind w:left="0"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Os seguintes eventos obrigam o Administrador a verificar se o patrimônio líquido da Classe está negativo: </w:t>
            </w:r>
          </w:p>
          <w:p w14:paraId="18C95747" w14:textId="77777777" w:rsidR="00AC4EFA" w:rsidRPr="00E65AD6" w:rsidRDefault="006900B4">
            <w:pPr>
              <w:numPr>
                <w:ilvl w:val="0"/>
                <w:numId w:val="16"/>
              </w:numPr>
              <w:pBdr>
                <w:top w:val="nil"/>
                <w:left w:val="nil"/>
                <w:bottom w:val="nil"/>
                <w:right w:val="nil"/>
                <w:between w:val="nil"/>
              </w:pBdr>
              <w:tabs>
                <w:tab w:val="left" w:pos="605"/>
              </w:tabs>
              <w:spacing w:after="120"/>
              <w:ind w:left="889" w:right="37" w:hanging="426"/>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Caso tenha ciência de qualquer pedido de declaração judicial de insolvência do patrimônio da Classe; </w:t>
            </w:r>
          </w:p>
          <w:p w14:paraId="18C95748" w14:textId="77777777" w:rsidR="00AC4EFA" w:rsidRPr="00E65AD6" w:rsidRDefault="006900B4">
            <w:pPr>
              <w:numPr>
                <w:ilvl w:val="0"/>
                <w:numId w:val="16"/>
              </w:numPr>
              <w:pBdr>
                <w:top w:val="nil"/>
                <w:left w:val="nil"/>
                <w:bottom w:val="nil"/>
                <w:right w:val="nil"/>
                <w:between w:val="nil"/>
              </w:pBdr>
              <w:tabs>
                <w:tab w:val="left" w:pos="604"/>
              </w:tabs>
              <w:spacing w:after="120"/>
              <w:ind w:left="889" w:right="37" w:hanging="426"/>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houver ocorrência de saldo de caixa negativo em qualquer das contas, de qualquer natureza, por meio das quais a Classe opera com ativos de sua carteira; </w:t>
            </w:r>
          </w:p>
          <w:p w14:paraId="18C95749" w14:textId="77777777" w:rsidR="00AC4EFA" w:rsidRPr="00E65AD6" w:rsidRDefault="006900B4">
            <w:pPr>
              <w:numPr>
                <w:ilvl w:val="0"/>
                <w:numId w:val="16"/>
              </w:numPr>
              <w:pBdr>
                <w:top w:val="nil"/>
                <w:left w:val="nil"/>
                <w:bottom w:val="nil"/>
                <w:right w:val="nil"/>
                <w:between w:val="nil"/>
              </w:pBdr>
              <w:tabs>
                <w:tab w:val="left" w:pos="604"/>
              </w:tabs>
              <w:spacing w:after="120"/>
              <w:ind w:left="889" w:right="37" w:hanging="426"/>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houver oscilações relevantes nos valores dos ativos nos quais a classe invista e de que tome conhecimento; e </w:t>
            </w:r>
          </w:p>
          <w:p w14:paraId="18C9574A" w14:textId="77777777" w:rsidR="00AC4EFA" w:rsidRPr="00E65AD6" w:rsidRDefault="006900B4">
            <w:pPr>
              <w:numPr>
                <w:ilvl w:val="0"/>
                <w:numId w:val="16"/>
              </w:numPr>
              <w:pBdr>
                <w:top w:val="nil"/>
                <w:left w:val="nil"/>
                <w:bottom w:val="nil"/>
                <w:right w:val="nil"/>
                <w:between w:val="nil"/>
              </w:pBdr>
              <w:tabs>
                <w:tab w:val="left" w:pos="604"/>
              </w:tabs>
              <w:spacing w:after="120"/>
              <w:ind w:left="889" w:right="37" w:hanging="426"/>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houver divulgação de fato relevante no que diz respeito aos ativos integrantes da carteira da Classe.</w:t>
            </w:r>
          </w:p>
          <w:p w14:paraId="18C9574B" w14:textId="77777777" w:rsidR="00AC4EFA" w:rsidRPr="00E65AD6" w:rsidRDefault="006900B4">
            <w:pPr>
              <w:numPr>
                <w:ilvl w:val="0"/>
                <w:numId w:val="6"/>
              </w:numPr>
              <w:pBdr>
                <w:top w:val="nil"/>
                <w:left w:val="nil"/>
                <w:bottom w:val="nil"/>
                <w:right w:val="nil"/>
                <w:between w:val="nil"/>
              </w:pBdr>
              <w:tabs>
                <w:tab w:val="left" w:pos="604"/>
              </w:tabs>
              <w:spacing w:after="120"/>
              <w:ind w:left="0"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Caso o Administrador verifique que o patrimônio líquido da classe está negativo, deve cumprir as exigências do artigo 122 da RCVM 175. </w:t>
            </w:r>
          </w:p>
          <w:p w14:paraId="18C9574C" w14:textId="77777777" w:rsidR="00AC4EFA" w:rsidRPr="00E65AD6" w:rsidRDefault="006900B4">
            <w:pPr>
              <w:numPr>
                <w:ilvl w:val="0"/>
                <w:numId w:val="6"/>
              </w:numPr>
              <w:pBdr>
                <w:top w:val="nil"/>
                <w:left w:val="nil"/>
                <w:bottom w:val="nil"/>
                <w:right w:val="nil"/>
                <w:between w:val="nil"/>
              </w:pBdr>
              <w:tabs>
                <w:tab w:val="left" w:pos="604"/>
              </w:tabs>
              <w:spacing w:after="120"/>
              <w:ind w:left="0"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Após pagamento aos cotistas do valor total de suas cotas, por meio de amortização ou resgate, o Administrador deve efetuar o cancelamento do registro de funcionamento da Classe, no prazo de 15 dias, da ata da assembleia especial de cotistas que tenha deliberado a liquidação, se for o caso, e do termo de encerramento firmado pelo Administrador, decorrente do resgate ou amortização total de cotas.</w:t>
            </w:r>
          </w:p>
        </w:tc>
      </w:tr>
    </w:tbl>
    <w:p w14:paraId="18C9574F" w14:textId="77777777" w:rsidR="00AC4EFA" w:rsidRPr="00E65AD6" w:rsidRDefault="00AC4EFA">
      <w:pPr>
        <w:spacing w:after="120" w:line="240" w:lineRule="auto"/>
        <w:rPr>
          <w:rFonts w:ascii="Josefin Sans" w:eastAsia="Josefin Sans" w:hAnsi="Josefin Sans" w:cs="Josefin Sans"/>
        </w:rPr>
      </w:pPr>
    </w:p>
    <w:p w14:paraId="4CFD9FE6" w14:textId="77777777" w:rsidR="000C76B0" w:rsidRPr="00E65AD6" w:rsidRDefault="000C76B0" w:rsidP="000C76B0">
      <w:pPr>
        <w:spacing w:line="32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 xml:space="preserve">São Paulo, </w:t>
      </w:r>
      <w:r w:rsidRPr="0044147B">
        <w:rPr>
          <w:rFonts w:ascii="Josefin Sans" w:eastAsia="Josefin Sans" w:hAnsi="Josefin Sans" w:cs="Josefin Sans"/>
          <w:color w:val="000000"/>
        </w:rPr>
        <w:t>29 de abril de 2024.</w:t>
      </w:r>
    </w:p>
    <w:p w14:paraId="18C95751" w14:textId="77777777" w:rsidR="00AC4EFA" w:rsidRPr="00E65AD6" w:rsidRDefault="006900B4">
      <w:pPr>
        <w:spacing w:line="32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VÓRTX DISTRIBUIDORA DE TÍTULOS E VALORES MOBILIÁRIOS LTDA.</w:t>
      </w:r>
    </w:p>
    <w:p w14:paraId="18C95752" w14:textId="77777777" w:rsidR="00AC4EFA" w:rsidRPr="00E65AD6" w:rsidRDefault="006900B4">
      <w:pPr>
        <w:spacing w:line="320" w:lineRule="auto"/>
        <w:jc w:val="center"/>
        <w:rPr>
          <w:rFonts w:ascii="Josefin Sans" w:eastAsia="Josefin Sans" w:hAnsi="Josefin Sans" w:cs="Josefin Sans"/>
          <w:i/>
          <w:color w:val="000000"/>
        </w:rPr>
      </w:pPr>
      <w:r w:rsidRPr="00E65AD6">
        <w:rPr>
          <w:rFonts w:ascii="Josefin Sans" w:eastAsia="Josefin Sans" w:hAnsi="Josefin Sans" w:cs="Josefin Sans"/>
          <w:i/>
          <w:color w:val="000000"/>
        </w:rPr>
        <w:t>Administradora</w:t>
      </w:r>
    </w:p>
    <w:tbl>
      <w:tblPr>
        <w:tblStyle w:val="ae"/>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AC4EFA" w:rsidRPr="00E65AD6" w14:paraId="18C9575A" w14:textId="77777777">
        <w:tc>
          <w:tcPr>
            <w:tcW w:w="10490" w:type="dxa"/>
            <w:shd w:val="clear" w:color="auto" w:fill="000000"/>
          </w:tcPr>
          <w:p w14:paraId="18C95757" w14:textId="72E78E6E" w:rsidR="00AC4EFA" w:rsidRPr="00E65AD6" w:rsidRDefault="00C45F1E">
            <w:pPr>
              <w:pStyle w:val="Ttulo1"/>
              <w:keepNext/>
              <w:pBdr>
                <w:top w:val="none" w:sz="0" w:space="0" w:color="000000"/>
                <w:left w:val="none" w:sz="0" w:space="0" w:color="000000"/>
                <w:bottom w:val="none" w:sz="0" w:space="0" w:color="000000"/>
                <w:right w:val="none" w:sz="0" w:space="0" w:color="000000"/>
              </w:pBdr>
              <w:tabs>
                <w:tab w:val="left" w:pos="179"/>
              </w:tabs>
              <w:spacing w:before="0" w:after="120"/>
              <w:ind w:left="-104"/>
              <w:rPr>
                <w:rFonts w:ascii="Josefin Sans" w:eastAsia="Josefin Sans" w:hAnsi="Josefin Sans" w:cs="Josefin Sans"/>
                <w:smallCaps/>
                <w:sz w:val="22"/>
                <w:szCs w:val="22"/>
              </w:rPr>
            </w:pPr>
            <w:r w:rsidRPr="00E65AD6">
              <w:rPr>
                <w:rFonts w:ascii="Josefin Sans" w:eastAsia="Josefin Sans" w:hAnsi="Josefin Sans" w:cs="Josefin Sans"/>
                <w:smallCaps/>
                <w:sz w:val="22"/>
                <w:szCs w:val="22"/>
              </w:rPr>
              <w:lastRenderedPageBreak/>
              <w:t xml:space="preserve">APÊNDICE </w:t>
            </w:r>
            <w:r w:rsidR="006900B4" w:rsidRPr="00E65AD6">
              <w:rPr>
                <w:rFonts w:ascii="Josefin Sans" w:eastAsia="Josefin Sans" w:hAnsi="Josefin Sans" w:cs="Josefin Sans"/>
                <w:smallCaps/>
                <w:sz w:val="22"/>
                <w:szCs w:val="22"/>
              </w:rPr>
              <w:t>DESCRITIVO DA</w:t>
            </w:r>
          </w:p>
          <w:p w14:paraId="77DC821D" w14:textId="77777777" w:rsidR="00E65AD6" w:rsidRDefault="00E65AD6" w:rsidP="00C45F1E">
            <w:pPr>
              <w:pStyle w:val="Ttulo1"/>
              <w:keepNext/>
              <w:pBdr>
                <w:top w:val="none" w:sz="0" w:space="0" w:color="auto"/>
                <w:left w:val="none" w:sz="0" w:space="0" w:color="auto"/>
                <w:bottom w:val="none" w:sz="0" w:space="0" w:color="auto"/>
                <w:right w:val="none" w:sz="0" w:space="0" w:color="auto"/>
                <w:between w:val="none" w:sz="0" w:space="0" w:color="auto"/>
                <w:bar w:val="none" w:sz="0" w:color="auto"/>
              </w:pBdr>
              <w:tabs>
                <w:tab w:val="left" w:pos="179"/>
              </w:tabs>
              <w:spacing w:before="0" w:after="120"/>
              <w:ind w:left="-104"/>
              <w:rPr>
                <w:rFonts w:ascii="Josefin Sans" w:eastAsia="Josefin Sans" w:hAnsi="Josefin Sans" w:cs="Josefin Sans"/>
                <w:smallCaps/>
                <w:sz w:val="22"/>
                <w:szCs w:val="22"/>
              </w:rPr>
            </w:pPr>
          </w:p>
          <w:p w14:paraId="5F8F5769" w14:textId="35361BFD" w:rsidR="00C45F1E" w:rsidRPr="00E65AD6" w:rsidRDefault="006900B4" w:rsidP="00C45F1E">
            <w:pPr>
              <w:pStyle w:val="Ttulo1"/>
              <w:keepNext/>
              <w:pBdr>
                <w:top w:val="none" w:sz="0" w:space="0" w:color="auto"/>
                <w:left w:val="none" w:sz="0" w:space="0" w:color="auto"/>
                <w:bottom w:val="none" w:sz="0" w:space="0" w:color="auto"/>
                <w:right w:val="none" w:sz="0" w:space="0" w:color="auto"/>
                <w:between w:val="none" w:sz="0" w:space="0" w:color="auto"/>
                <w:bar w:val="none" w:sz="0" w:color="auto"/>
              </w:pBdr>
              <w:tabs>
                <w:tab w:val="left" w:pos="179"/>
              </w:tabs>
              <w:spacing w:before="0" w:after="120"/>
              <w:ind w:left="-104"/>
              <w:rPr>
                <w:rFonts w:ascii="Josefin Sans" w:eastAsia="Josefin Sans" w:hAnsi="Josefin Sans" w:cs="Josefin Sans"/>
                <w:smallCaps/>
                <w:sz w:val="22"/>
                <w:szCs w:val="22"/>
              </w:rPr>
            </w:pPr>
            <w:r w:rsidRPr="00E65AD6">
              <w:rPr>
                <w:rFonts w:ascii="Josefin Sans" w:eastAsia="Josefin Sans" w:hAnsi="Josefin Sans" w:cs="Josefin Sans"/>
                <w:smallCaps/>
                <w:sz w:val="22"/>
                <w:szCs w:val="22"/>
              </w:rPr>
              <w:t xml:space="preserve">IVI QUANT SUBCLASSE DE INVESTIMENTO EM MULTIMERCADO </w:t>
            </w:r>
          </w:p>
          <w:p w14:paraId="18C95759" w14:textId="77777777" w:rsidR="00AC4EFA" w:rsidRPr="00E65AD6" w:rsidRDefault="006900B4">
            <w:pPr>
              <w:spacing w:after="120"/>
              <w:ind w:right="-511"/>
              <w:jc w:val="center"/>
              <w:rPr>
                <w:rFonts w:ascii="Josefin Sans" w:eastAsia="Josefin Sans" w:hAnsi="Josefin Sans" w:cs="Josefin Sans"/>
                <w:sz w:val="22"/>
                <w:szCs w:val="22"/>
              </w:rPr>
            </w:pPr>
            <w:r w:rsidRPr="00E65AD6">
              <w:rPr>
                <w:rFonts w:ascii="Josefin Sans" w:eastAsia="Josefin Sans" w:hAnsi="Josefin Sans" w:cs="Josefin Sans"/>
                <w:smallCaps/>
                <w:sz w:val="22"/>
                <w:szCs w:val="22"/>
              </w:rPr>
              <w:t>(“Subclasse”)</w:t>
            </w:r>
          </w:p>
        </w:tc>
      </w:tr>
      <w:tr w:rsidR="00AC4EFA" w:rsidRPr="00E65AD6" w14:paraId="18C9575D" w14:textId="77777777">
        <w:trPr>
          <w:trHeight w:val="360"/>
        </w:trPr>
        <w:tc>
          <w:tcPr>
            <w:tcW w:w="10490" w:type="dxa"/>
            <w:shd w:val="clear" w:color="auto" w:fill="auto"/>
          </w:tcPr>
          <w:p w14:paraId="18C9575B" w14:textId="77777777" w:rsidR="00AC4EFA" w:rsidRPr="00E65AD6" w:rsidRDefault="00AC4EFA">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p>
          <w:p w14:paraId="18C9575C"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 xml:space="preserve">Público-alvo: </w:t>
            </w:r>
            <w:r w:rsidRPr="00E65AD6">
              <w:rPr>
                <w:rFonts w:ascii="Josefin Sans" w:eastAsia="Josefin Sans" w:hAnsi="Josefin Sans" w:cs="Josefin Sans"/>
                <w:color w:val="000000"/>
                <w:sz w:val="22"/>
                <w:szCs w:val="22"/>
              </w:rPr>
              <w:t>Investidores em Geral</w:t>
            </w:r>
          </w:p>
        </w:tc>
      </w:tr>
      <w:tr w:rsidR="00AC4EFA" w:rsidRPr="00E65AD6" w14:paraId="18C95761" w14:textId="77777777">
        <w:trPr>
          <w:trHeight w:val="360"/>
        </w:trPr>
        <w:tc>
          <w:tcPr>
            <w:tcW w:w="10490" w:type="dxa"/>
            <w:shd w:val="clear" w:color="auto" w:fill="auto"/>
          </w:tcPr>
          <w:p w14:paraId="18C9575E" w14:textId="77777777" w:rsidR="00AC4EFA" w:rsidRPr="00E65AD6" w:rsidRDefault="00AC4EFA">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p>
          <w:p w14:paraId="18C95760" w14:textId="343DA24F" w:rsidR="00AC4EFA" w:rsidRPr="00E65AD6" w:rsidRDefault="006900B4" w:rsidP="00C45F1E">
            <w:pPr>
              <w:pBdr>
                <w:top w:val="nil"/>
                <w:left w:val="nil"/>
                <w:bottom w:val="nil"/>
                <w:right w:val="nil"/>
                <w:between w:val="nil"/>
              </w:pBdr>
              <w:spacing w:after="120"/>
              <w:ind w:left="-567" w:right="-511"/>
              <w:jc w:val="center"/>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Responsabilidade dos cotistas:</w:t>
            </w:r>
            <w:r w:rsidR="00C45F1E" w:rsidRPr="00E65AD6">
              <w:rPr>
                <w:rFonts w:ascii="Josefin Sans" w:eastAsia="Josefin Sans" w:hAnsi="Josefin Sans" w:cs="Josefin Sans"/>
                <w:b/>
                <w:color w:val="000000"/>
                <w:sz w:val="22"/>
                <w:szCs w:val="22"/>
              </w:rPr>
              <w:t xml:space="preserve"> </w:t>
            </w:r>
            <w:r w:rsidRPr="00E65AD6">
              <w:rPr>
                <w:rFonts w:ascii="Josefin Sans" w:eastAsia="Josefin Sans" w:hAnsi="Josefin Sans" w:cs="Josefin Sans"/>
                <w:sz w:val="22"/>
                <w:szCs w:val="22"/>
              </w:rPr>
              <w:t>Ilimitada</w:t>
            </w:r>
          </w:p>
        </w:tc>
      </w:tr>
    </w:tbl>
    <w:p w14:paraId="18C95762" w14:textId="77777777" w:rsidR="00AC4EFA" w:rsidRPr="00E65AD6" w:rsidRDefault="00AC4EFA">
      <w:pPr>
        <w:spacing w:after="120" w:line="240" w:lineRule="auto"/>
        <w:ind w:right="-511"/>
        <w:jc w:val="both"/>
        <w:rPr>
          <w:rFonts w:ascii="Josefin Sans" w:eastAsia="Josefin Sans" w:hAnsi="Josefin Sans" w:cs="Josefin Sans"/>
        </w:rPr>
      </w:pPr>
    </w:p>
    <w:tbl>
      <w:tblPr>
        <w:tblStyle w:val="af"/>
        <w:tblW w:w="1049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0"/>
        <w:gridCol w:w="4960"/>
        <w:gridCol w:w="7"/>
      </w:tblGrid>
      <w:tr w:rsidR="00AC4EFA" w:rsidRPr="00E65AD6" w14:paraId="18C95764" w14:textId="77777777">
        <w:trPr>
          <w:gridAfter w:val="1"/>
          <w:wAfter w:w="7" w:type="dxa"/>
        </w:trPr>
        <w:tc>
          <w:tcPr>
            <w:tcW w:w="10490" w:type="dxa"/>
            <w:gridSpan w:val="2"/>
          </w:tcPr>
          <w:p w14:paraId="18C95763" w14:textId="77777777" w:rsidR="00AC4EFA" w:rsidRPr="00E65AD6" w:rsidRDefault="006900B4">
            <w:pPr>
              <w:pStyle w:val="Ttulo1"/>
              <w:keepNext/>
              <w:numPr>
                <w:ilvl w:val="0"/>
                <w:numId w:val="20"/>
              </w:numPr>
              <w:pBdr>
                <w:top w:val="none" w:sz="0" w:space="0" w:color="000000"/>
                <w:left w:val="none" w:sz="0" w:space="0" w:color="000000"/>
                <w:bottom w:val="none" w:sz="0" w:space="0" w:color="000000"/>
                <w:right w:val="none" w:sz="0" w:space="0" w:color="000000"/>
                <w:between w:val="none" w:sz="0" w:space="0" w:color="000000"/>
              </w:pBdr>
              <w:tabs>
                <w:tab w:val="left" w:pos="543"/>
              </w:tabs>
              <w:spacing w:before="0" w:after="120"/>
              <w:ind w:left="320"/>
              <w:rPr>
                <w:rFonts w:ascii="Josefin Sans" w:eastAsia="Josefin Sans" w:hAnsi="Josefin Sans" w:cs="Josefin Sans"/>
                <w:b w:val="0"/>
                <w:sz w:val="22"/>
                <w:szCs w:val="22"/>
              </w:rPr>
            </w:pPr>
            <w:r w:rsidRPr="00E65AD6">
              <w:rPr>
                <w:rFonts w:ascii="Josefin Sans" w:eastAsia="Josefin Sans" w:hAnsi="Josefin Sans" w:cs="Josefin Sans"/>
                <w:smallCaps/>
                <w:sz w:val="22"/>
                <w:szCs w:val="22"/>
              </w:rPr>
              <w:t>Da Taxa Global e Despesas da Classe</w:t>
            </w:r>
          </w:p>
        </w:tc>
      </w:tr>
      <w:tr w:rsidR="00AC4EFA" w:rsidRPr="00E65AD6" w14:paraId="18C9576B" w14:textId="77777777">
        <w:tc>
          <w:tcPr>
            <w:tcW w:w="5530" w:type="dxa"/>
          </w:tcPr>
          <w:p w14:paraId="18C95765" w14:textId="77777777" w:rsidR="00AC4EFA" w:rsidRPr="00E65AD6" w:rsidRDefault="00AC4EFA">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p>
          <w:p w14:paraId="18C95766"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Taxa de Administração:</w:t>
            </w:r>
          </w:p>
          <w:p w14:paraId="18C95767" w14:textId="77777777" w:rsidR="00AC4EFA" w:rsidRPr="00E65AD6" w:rsidRDefault="006900B4">
            <w:pPr>
              <w:pBdr>
                <w:top w:val="nil"/>
                <w:left w:val="nil"/>
                <w:bottom w:val="nil"/>
                <w:right w:val="nil"/>
                <w:between w:val="nil"/>
              </w:pBdr>
              <w:spacing w:after="120"/>
              <w:jc w:val="center"/>
              <w:rPr>
                <w:rFonts w:ascii="Josefin Sans" w:eastAsia="Josefin Sans" w:hAnsi="Josefin Sans" w:cs="Josefin Sans"/>
                <w:b/>
                <w:color w:val="000000"/>
                <w:sz w:val="22"/>
                <w:szCs w:val="22"/>
                <w:highlight w:val="green"/>
              </w:rPr>
            </w:pPr>
            <w:r w:rsidRPr="00E65AD6">
              <w:rPr>
                <w:rFonts w:ascii="Josefin Sans" w:eastAsia="Josefin Sans" w:hAnsi="Josefin Sans" w:cs="Josefin Sans"/>
                <w:b/>
                <w:color w:val="000000"/>
                <w:sz w:val="22"/>
                <w:szCs w:val="22"/>
              </w:rPr>
              <w:t>0,10</w:t>
            </w:r>
            <w:r w:rsidRPr="00E65AD6">
              <w:rPr>
                <w:rFonts w:ascii="Josefin Sans" w:eastAsia="Josefin Sans" w:hAnsi="Josefin Sans" w:cs="Josefin Sans"/>
                <w:color w:val="000000"/>
                <w:sz w:val="22"/>
                <w:szCs w:val="22"/>
              </w:rPr>
              <w:t xml:space="preserve">% (dez centésimos por cento) ao ano, observando o valor mínimo total de </w:t>
            </w:r>
            <w:r w:rsidRPr="00E65AD6">
              <w:rPr>
                <w:rFonts w:ascii="Josefin Sans" w:eastAsia="Josefin Sans" w:hAnsi="Josefin Sans" w:cs="Josefin Sans"/>
                <w:b/>
                <w:color w:val="000000"/>
                <w:sz w:val="22"/>
                <w:szCs w:val="22"/>
              </w:rPr>
              <w:t>R$ 2.500,00</w:t>
            </w:r>
            <w:r w:rsidRPr="00E65AD6">
              <w:rPr>
                <w:rFonts w:ascii="Josefin Sans" w:eastAsia="Josefin Sans" w:hAnsi="Josefin Sans" w:cs="Josefin Sans"/>
                <w:color w:val="000000"/>
                <w:sz w:val="22"/>
                <w:szCs w:val="22"/>
              </w:rPr>
              <w:t xml:space="preserve"> (dois mil e quinhentos reais)</w:t>
            </w:r>
            <w:r w:rsidRPr="00E65AD6">
              <w:rPr>
                <w:rFonts w:ascii="Josefin Sans" w:eastAsia="Josefin Sans" w:hAnsi="Josefin Sans" w:cs="Josefin Sans"/>
                <w:b/>
                <w:color w:val="000000"/>
                <w:sz w:val="22"/>
                <w:szCs w:val="22"/>
              </w:rPr>
              <w:t xml:space="preserve"> </w:t>
            </w:r>
            <w:r w:rsidRPr="00E65AD6">
              <w:rPr>
                <w:rFonts w:ascii="Josefin Sans" w:eastAsia="Josefin Sans" w:hAnsi="Josefin Sans" w:cs="Josefin Sans"/>
                <w:color w:val="000000"/>
                <w:sz w:val="22"/>
                <w:szCs w:val="22"/>
              </w:rPr>
              <w:t>ao mês.</w:t>
            </w:r>
          </w:p>
        </w:tc>
        <w:tc>
          <w:tcPr>
            <w:tcW w:w="4967" w:type="dxa"/>
            <w:gridSpan w:val="2"/>
          </w:tcPr>
          <w:p w14:paraId="18C95768" w14:textId="77777777" w:rsidR="00AC4EFA" w:rsidRPr="00E65AD6" w:rsidRDefault="00AC4EFA">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p>
          <w:p w14:paraId="18C95769"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Taxa de Gestão:</w:t>
            </w:r>
          </w:p>
          <w:p w14:paraId="18C9576A" w14:textId="77777777" w:rsidR="00AC4EFA" w:rsidRPr="00E65AD6" w:rsidRDefault="006900B4">
            <w:pPr>
              <w:pBdr>
                <w:top w:val="nil"/>
                <w:left w:val="nil"/>
                <w:bottom w:val="nil"/>
                <w:right w:val="nil"/>
                <w:between w:val="nil"/>
              </w:pBdr>
              <w:tabs>
                <w:tab w:val="left" w:pos="631"/>
              </w:tabs>
              <w:spacing w:after="120"/>
              <w:ind w:right="-18"/>
              <w:jc w:val="center"/>
              <w:rPr>
                <w:rFonts w:ascii="Josefin Sans" w:eastAsia="Josefin Sans" w:hAnsi="Josefin Sans" w:cs="Josefin Sans"/>
                <w:b/>
                <w:color w:val="000000"/>
                <w:sz w:val="22"/>
                <w:szCs w:val="22"/>
                <w:highlight w:val="green"/>
              </w:rPr>
            </w:pPr>
            <w:r w:rsidRPr="00E65AD6">
              <w:rPr>
                <w:rFonts w:ascii="Josefin Sans" w:eastAsia="Josefin Sans" w:hAnsi="Josefin Sans" w:cs="Josefin Sans"/>
                <w:b/>
                <w:color w:val="000000"/>
                <w:sz w:val="22"/>
                <w:szCs w:val="22"/>
              </w:rPr>
              <w:t>1,90</w:t>
            </w:r>
            <w:r w:rsidRPr="00E65AD6">
              <w:rPr>
                <w:rFonts w:ascii="Josefin Sans" w:eastAsia="Josefin Sans" w:hAnsi="Josefin Sans" w:cs="Josefin Sans"/>
                <w:color w:val="000000"/>
                <w:sz w:val="22"/>
                <w:szCs w:val="22"/>
              </w:rPr>
              <w:t>% (um inteiro e noventa centésimos por cento) ao ano</w:t>
            </w:r>
            <w:r w:rsidRPr="00E65AD6">
              <w:rPr>
                <w:rFonts w:ascii="Josefin Sans" w:eastAsia="Josefin Sans" w:hAnsi="Josefin Sans" w:cs="Josefin Sans"/>
                <w:b/>
                <w:color w:val="000000"/>
                <w:sz w:val="22"/>
                <w:szCs w:val="22"/>
              </w:rPr>
              <w:t>.</w:t>
            </w:r>
          </w:p>
        </w:tc>
      </w:tr>
      <w:tr w:rsidR="00AC4EFA" w:rsidRPr="00E65AD6" w14:paraId="18C95773" w14:textId="77777777">
        <w:trPr>
          <w:gridAfter w:val="1"/>
          <w:wAfter w:w="7" w:type="dxa"/>
        </w:trPr>
        <w:tc>
          <w:tcPr>
            <w:tcW w:w="5530" w:type="dxa"/>
          </w:tcPr>
          <w:p w14:paraId="18C9576C" w14:textId="77777777" w:rsidR="00AC4EFA" w:rsidRPr="00E65AD6" w:rsidRDefault="00AC4EFA">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p>
          <w:p w14:paraId="18C9576D"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Taxa de Performance:</w:t>
            </w:r>
          </w:p>
          <w:p w14:paraId="18C9576F" w14:textId="22662E64" w:rsidR="00AC4EFA" w:rsidRPr="00E65AD6" w:rsidRDefault="006900B4" w:rsidP="00FA0CE6">
            <w:pPr>
              <w:pBdr>
                <w:top w:val="nil"/>
                <w:left w:val="nil"/>
                <w:bottom w:val="nil"/>
                <w:right w:val="nil"/>
                <w:between w:val="nil"/>
              </w:pBdr>
              <w:spacing w:after="120"/>
              <w:ind w:left="37" w:right="38"/>
              <w:jc w:val="center"/>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 xml:space="preserve">20% </w:t>
            </w:r>
            <w:r w:rsidRPr="00E65AD6">
              <w:rPr>
                <w:rFonts w:ascii="Josefin Sans" w:eastAsia="Josefin Sans" w:hAnsi="Josefin Sans" w:cs="Josefin Sans"/>
                <w:color w:val="000000"/>
                <w:sz w:val="22"/>
                <w:szCs w:val="22"/>
              </w:rPr>
              <w:t>(vinte por cento) da rentabilidade do FUNDO que exceder a 100% (cem por cento) da variação do CDI.</w:t>
            </w:r>
          </w:p>
        </w:tc>
        <w:tc>
          <w:tcPr>
            <w:tcW w:w="4960" w:type="dxa"/>
          </w:tcPr>
          <w:p w14:paraId="18C95770" w14:textId="77777777" w:rsidR="00AC4EFA" w:rsidRPr="00E65AD6" w:rsidRDefault="00AC4EFA">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p>
          <w:p w14:paraId="18C95771"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Taxa máxima de Custódia:</w:t>
            </w:r>
          </w:p>
          <w:p w14:paraId="18C95772" w14:textId="6A56FABF" w:rsidR="00AC4EFA" w:rsidRPr="00E65AD6" w:rsidRDefault="00C2003C">
            <w:pPr>
              <w:pBdr>
                <w:top w:val="nil"/>
                <w:left w:val="nil"/>
                <w:bottom w:val="nil"/>
                <w:right w:val="nil"/>
                <w:between w:val="nil"/>
              </w:pBdr>
              <w:spacing w:after="120"/>
              <w:ind w:right="27"/>
              <w:jc w:val="center"/>
              <w:rPr>
                <w:rFonts w:ascii="Josefin Sans" w:eastAsia="Josefin Sans" w:hAnsi="Josefin Sans" w:cs="Josefin Sans"/>
                <w:b/>
                <w:color w:val="000000"/>
                <w:sz w:val="22"/>
                <w:szCs w:val="22"/>
                <w:highlight w:val="green"/>
              </w:rPr>
            </w:pPr>
            <w:r w:rsidRPr="00E65AD6">
              <w:rPr>
                <w:rFonts w:ascii="Josefin Sans" w:eastAsia="Josefin Sans" w:hAnsi="Josefin Sans" w:cs="Josefin Sans"/>
                <w:b/>
                <w:bCs/>
                <w:color w:val="000000"/>
                <w:sz w:val="22"/>
                <w:szCs w:val="22"/>
              </w:rPr>
              <w:t>0,</w:t>
            </w:r>
            <w:r w:rsidR="00CF737A" w:rsidRPr="00E65AD6">
              <w:rPr>
                <w:rFonts w:ascii="Josefin Sans" w:eastAsia="Josefin Sans" w:hAnsi="Josefin Sans" w:cs="Josefin Sans"/>
                <w:b/>
                <w:bCs/>
                <w:color w:val="000000"/>
                <w:sz w:val="22"/>
                <w:szCs w:val="22"/>
              </w:rPr>
              <w:t>0</w:t>
            </w:r>
            <w:r w:rsidR="00F245C8">
              <w:rPr>
                <w:rFonts w:ascii="Josefin Sans" w:eastAsia="Josefin Sans" w:hAnsi="Josefin Sans" w:cs="Josefin Sans"/>
                <w:b/>
                <w:bCs/>
                <w:color w:val="000000"/>
                <w:sz w:val="22"/>
                <w:szCs w:val="22"/>
              </w:rPr>
              <w:t>4</w:t>
            </w:r>
            <w:r w:rsidR="006900B4" w:rsidRPr="00E65AD6">
              <w:rPr>
                <w:rFonts w:ascii="Josefin Sans" w:eastAsia="Josefin Sans" w:hAnsi="Josefin Sans" w:cs="Josefin Sans"/>
                <w:b/>
                <w:bCs/>
                <w:color w:val="000000"/>
                <w:sz w:val="22"/>
                <w:szCs w:val="22"/>
              </w:rPr>
              <w:t>%</w:t>
            </w:r>
            <w:r w:rsidR="006900B4" w:rsidRPr="00E65AD6">
              <w:rPr>
                <w:rFonts w:ascii="Josefin Sans" w:eastAsia="Josefin Sans" w:hAnsi="Josefin Sans" w:cs="Josefin Sans"/>
                <w:color w:val="000000"/>
                <w:sz w:val="22"/>
                <w:szCs w:val="22"/>
              </w:rPr>
              <w:t xml:space="preserve"> </w:t>
            </w:r>
            <w:r w:rsidRPr="00E65AD6">
              <w:rPr>
                <w:rFonts w:ascii="Josefin Sans" w:eastAsia="Josefin Sans" w:hAnsi="Josefin Sans" w:cs="Josefin Sans"/>
                <w:color w:val="000000"/>
                <w:sz w:val="22"/>
                <w:szCs w:val="22"/>
              </w:rPr>
              <w:t>(</w:t>
            </w:r>
            <w:r w:rsidR="00663562">
              <w:rPr>
                <w:rFonts w:ascii="Josefin Sans" w:eastAsia="Josefin Sans" w:hAnsi="Josefin Sans" w:cs="Josefin Sans"/>
                <w:color w:val="000000"/>
                <w:sz w:val="22"/>
                <w:szCs w:val="22"/>
              </w:rPr>
              <w:t>quatro</w:t>
            </w:r>
            <w:r w:rsidRPr="00E65AD6">
              <w:rPr>
                <w:rFonts w:ascii="Josefin Sans" w:eastAsia="Josefin Sans" w:hAnsi="Josefin Sans" w:cs="Josefin Sans"/>
                <w:color w:val="000000"/>
                <w:sz w:val="22"/>
                <w:szCs w:val="22"/>
              </w:rPr>
              <w:t xml:space="preserve"> milésimos por cento</w:t>
            </w:r>
            <w:r w:rsidR="00CF737A" w:rsidRPr="00E65AD6">
              <w:rPr>
                <w:rFonts w:ascii="Josefin Sans" w:eastAsia="Josefin Sans" w:hAnsi="Josefin Sans" w:cs="Josefin Sans"/>
                <w:color w:val="000000"/>
                <w:sz w:val="22"/>
                <w:szCs w:val="22"/>
              </w:rPr>
              <w:t xml:space="preserve">) ao ano, observando o valor mínimo total de </w:t>
            </w:r>
            <w:r w:rsidR="00CF737A" w:rsidRPr="00E65AD6">
              <w:rPr>
                <w:rFonts w:ascii="Josefin Sans" w:eastAsia="Josefin Sans" w:hAnsi="Josefin Sans" w:cs="Josefin Sans"/>
                <w:b/>
                <w:color w:val="000000"/>
                <w:sz w:val="22"/>
                <w:szCs w:val="22"/>
              </w:rPr>
              <w:t>R$ 1.</w:t>
            </w:r>
            <w:r w:rsidR="00F245C8">
              <w:rPr>
                <w:rFonts w:ascii="Josefin Sans" w:eastAsia="Josefin Sans" w:hAnsi="Josefin Sans" w:cs="Josefin Sans"/>
                <w:b/>
                <w:color w:val="000000"/>
                <w:sz w:val="22"/>
                <w:szCs w:val="22"/>
              </w:rPr>
              <w:t>250</w:t>
            </w:r>
            <w:r w:rsidR="00CF737A" w:rsidRPr="00E65AD6">
              <w:rPr>
                <w:rFonts w:ascii="Josefin Sans" w:eastAsia="Josefin Sans" w:hAnsi="Josefin Sans" w:cs="Josefin Sans"/>
                <w:b/>
                <w:color w:val="000000"/>
                <w:sz w:val="22"/>
                <w:szCs w:val="22"/>
              </w:rPr>
              <w:t>,00</w:t>
            </w:r>
            <w:r w:rsidR="00CF737A" w:rsidRPr="00E65AD6">
              <w:rPr>
                <w:rFonts w:ascii="Josefin Sans" w:eastAsia="Josefin Sans" w:hAnsi="Josefin Sans" w:cs="Josefin Sans"/>
                <w:color w:val="000000"/>
                <w:sz w:val="22"/>
                <w:szCs w:val="22"/>
              </w:rPr>
              <w:t xml:space="preserve"> (um mil </w:t>
            </w:r>
            <w:r w:rsidR="00663562">
              <w:rPr>
                <w:rFonts w:ascii="Josefin Sans" w:eastAsia="Josefin Sans" w:hAnsi="Josefin Sans" w:cs="Josefin Sans"/>
                <w:color w:val="000000"/>
                <w:sz w:val="22"/>
                <w:szCs w:val="22"/>
              </w:rPr>
              <w:t xml:space="preserve">e duzentos e cinquenta </w:t>
            </w:r>
            <w:r w:rsidR="00CF737A" w:rsidRPr="00E65AD6">
              <w:rPr>
                <w:rFonts w:ascii="Josefin Sans" w:eastAsia="Josefin Sans" w:hAnsi="Josefin Sans" w:cs="Josefin Sans"/>
                <w:color w:val="000000"/>
                <w:sz w:val="22"/>
                <w:szCs w:val="22"/>
              </w:rPr>
              <w:t>reais)</w:t>
            </w:r>
            <w:r w:rsidR="00CF737A" w:rsidRPr="00E65AD6">
              <w:rPr>
                <w:rFonts w:ascii="Josefin Sans" w:eastAsia="Josefin Sans" w:hAnsi="Josefin Sans" w:cs="Josefin Sans"/>
                <w:b/>
                <w:color w:val="000000"/>
                <w:sz w:val="22"/>
                <w:szCs w:val="22"/>
              </w:rPr>
              <w:t xml:space="preserve"> </w:t>
            </w:r>
            <w:r w:rsidR="00CF737A" w:rsidRPr="00E65AD6">
              <w:rPr>
                <w:rFonts w:ascii="Josefin Sans" w:eastAsia="Josefin Sans" w:hAnsi="Josefin Sans" w:cs="Josefin Sans"/>
                <w:color w:val="000000"/>
                <w:sz w:val="22"/>
                <w:szCs w:val="22"/>
              </w:rPr>
              <w:t>ao mês.</w:t>
            </w:r>
          </w:p>
        </w:tc>
      </w:tr>
      <w:tr w:rsidR="00AC4EFA" w:rsidRPr="00E65AD6" w14:paraId="18C95777" w14:textId="77777777">
        <w:trPr>
          <w:gridAfter w:val="1"/>
          <w:wAfter w:w="7" w:type="dxa"/>
        </w:trPr>
        <w:tc>
          <w:tcPr>
            <w:tcW w:w="10490" w:type="dxa"/>
            <w:gridSpan w:val="2"/>
          </w:tcPr>
          <w:p w14:paraId="5666EA5B" w14:textId="77777777" w:rsidR="00FA0CE6" w:rsidRPr="00E65AD6" w:rsidRDefault="00FA0CE6">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p>
          <w:p w14:paraId="18C95775" w14:textId="450E733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Taxas de Ingresso | Saída</w:t>
            </w:r>
          </w:p>
          <w:p w14:paraId="18C95776"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color w:val="000000"/>
                <w:sz w:val="22"/>
                <w:szCs w:val="22"/>
                <w:highlight w:val="green"/>
              </w:rPr>
            </w:pPr>
            <w:r w:rsidRPr="00E65AD6">
              <w:rPr>
                <w:rFonts w:ascii="Josefin Sans" w:eastAsia="Josefin Sans" w:hAnsi="Josefin Sans" w:cs="Josefin Sans"/>
                <w:color w:val="000000"/>
                <w:sz w:val="22"/>
                <w:szCs w:val="22"/>
              </w:rPr>
              <w:t>Não aplicável.</w:t>
            </w:r>
          </w:p>
        </w:tc>
      </w:tr>
      <w:tr w:rsidR="00AC4EFA" w:rsidRPr="00E65AD6" w14:paraId="18C95790" w14:textId="77777777">
        <w:trPr>
          <w:gridAfter w:val="1"/>
          <w:wAfter w:w="7" w:type="dxa"/>
          <w:trHeight w:val="487"/>
        </w:trPr>
        <w:tc>
          <w:tcPr>
            <w:tcW w:w="10490" w:type="dxa"/>
            <w:gridSpan w:val="2"/>
          </w:tcPr>
          <w:p w14:paraId="18C95778" w14:textId="77777777" w:rsidR="00AC4EFA" w:rsidRPr="00E65AD6" w:rsidRDefault="006900B4">
            <w:pPr>
              <w:numPr>
                <w:ilvl w:val="0"/>
                <w:numId w:val="10"/>
              </w:numPr>
              <w:pBdr>
                <w:top w:val="nil"/>
                <w:left w:val="nil"/>
                <w:bottom w:val="nil"/>
                <w:right w:val="nil"/>
                <w:between w:val="nil"/>
              </w:pBdr>
              <w:tabs>
                <w:tab w:val="left" w:pos="598"/>
              </w:tabs>
              <w:spacing w:after="120"/>
              <w:ind w:left="36"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 Taxa de Administração será paga pela prestação dos serviços de administração fiduciária, sendo cobrada com base no patrimônio líquido da Classe.</w:t>
            </w:r>
          </w:p>
          <w:p w14:paraId="18C95779" w14:textId="77777777" w:rsidR="00AC4EFA" w:rsidRPr="00E65AD6" w:rsidRDefault="006900B4">
            <w:pPr>
              <w:numPr>
                <w:ilvl w:val="1"/>
                <w:numId w:val="10"/>
              </w:numPr>
              <w:pBdr>
                <w:top w:val="nil"/>
                <w:left w:val="nil"/>
                <w:bottom w:val="nil"/>
                <w:right w:val="nil"/>
                <w:between w:val="nil"/>
              </w:pBdr>
              <w:tabs>
                <w:tab w:val="left" w:pos="598"/>
              </w:tabs>
              <w:spacing w:after="120"/>
              <w:ind w:left="34" w:right="4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 valor mínimo mensal da taxa de administração será atualizado anualmente, desde a data de início da Classe, pela variação do IPCA, ou qualquer outro índice que venha a substituí-lo e que adote metodologia de apuração e cálculo semelhante.</w:t>
            </w:r>
          </w:p>
          <w:p w14:paraId="18C9577A" w14:textId="77777777" w:rsidR="00AC4EFA" w:rsidRPr="00E65AD6" w:rsidRDefault="006900B4">
            <w:pPr>
              <w:numPr>
                <w:ilvl w:val="0"/>
                <w:numId w:val="10"/>
              </w:numPr>
              <w:pBdr>
                <w:top w:val="nil"/>
                <w:left w:val="nil"/>
                <w:bottom w:val="nil"/>
                <w:right w:val="nil"/>
                <w:between w:val="nil"/>
              </w:pBdr>
              <w:tabs>
                <w:tab w:val="left" w:pos="598"/>
              </w:tabs>
              <w:spacing w:after="120"/>
              <w:ind w:left="34" w:right="4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 taxa de gestão será paga pela prestação dos serviços de gestão de ativos, sendo cobrada com base no patrimônio líquido da Classe.</w:t>
            </w:r>
          </w:p>
          <w:p w14:paraId="18C9577C" w14:textId="06F53AC2" w:rsidR="00AC4EFA" w:rsidRPr="00E65AD6" w:rsidRDefault="006900B4">
            <w:pPr>
              <w:numPr>
                <w:ilvl w:val="0"/>
                <w:numId w:val="10"/>
              </w:numPr>
              <w:pBdr>
                <w:top w:val="nil"/>
                <w:left w:val="nil"/>
                <w:bottom w:val="nil"/>
                <w:right w:val="nil"/>
                <w:between w:val="nil"/>
              </w:pBdr>
              <w:tabs>
                <w:tab w:val="left" w:pos="604"/>
              </w:tabs>
              <w:spacing w:after="120"/>
              <w:ind w:left="34" w:right="4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A Classe poderá investir seus recursos em classes de outros fundos de investimento, as quais estão sujeitas a taxas de administração, performance, ingresso e/ou saída próprias. Nesse caso, a efetiva Taxa Global Máxima da Classe equivale a 2,50% (dois inteiros e cinquenta </w:t>
            </w:r>
            <w:r w:rsidR="00DA3ACE" w:rsidRPr="00E65AD6">
              <w:rPr>
                <w:rFonts w:ascii="Josefin Sans" w:eastAsia="Josefin Sans" w:hAnsi="Josefin Sans" w:cs="Josefin Sans"/>
                <w:color w:val="000000"/>
                <w:sz w:val="22"/>
                <w:szCs w:val="22"/>
              </w:rPr>
              <w:t>centésimos</w:t>
            </w:r>
            <w:r w:rsidRPr="00E65AD6">
              <w:rPr>
                <w:rFonts w:ascii="Josefin Sans" w:eastAsia="Josefin Sans" w:hAnsi="Josefin Sans" w:cs="Josefin Sans"/>
                <w:color w:val="000000"/>
                <w:sz w:val="22"/>
                <w:szCs w:val="22"/>
              </w:rPr>
              <w:t xml:space="preserve"> por cento) ao ano, compreendendo as taxas de administração, performance, ingresso e/ou saída das classes investidas pela Classe, em relação à qual a regulamentação em vigor exige a consolidação.</w:t>
            </w:r>
          </w:p>
          <w:p w14:paraId="18C9577D" w14:textId="77777777" w:rsidR="00AC4EFA" w:rsidRPr="00E65AD6" w:rsidRDefault="006900B4">
            <w:pPr>
              <w:numPr>
                <w:ilvl w:val="1"/>
                <w:numId w:val="10"/>
              </w:numPr>
              <w:pBdr>
                <w:top w:val="nil"/>
                <w:left w:val="nil"/>
                <w:bottom w:val="nil"/>
                <w:right w:val="nil"/>
                <w:between w:val="nil"/>
              </w:pBdr>
              <w:tabs>
                <w:tab w:val="left" w:pos="604"/>
              </w:tabs>
              <w:spacing w:after="120"/>
              <w:ind w:right="4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As aplicações em classes de cotas dos seguintes fundos de investimento não serão consideradas para efeitos do disposto no item 3 acima: </w:t>
            </w:r>
          </w:p>
          <w:p w14:paraId="18C9577E" w14:textId="77777777" w:rsidR="00AC4EFA" w:rsidRPr="00E65AD6" w:rsidRDefault="006900B4">
            <w:pPr>
              <w:numPr>
                <w:ilvl w:val="0"/>
                <w:numId w:val="15"/>
              </w:numPr>
              <w:pBdr>
                <w:top w:val="nil"/>
                <w:left w:val="nil"/>
                <w:bottom w:val="nil"/>
                <w:right w:val="nil"/>
                <w:between w:val="nil"/>
              </w:pBdr>
              <w:tabs>
                <w:tab w:val="left" w:pos="604"/>
              </w:tabs>
              <w:spacing w:after="120"/>
              <w:ind w:right="4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fundos cujas cotas sejam admitidas à negociação em mercado organizado; e</w:t>
            </w:r>
          </w:p>
          <w:p w14:paraId="18C9577F" w14:textId="77777777" w:rsidR="00AC4EFA" w:rsidRPr="00E65AD6" w:rsidRDefault="006900B4">
            <w:pPr>
              <w:numPr>
                <w:ilvl w:val="0"/>
                <w:numId w:val="15"/>
              </w:numPr>
              <w:pBdr>
                <w:top w:val="nil"/>
                <w:left w:val="nil"/>
                <w:bottom w:val="nil"/>
                <w:right w:val="nil"/>
                <w:between w:val="nil"/>
              </w:pBdr>
              <w:tabs>
                <w:tab w:val="left" w:pos="604"/>
              </w:tabs>
              <w:spacing w:after="120"/>
              <w:ind w:right="4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fundos geridos por partes não relacionadas ao gestor do fundo investidor.</w:t>
            </w:r>
          </w:p>
          <w:p w14:paraId="18C95780" w14:textId="77777777" w:rsidR="00AC4EFA" w:rsidRPr="00E65AD6" w:rsidRDefault="006900B4">
            <w:pPr>
              <w:numPr>
                <w:ilvl w:val="0"/>
                <w:numId w:val="10"/>
              </w:numPr>
              <w:pBdr>
                <w:top w:val="nil"/>
                <w:left w:val="nil"/>
                <w:bottom w:val="nil"/>
                <w:right w:val="nil"/>
                <w:between w:val="nil"/>
              </w:pBdr>
              <w:tabs>
                <w:tab w:val="left" w:pos="604"/>
              </w:tabs>
              <w:spacing w:after="120"/>
              <w:ind w:left="36"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As Taxas Global e Global Máxima são calculadas e provisionadas diariamente, à base de 1/252, e serão pagas pela Subclasse, mensalmente, no 5° Dia Útil do mês, por períodos vencidos.</w:t>
            </w:r>
          </w:p>
          <w:p w14:paraId="18C95781" w14:textId="77777777" w:rsidR="00AC4EFA" w:rsidRPr="00E65AD6" w:rsidRDefault="006900B4">
            <w:pPr>
              <w:numPr>
                <w:ilvl w:val="0"/>
                <w:numId w:val="10"/>
              </w:numPr>
              <w:pBdr>
                <w:top w:val="nil"/>
                <w:left w:val="nil"/>
                <w:bottom w:val="nil"/>
                <w:right w:val="nil"/>
                <w:between w:val="nil"/>
              </w:pBdr>
              <w:tabs>
                <w:tab w:val="left" w:pos="598"/>
              </w:tabs>
              <w:spacing w:after="120"/>
              <w:ind w:left="36" w:right="37" w:firstLine="0"/>
              <w:jc w:val="both"/>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Além da taxa de gestão, também será paga, pela classe ao gestor, Taxa de Performance.</w:t>
            </w:r>
          </w:p>
          <w:p w14:paraId="18C95782" w14:textId="77777777" w:rsidR="00AC4EFA" w:rsidRPr="00E65AD6" w:rsidRDefault="006900B4">
            <w:pPr>
              <w:numPr>
                <w:ilvl w:val="1"/>
                <w:numId w:val="10"/>
              </w:numPr>
              <w:pBdr>
                <w:top w:val="nil"/>
                <w:left w:val="nil"/>
                <w:bottom w:val="nil"/>
                <w:right w:val="nil"/>
                <w:between w:val="nil"/>
              </w:pBdr>
              <w:tabs>
                <w:tab w:val="left" w:pos="598"/>
              </w:tabs>
              <w:spacing w:after="120"/>
              <w:ind w:left="36"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A cobrança da Taxa de Performance, observará os seguintes critérios: </w:t>
            </w:r>
          </w:p>
          <w:p w14:paraId="18C95783" w14:textId="77777777" w:rsidR="00AC4EFA" w:rsidRPr="00E65AD6" w:rsidRDefault="006900B4">
            <w:pPr>
              <w:numPr>
                <w:ilvl w:val="0"/>
                <w:numId w:val="23"/>
              </w:numPr>
              <w:pBdr>
                <w:top w:val="nil"/>
                <w:left w:val="nil"/>
                <w:bottom w:val="nil"/>
                <w:right w:val="nil"/>
                <w:between w:val="nil"/>
              </w:pBdr>
              <w:tabs>
                <w:tab w:val="left" w:pos="598"/>
              </w:tabs>
              <w:spacing w:after="120"/>
              <w:ind w:left="37" w:right="37" w:hanging="37"/>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lastRenderedPageBreak/>
              <w:t>será cobrada com base no resultado de cada aplicação efetuada por cada cotista (método do passivo.</w:t>
            </w:r>
          </w:p>
          <w:p w14:paraId="18C95784" w14:textId="77777777" w:rsidR="00AC4EFA" w:rsidRPr="00E65AD6" w:rsidRDefault="006900B4">
            <w:pPr>
              <w:numPr>
                <w:ilvl w:val="0"/>
                <w:numId w:val="23"/>
              </w:numPr>
              <w:pBdr>
                <w:top w:val="nil"/>
                <w:left w:val="nil"/>
                <w:bottom w:val="nil"/>
                <w:right w:val="nil"/>
                <w:between w:val="nil"/>
              </w:pBdr>
              <w:tabs>
                <w:tab w:val="left" w:pos="598"/>
              </w:tabs>
              <w:spacing w:after="120"/>
              <w:ind w:left="37" w:right="37" w:hanging="37"/>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será apurada e provisionada por dia útil e aferida com base no valor da cota do último Dia Útil dos meses de junho e dezembro de cada ano. A Taxa de Performance será paga semestralmente, até o 5º Dia Útil dos meses de janeiro e julho; </w:t>
            </w:r>
          </w:p>
          <w:p w14:paraId="18C95785" w14:textId="77777777" w:rsidR="00AC4EFA" w:rsidRPr="00E65AD6" w:rsidRDefault="006900B4">
            <w:pPr>
              <w:numPr>
                <w:ilvl w:val="0"/>
                <w:numId w:val="23"/>
              </w:numPr>
              <w:pBdr>
                <w:top w:val="nil"/>
                <w:left w:val="nil"/>
                <w:bottom w:val="nil"/>
                <w:right w:val="nil"/>
                <w:between w:val="nil"/>
              </w:pBdr>
              <w:tabs>
                <w:tab w:val="left" w:pos="598"/>
              </w:tabs>
              <w:spacing w:after="120"/>
              <w:ind w:left="36"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 cobrança será realizada, após a dedução de todas as despesas, inclusive das taxas devidas aos prestadores de serviços essenciais</w:t>
            </w:r>
            <w:r w:rsidRPr="00E65AD6">
              <w:rPr>
                <w:rFonts w:ascii="Josefin Sans" w:eastAsia="Josefin Sans" w:hAnsi="Josefin Sans" w:cs="Josefin Sans"/>
                <w:b/>
                <w:color w:val="000000"/>
                <w:sz w:val="22"/>
                <w:szCs w:val="22"/>
              </w:rPr>
              <w:t xml:space="preserve">, </w:t>
            </w:r>
            <w:r w:rsidRPr="00E65AD6">
              <w:rPr>
                <w:rFonts w:ascii="Josefin Sans" w:eastAsia="Josefin Sans" w:hAnsi="Josefin Sans" w:cs="Josefin Sans"/>
                <w:color w:val="000000"/>
                <w:sz w:val="22"/>
                <w:szCs w:val="22"/>
              </w:rPr>
              <w:t>e</w:t>
            </w:r>
          </w:p>
          <w:p w14:paraId="18C95786" w14:textId="77777777" w:rsidR="00AC4EFA" w:rsidRPr="00E65AD6" w:rsidRDefault="006900B4">
            <w:pPr>
              <w:numPr>
                <w:ilvl w:val="0"/>
                <w:numId w:val="23"/>
              </w:numPr>
              <w:pBdr>
                <w:top w:val="nil"/>
                <w:left w:val="nil"/>
                <w:bottom w:val="nil"/>
                <w:right w:val="nil"/>
                <w:between w:val="nil"/>
              </w:pBdr>
              <w:tabs>
                <w:tab w:val="left" w:pos="598"/>
              </w:tabs>
              <w:spacing w:after="120"/>
              <w:ind w:left="36"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não há incidência de taxa de performance quando o valor da cota da Classe for inferior ao seu valor por ocasião do último pagamento efetuado (linha d’água).</w:t>
            </w:r>
          </w:p>
          <w:p w14:paraId="18C95787" w14:textId="0B9F7CB0" w:rsidR="00AC4EFA" w:rsidRPr="00E65AD6" w:rsidRDefault="006900B4">
            <w:pPr>
              <w:numPr>
                <w:ilvl w:val="1"/>
                <w:numId w:val="10"/>
              </w:numPr>
              <w:pBdr>
                <w:top w:val="nil"/>
                <w:left w:val="nil"/>
                <w:bottom w:val="nil"/>
                <w:right w:val="nil"/>
                <w:between w:val="nil"/>
              </w:pBdr>
              <w:tabs>
                <w:tab w:val="left" w:pos="598"/>
              </w:tabs>
              <w:spacing w:after="120"/>
              <w:ind w:left="36"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É vedada a cobrança de taxa de performance quando o valor da cota for inferior ao valor da cota de cada aplicação dos cotistas (“Cota Base”). </w:t>
            </w:r>
          </w:p>
          <w:p w14:paraId="18C95788" w14:textId="77777777" w:rsidR="00AC4EFA" w:rsidRPr="00E65AD6" w:rsidRDefault="006900B4">
            <w:pPr>
              <w:numPr>
                <w:ilvl w:val="1"/>
                <w:numId w:val="10"/>
              </w:numPr>
              <w:pBdr>
                <w:top w:val="nil"/>
                <w:left w:val="nil"/>
                <w:bottom w:val="nil"/>
                <w:right w:val="nil"/>
                <w:between w:val="nil"/>
              </w:pBdr>
              <w:tabs>
                <w:tab w:val="left" w:pos="598"/>
              </w:tabs>
              <w:spacing w:after="120"/>
              <w:ind w:left="36"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Para fins do cálculo da Taxa de Performance, o valor da cota no momento de apuração do resultado deve ser comparado ao valor da Cota Base atualizado pelo índice de referência.</w:t>
            </w:r>
          </w:p>
          <w:p w14:paraId="18C95789" w14:textId="77777777" w:rsidR="00AC4EFA" w:rsidRPr="00E65AD6" w:rsidRDefault="006900B4">
            <w:pPr>
              <w:numPr>
                <w:ilvl w:val="1"/>
                <w:numId w:val="10"/>
              </w:numPr>
              <w:pBdr>
                <w:top w:val="nil"/>
                <w:left w:val="nil"/>
                <w:bottom w:val="nil"/>
                <w:right w:val="nil"/>
                <w:between w:val="nil"/>
              </w:pBdr>
              <w:tabs>
                <w:tab w:val="left" w:pos="598"/>
              </w:tabs>
              <w:spacing w:after="120"/>
              <w:ind w:left="36"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Caso o valor da Cota Base atualizada pelo índice de referência seja inferior ao valor da Cota Base, a taxa de performance a ser provisionada e paga deve ser</w:t>
            </w:r>
            <w:r w:rsidRPr="00E65AD6">
              <w:rPr>
                <w:rFonts w:ascii="Josefin Sans" w:eastAsia="Times New Roman" w:hAnsi="Josefin Sans"/>
                <w:color w:val="000000"/>
                <w:sz w:val="22"/>
                <w:szCs w:val="22"/>
              </w:rPr>
              <w:t>:</w:t>
            </w:r>
          </w:p>
          <w:p w14:paraId="18C9578A" w14:textId="77777777" w:rsidR="00AC4EFA" w:rsidRPr="00E65AD6" w:rsidRDefault="006900B4">
            <w:pPr>
              <w:pBdr>
                <w:top w:val="nil"/>
                <w:left w:val="nil"/>
                <w:bottom w:val="nil"/>
                <w:right w:val="nil"/>
                <w:between w:val="nil"/>
              </w:pBdr>
              <w:tabs>
                <w:tab w:val="left" w:pos="598"/>
              </w:tabs>
              <w:spacing w:after="120"/>
              <w:ind w:left="36" w:right="37"/>
              <w:jc w:val="both"/>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 xml:space="preserve">(i) </w:t>
            </w:r>
            <w:r w:rsidRPr="00E65AD6">
              <w:rPr>
                <w:rFonts w:ascii="Josefin Sans" w:eastAsia="Josefin Sans" w:hAnsi="Josefin Sans" w:cs="Josefin Sans"/>
                <w:color w:val="000000"/>
                <w:sz w:val="22"/>
                <w:szCs w:val="22"/>
              </w:rPr>
              <w:t>calculada sobre a diferença entre o valor da Cota antes de descontada a provisão para o pagamento da Taxa de Performance e o valor da Cota Base valorizada pelo índice de referência; e</w:t>
            </w:r>
          </w:p>
          <w:p w14:paraId="18C9578B" w14:textId="77777777" w:rsidR="00AC4EFA" w:rsidRPr="00E65AD6" w:rsidRDefault="006900B4">
            <w:pPr>
              <w:pBdr>
                <w:top w:val="nil"/>
                <w:left w:val="nil"/>
                <w:bottom w:val="nil"/>
                <w:right w:val="nil"/>
                <w:between w:val="nil"/>
              </w:pBdr>
              <w:tabs>
                <w:tab w:val="left" w:pos="598"/>
              </w:tabs>
              <w:spacing w:after="120"/>
              <w:ind w:left="36" w:right="37"/>
              <w:jc w:val="both"/>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w:t>
            </w:r>
            <w:proofErr w:type="spellStart"/>
            <w:r w:rsidRPr="00E65AD6">
              <w:rPr>
                <w:rFonts w:ascii="Josefin Sans" w:eastAsia="Josefin Sans" w:hAnsi="Josefin Sans" w:cs="Josefin Sans"/>
                <w:b/>
                <w:color w:val="000000"/>
                <w:sz w:val="22"/>
                <w:szCs w:val="22"/>
              </w:rPr>
              <w:t>ii</w:t>
            </w:r>
            <w:proofErr w:type="spellEnd"/>
            <w:r w:rsidRPr="00E65AD6">
              <w:rPr>
                <w:rFonts w:ascii="Josefin Sans" w:eastAsia="Josefin Sans" w:hAnsi="Josefin Sans" w:cs="Josefin Sans"/>
                <w:b/>
                <w:color w:val="000000"/>
                <w:sz w:val="22"/>
                <w:szCs w:val="22"/>
              </w:rPr>
              <w:t xml:space="preserve">) </w:t>
            </w:r>
            <w:r w:rsidRPr="00E65AD6">
              <w:rPr>
                <w:rFonts w:ascii="Josefin Sans" w:eastAsia="Josefin Sans" w:hAnsi="Josefin Sans" w:cs="Josefin Sans"/>
                <w:color w:val="000000"/>
                <w:sz w:val="22"/>
                <w:szCs w:val="22"/>
              </w:rPr>
              <w:t>limitada à diferença entre o valor da Cota antes de descontada a provisão para o pagamento da taxa de performance e a Cota Base.</w:t>
            </w:r>
          </w:p>
          <w:p w14:paraId="18C9578C" w14:textId="77777777" w:rsidR="00AC4EFA" w:rsidRPr="00E65AD6" w:rsidRDefault="006900B4">
            <w:pPr>
              <w:numPr>
                <w:ilvl w:val="0"/>
                <w:numId w:val="10"/>
              </w:numPr>
              <w:pBdr>
                <w:top w:val="nil"/>
                <w:left w:val="nil"/>
                <w:bottom w:val="nil"/>
                <w:right w:val="nil"/>
                <w:between w:val="nil"/>
              </w:pBdr>
              <w:tabs>
                <w:tab w:val="left" w:pos="604"/>
              </w:tabs>
              <w:spacing w:after="120"/>
              <w:ind w:left="36"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 prestador de serviço essencial pode reduzir unilateralmente taxa que lhe compete, sem que seja requerida deliberação de assembleia geral de cotistas para que seja promovida alteração deste regulamento.</w:t>
            </w:r>
          </w:p>
          <w:p w14:paraId="18C9578D" w14:textId="77777777" w:rsidR="00AC4EFA" w:rsidRPr="00E65AD6" w:rsidRDefault="006900B4">
            <w:pPr>
              <w:numPr>
                <w:ilvl w:val="0"/>
                <w:numId w:val="10"/>
              </w:numPr>
              <w:pBdr>
                <w:top w:val="nil"/>
                <w:left w:val="nil"/>
                <w:bottom w:val="nil"/>
                <w:right w:val="nil"/>
                <w:between w:val="nil"/>
              </w:pBdr>
              <w:tabs>
                <w:tab w:val="left" w:pos="604"/>
              </w:tabs>
              <w:spacing w:after="120"/>
              <w:ind w:left="36"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Adi</w:t>
            </w:r>
            <w:sdt>
              <w:sdtPr>
                <w:rPr>
                  <w:rFonts w:ascii="Josefin Sans" w:hAnsi="Josefin Sans"/>
                </w:rPr>
                <w:tag w:val="goog_rdk_10"/>
                <w:id w:val="136780333"/>
              </w:sdtPr>
              <w:sdtEndPr/>
              <w:sdtContent/>
            </w:sdt>
            <w:r w:rsidRPr="00E65AD6">
              <w:rPr>
                <w:rFonts w:ascii="Josefin Sans" w:eastAsia="Josefin Sans" w:hAnsi="Josefin Sans" w:cs="Josefin Sans"/>
                <w:color w:val="000000"/>
                <w:sz w:val="22"/>
                <w:szCs w:val="22"/>
              </w:rPr>
              <w:t xml:space="preserve">cionalmente a Taxa Global, para participação e implementação das decisões tomadas em reunião formal ou Assembleias Especiais extraordinárias, será devida uma remuneração adicional ao Administrador, equivalente a R$ 1.500,00 (um mil e quinhentos reais) por hora-homem de trabalho dedicado a tais atividades.  </w:t>
            </w:r>
          </w:p>
          <w:p w14:paraId="18C9578E" w14:textId="77777777" w:rsidR="00AC4EFA" w:rsidRPr="00E65AD6" w:rsidRDefault="006900B4">
            <w:pPr>
              <w:numPr>
                <w:ilvl w:val="0"/>
                <w:numId w:val="10"/>
              </w:numPr>
              <w:pBdr>
                <w:top w:val="nil"/>
                <w:left w:val="nil"/>
                <w:bottom w:val="nil"/>
                <w:right w:val="nil"/>
                <w:between w:val="nil"/>
              </w:pBdr>
              <w:tabs>
                <w:tab w:val="left" w:pos="604"/>
              </w:tabs>
              <w:spacing w:after="120"/>
              <w:ind w:left="36"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Sem prejuízo do previsto por este regulamento, quaisquer despesas não previstas neste artigo correm por conta do prestador de serviço essencial que a tiver contratado.</w:t>
            </w:r>
          </w:p>
          <w:p w14:paraId="18C9578F" w14:textId="77777777" w:rsidR="00AC4EFA" w:rsidRPr="00E65AD6" w:rsidRDefault="006900B4">
            <w:pPr>
              <w:numPr>
                <w:ilvl w:val="0"/>
                <w:numId w:val="10"/>
              </w:numPr>
              <w:pBdr>
                <w:top w:val="nil"/>
                <w:left w:val="nil"/>
                <w:bottom w:val="nil"/>
                <w:right w:val="nil"/>
                <w:between w:val="nil"/>
              </w:pBdr>
              <w:tabs>
                <w:tab w:val="left" w:pos="604"/>
              </w:tabs>
              <w:spacing w:after="120"/>
              <w:ind w:left="36" w:right="37"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Caso qualquer cotista solicite aos prestadores de serviços essenciais correspondência por meio físico, os custos serão suportados pelo cotista solicitante.</w:t>
            </w:r>
          </w:p>
        </w:tc>
      </w:tr>
    </w:tbl>
    <w:p w14:paraId="18C95791" w14:textId="77777777" w:rsidR="00AC4EFA" w:rsidRPr="00E65AD6" w:rsidRDefault="00AC4EFA">
      <w:pPr>
        <w:spacing w:after="120" w:line="240" w:lineRule="auto"/>
        <w:ind w:right="-511"/>
        <w:jc w:val="both"/>
        <w:rPr>
          <w:rFonts w:ascii="Josefin Sans" w:eastAsia="Josefin Sans" w:hAnsi="Josefin Sans" w:cs="Josefin Sans"/>
        </w:rPr>
      </w:pPr>
    </w:p>
    <w:tbl>
      <w:tblPr>
        <w:tblStyle w:val="af0"/>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AC4EFA" w:rsidRPr="00E65AD6" w14:paraId="18C95793" w14:textId="77777777">
        <w:trPr>
          <w:trHeight w:val="237"/>
        </w:trPr>
        <w:tc>
          <w:tcPr>
            <w:tcW w:w="10490" w:type="dxa"/>
            <w:gridSpan w:val="2"/>
            <w:shd w:val="clear" w:color="auto" w:fill="000000"/>
            <w:vAlign w:val="center"/>
          </w:tcPr>
          <w:p w14:paraId="18C95792" w14:textId="77777777" w:rsidR="00AC4EFA" w:rsidRPr="00E65AD6" w:rsidRDefault="006900B4">
            <w:pPr>
              <w:pStyle w:val="Ttulo1"/>
              <w:keepNext/>
              <w:numPr>
                <w:ilvl w:val="0"/>
                <w:numId w:val="20"/>
              </w:numPr>
              <w:pBdr>
                <w:top w:val="none" w:sz="0" w:space="0" w:color="000000"/>
                <w:left w:val="none" w:sz="0" w:space="0" w:color="000000"/>
                <w:bottom w:val="none" w:sz="0" w:space="0" w:color="000000"/>
                <w:right w:val="none" w:sz="0" w:space="0" w:color="000000"/>
                <w:between w:val="none" w:sz="0" w:space="0" w:color="000000"/>
              </w:pBdr>
              <w:tabs>
                <w:tab w:val="left" w:pos="543"/>
              </w:tabs>
              <w:spacing w:before="0" w:after="120"/>
              <w:ind w:left="169"/>
              <w:rPr>
                <w:rFonts w:ascii="Josefin Sans" w:eastAsia="Josefin Sans" w:hAnsi="Josefin Sans" w:cs="Josefin Sans"/>
                <w:sz w:val="22"/>
                <w:szCs w:val="22"/>
              </w:rPr>
            </w:pPr>
            <w:r w:rsidRPr="00E65AD6">
              <w:rPr>
                <w:rFonts w:ascii="Josefin Sans" w:eastAsia="Josefin Sans" w:hAnsi="Josefin Sans" w:cs="Josefin Sans"/>
                <w:smallCaps/>
                <w:sz w:val="22"/>
                <w:szCs w:val="22"/>
              </w:rPr>
              <w:t>Da Emissão, Integralização e Resgate de Cotas</w:t>
            </w:r>
          </w:p>
        </w:tc>
      </w:tr>
      <w:tr w:rsidR="00AC4EFA" w:rsidRPr="00E65AD6" w14:paraId="18C95799" w14:textId="77777777">
        <w:tc>
          <w:tcPr>
            <w:tcW w:w="5387" w:type="dxa"/>
            <w:vAlign w:val="center"/>
          </w:tcPr>
          <w:p w14:paraId="18C95794" w14:textId="77777777" w:rsidR="00AC4EFA" w:rsidRPr="00E65AD6" w:rsidRDefault="00AC4EFA">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p>
          <w:p w14:paraId="18C95795"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Cálculo do valor da cota:</w:t>
            </w:r>
          </w:p>
          <w:p w14:paraId="18C95796" w14:textId="77777777" w:rsidR="00AC4EFA" w:rsidRPr="00E65AD6" w:rsidRDefault="006900B4">
            <w:pPr>
              <w:pBdr>
                <w:top w:val="nil"/>
                <w:left w:val="nil"/>
                <w:bottom w:val="nil"/>
                <w:right w:val="nil"/>
                <w:between w:val="nil"/>
              </w:pBdr>
              <w:spacing w:after="120"/>
              <w:ind w:right="-21"/>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 valor da cota será calculado pelo resultado da divisão do valor do patrimônio líquido da Classe pelo número de suas cotas e seu valor será apurado no encerramento do dia, que deve ser entendido como o horário de funcionamento dos mercados em que a Classe atue (“</w:t>
            </w:r>
            <w:r w:rsidRPr="00E65AD6">
              <w:rPr>
                <w:rFonts w:ascii="Josefin Sans" w:eastAsia="Josefin Sans" w:hAnsi="Josefin Sans" w:cs="Josefin Sans"/>
                <w:color w:val="000000"/>
                <w:sz w:val="22"/>
                <w:szCs w:val="22"/>
                <w:u w:val="single"/>
              </w:rPr>
              <w:t>Cota de Fechamento</w:t>
            </w:r>
            <w:r w:rsidRPr="00E65AD6">
              <w:rPr>
                <w:rFonts w:ascii="Josefin Sans" w:eastAsia="Josefin Sans" w:hAnsi="Josefin Sans" w:cs="Josefin Sans"/>
                <w:color w:val="000000"/>
                <w:sz w:val="22"/>
                <w:szCs w:val="22"/>
              </w:rPr>
              <w:t>”)</w:t>
            </w:r>
          </w:p>
        </w:tc>
        <w:tc>
          <w:tcPr>
            <w:tcW w:w="5103" w:type="dxa"/>
            <w:vAlign w:val="center"/>
          </w:tcPr>
          <w:p w14:paraId="18C95797" w14:textId="77777777" w:rsidR="00AC4EFA" w:rsidRPr="00E65AD6" w:rsidRDefault="006900B4">
            <w:pPr>
              <w:pBdr>
                <w:top w:val="nil"/>
                <w:left w:val="nil"/>
                <w:bottom w:val="nil"/>
                <w:right w:val="nil"/>
                <w:between w:val="nil"/>
              </w:pBdr>
              <w:spacing w:after="120"/>
              <w:ind w:left="-567" w:right="-511"/>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Divulgação do valor da cota:</w:t>
            </w:r>
          </w:p>
          <w:p w14:paraId="18C95798" w14:textId="77777777" w:rsidR="00AC4EFA" w:rsidRPr="00E65AD6" w:rsidRDefault="006900B4">
            <w:pPr>
              <w:pBdr>
                <w:top w:val="nil"/>
                <w:left w:val="nil"/>
                <w:bottom w:val="nil"/>
                <w:right w:val="nil"/>
                <w:between w:val="nil"/>
              </w:pBdr>
              <w:spacing w:after="120"/>
              <w:ind w:right="27"/>
              <w:jc w:val="center"/>
              <w:rPr>
                <w:rFonts w:ascii="Josefin Sans" w:eastAsia="Josefin Sans" w:hAnsi="Josefin Sans" w:cs="Josefin Sans"/>
                <w:b/>
                <w:color w:val="000000"/>
                <w:sz w:val="22"/>
                <w:szCs w:val="22"/>
              </w:rPr>
            </w:pPr>
            <w:r w:rsidRPr="00E65AD6">
              <w:rPr>
                <w:rFonts w:ascii="Josefin Sans" w:eastAsia="Josefin Sans" w:hAnsi="Josefin Sans" w:cs="Josefin Sans"/>
                <w:color w:val="000000"/>
                <w:sz w:val="22"/>
                <w:szCs w:val="22"/>
              </w:rPr>
              <w:t>As cotas serão divulgadas diariamente.</w:t>
            </w:r>
          </w:p>
        </w:tc>
      </w:tr>
      <w:tr w:rsidR="00AC4EFA" w:rsidRPr="00E65AD6" w14:paraId="18C957CD" w14:textId="77777777">
        <w:trPr>
          <w:trHeight w:val="628"/>
        </w:trPr>
        <w:tc>
          <w:tcPr>
            <w:tcW w:w="10490" w:type="dxa"/>
            <w:gridSpan w:val="2"/>
          </w:tcPr>
          <w:p w14:paraId="18C9579A" w14:textId="77777777" w:rsidR="00AC4EFA" w:rsidRPr="00E65AD6" w:rsidRDefault="006900B4">
            <w:pPr>
              <w:numPr>
                <w:ilvl w:val="0"/>
                <w:numId w:val="5"/>
              </w:numPr>
              <w:pBdr>
                <w:top w:val="nil"/>
                <w:left w:val="nil"/>
                <w:bottom w:val="nil"/>
                <w:right w:val="nil"/>
                <w:between w:val="nil"/>
              </w:pBdr>
              <w:tabs>
                <w:tab w:val="left" w:pos="567"/>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As cotas da Subclasse correspondem a frações ideais do patrimônio da Classe, são escriturais e nominativas, e conferem iguais direitos e obrigações a todos os Cotistas. </w:t>
            </w:r>
          </w:p>
          <w:p w14:paraId="18C9579B" w14:textId="77777777" w:rsidR="00AC4EFA" w:rsidRPr="00E65AD6" w:rsidRDefault="006900B4">
            <w:pPr>
              <w:numPr>
                <w:ilvl w:val="0"/>
                <w:numId w:val="5"/>
              </w:numPr>
              <w:pBdr>
                <w:top w:val="nil"/>
                <w:left w:val="nil"/>
                <w:bottom w:val="nil"/>
                <w:right w:val="nil"/>
                <w:between w:val="nil"/>
              </w:pBdr>
              <w:tabs>
                <w:tab w:val="left" w:pos="567"/>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A qualidade </w:t>
            </w:r>
            <w:proofErr w:type="gramStart"/>
            <w:r w:rsidRPr="00E65AD6">
              <w:rPr>
                <w:rFonts w:ascii="Josefin Sans" w:eastAsia="Josefin Sans" w:hAnsi="Josefin Sans" w:cs="Josefin Sans"/>
                <w:color w:val="000000"/>
                <w:sz w:val="22"/>
                <w:szCs w:val="22"/>
              </w:rPr>
              <w:t>de Cotista</w:t>
            </w:r>
            <w:proofErr w:type="gramEnd"/>
            <w:r w:rsidRPr="00E65AD6">
              <w:rPr>
                <w:rFonts w:ascii="Josefin Sans" w:eastAsia="Josefin Sans" w:hAnsi="Josefin Sans" w:cs="Josefin Sans"/>
                <w:color w:val="000000"/>
                <w:sz w:val="22"/>
                <w:szCs w:val="22"/>
              </w:rPr>
              <w:t xml:space="preserve"> caracteriza-se pela adesão do investidor aos termos desse Regulamento e pela inscrição de seu nome no registro de Cotistas da classe, o qual deverá manter seus dados atualizados perante a classe. Somente devem ser consideradas as aplicações como efetivadas, após a efetiva disponibilidade dos recursos na conta corrente da classe nos prazos definidos neste Regulamento.</w:t>
            </w:r>
          </w:p>
          <w:p w14:paraId="18C9579C" w14:textId="0E2C967C" w:rsidR="00AC4EFA" w:rsidRPr="00E65AD6" w:rsidRDefault="00777A90">
            <w:pPr>
              <w:numPr>
                <w:ilvl w:val="1"/>
                <w:numId w:val="13"/>
              </w:numPr>
              <w:pBdr>
                <w:top w:val="nil"/>
                <w:left w:val="nil"/>
                <w:bottom w:val="nil"/>
                <w:right w:val="nil"/>
                <w:between w:val="nil"/>
              </w:pBdr>
              <w:tabs>
                <w:tab w:val="left" w:pos="567"/>
              </w:tabs>
              <w:spacing w:after="120"/>
              <w:ind w:left="0" w:right="30" w:firstLine="0"/>
              <w:jc w:val="both"/>
              <w:rPr>
                <w:rFonts w:ascii="Josefin Sans" w:eastAsia="Josefin Sans" w:hAnsi="Josefin Sans" w:cs="Josefin Sans"/>
                <w:color w:val="000000"/>
                <w:sz w:val="22"/>
                <w:szCs w:val="22"/>
              </w:rPr>
            </w:pPr>
            <w:sdt>
              <w:sdtPr>
                <w:rPr>
                  <w:rFonts w:ascii="Josefin Sans" w:hAnsi="Josefin Sans"/>
                </w:rPr>
                <w:tag w:val="goog_rdk_11"/>
                <w:id w:val="200449841"/>
              </w:sdtPr>
              <w:sdtEndPr/>
              <w:sdtContent/>
            </w:sdt>
            <w:r w:rsidR="006900B4" w:rsidRPr="00E65AD6">
              <w:rPr>
                <w:rFonts w:ascii="Josefin Sans" w:eastAsia="Josefin Sans" w:hAnsi="Josefin Sans" w:cs="Josefin Sans"/>
                <w:color w:val="000000"/>
                <w:sz w:val="22"/>
                <w:szCs w:val="22"/>
              </w:rPr>
              <w:t>O ingresso de qualquer cotista na Subclasse prescinde-te da assinatura do termo de adesão e ciência de risco, mediante o qual o cotista atesta que possui ciência sobre sua responsabilidade ilimitada, conforme previsto no § 3º, do artigo 29, da RCVM 175</w:t>
            </w:r>
            <w:r w:rsidR="00680D50" w:rsidRPr="00E65AD6">
              <w:rPr>
                <w:rFonts w:ascii="Josefin Sans" w:eastAsia="Josefin Sans" w:hAnsi="Josefin Sans" w:cs="Josefin Sans"/>
                <w:color w:val="000000"/>
                <w:sz w:val="22"/>
                <w:szCs w:val="22"/>
              </w:rPr>
              <w:t>.</w:t>
            </w:r>
          </w:p>
          <w:p w14:paraId="18C9579D" w14:textId="77777777" w:rsidR="00AC4EFA" w:rsidRPr="00E65AD6" w:rsidRDefault="006900B4">
            <w:pPr>
              <w:numPr>
                <w:ilvl w:val="0"/>
                <w:numId w:val="13"/>
              </w:numPr>
              <w:pBdr>
                <w:top w:val="nil"/>
                <w:left w:val="nil"/>
                <w:bottom w:val="nil"/>
                <w:right w:val="nil"/>
                <w:between w:val="nil"/>
              </w:pBdr>
              <w:tabs>
                <w:tab w:val="left" w:pos="567"/>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lastRenderedPageBreak/>
              <w:t>A integralização de cotas deve ser realizada em moeda corrente nacional, por meio de transferência eletrônica disponível (TED) ou qualquer outro instrumento de transferência autorizado pelo Banco Central do Brasil e admitida pelo Administrador.</w:t>
            </w:r>
          </w:p>
          <w:p w14:paraId="18C9579E" w14:textId="77777777" w:rsidR="00AC4EFA" w:rsidRPr="00E65AD6" w:rsidRDefault="006900B4">
            <w:pPr>
              <w:numPr>
                <w:ilvl w:val="0"/>
                <w:numId w:val="13"/>
              </w:numPr>
              <w:pBdr>
                <w:top w:val="nil"/>
                <w:left w:val="nil"/>
                <w:bottom w:val="nil"/>
                <w:right w:val="nil"/>
                <w:between w:val="nil"/>
              </w:pBdr>
              <w:tabs>
                <w:tab w:val="left" w:pos="318"/>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 gestor poderá suspender, a qualquer momento, novas aplicações na classe, observado que a suspensão deve se aplicar indistintamente a novos investidores e aos cotistas.</w:t>
            </w:r>
          </w:p>
          <w:p w14:paraId="18C9579F" w14:textId="77777777" w:rsidR="00AC4EFA" w:rsidRPr="00E65AD6" w:rsidRDefault="006900B4">
            <w:pPr>
              <w:numPr>
                <w:ilvl w:val="1"/>
                <w:numId w:val="13"/>
              </w:numPr>
              <w:pBdr>
                <w:top w:val="nil"/>
                <w:left w:val="nil"/>
                <w:bottom w:val="nil"/>
                <w:right w:val="nil"/>
                <w:between w:val="nil"/>
              </w:pBdr>
              <w:tabs>
                <w:tab w:val="left" w:pos="567"/>
              </w:tabs>
              <w:spacing w:after="120"/>
              <w:ind w:left="463"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Na hipótese acima, o Gestor deve comunicar imediatamente aos distribuidores que a classe não está admitindo captação.</w:t>
            </w:r>
          </w:p>
          <w:p w14:paraId="18C957A0" w14:textId="77777777" w:rsidR="00AC4EFA" w:rsidRPr="00E65AD6" w:rsidRDefault="006900B4">
            <w:pPr>
              <w:numPr>
                <w:ilvl w:val="0"/>
                <w:numId w:val="13"/>
              </w:numPr>
              <w:pBdr>
                <w:top w:val="nil"/>
                <w:left w:val="nil"/>
                <w:bottom w:val="nil"/>
                <w:right w:val="nil"/>
                <w:between w:val="nil"/>
              </w:pBdr>
              <w:tabs>
                <w:tab w:val="left" w:pos="567"/>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Os pedidos de resgate de cotas da Classe não estão sujeitos a qualquer prazo de carência para fins de resgate, podendo </w:t>
            </w:r>
            <w:proofErr w:type="gramStart"/>
            <w:r w:rsidRPr="00E65AD6">
              <w:rPr>
                <w:rFonts w:ascii="Josefin Sans" w:eastAsia="Josefin Sans" w:hAnsi="Josefin Sans" w:cs="Josefin Sans"/>
                <w:color w:val="000000"/>
                <w:sz w:val="22"/>
                <w:szCs w:val="22"/>
              </w:rPr>
              <w:t>os mesmos</w:t>
            </w:r>
            <w:proofErr w:type="gramEnd"/>
            <w:r w:rsidRPr="00E65AD6">
              <w:rPr>
                <w:rFonts w:ascii="Josefin Sans" w:eastAsia="Josefin Sans" w:hAnsi="Josefin Sans" w:cs="Josefin Sans"/>
                <w:color w:val="000000"/>
                <w:sz w:val="22"/>
                <w:szCs w:val="22"/>
              </w:rPr>
              <w:t xml:space="preserve"> serem solicitados a qualquer tempo.</w:t>
            </w:r>
          </w:p>
          <w:p w14:paraId="18C957A1" w14:textId="77777777" w:rsidR="00AC4EFA" w:rsidRPr="00E65AD6" w:rsidRDefault="006900B4">
            <w:pPr>
              <w:numPr>
                <w:ilvl w:val="0"/>
                <w:numId w:val="13"/>
              </w:numPr>
              <w:pBdr>
                <w:top w:val="nil"/>
                <w:left w:val="nil"/>
                <w:bottom w:val="nil"/>
                <w:right w:val="nil"/>
                <w:between w:val="nil"/>
              </w:pBdr>
              <w:tabs>
                <w:tab w:val="left" w:pos="557"/>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Salvo na hipótese de iliquidez excepcional, é devida ao cotista uma multa de 0,5% do valor de resgate, a ser paga pelo administrador, por dia de atraso no pagamento do resgate de cotas.</w:t>
            </w:r>
          </w:p>
          <w:p w14:paraId="18C957A2" w14:textId="77777777" w:rsidR="00AC4EFA" w:rsidRPr="00E65AD6" w:rsidRDefault="006900B4">
            <w:pPr>
              <w:numPr>
                <w:ilvl w:val="0"/>
                <w:numId w:val="13"/>
              </w:numPr>
              <w:pBdr>
                <w:top w:val="nil"/>
                <w:left w:val="nil"/>
                <w:bottom w:val="nil"/>
                <w:right w:val="nil"/>
                <w:between w:val="nil"/>
              </w:pBdr>
              <w:tabs>
                <w:tab w:val="left" w:pos="557"/>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Nos casos em que, com o atendimento da solicitação de resgate, a quantidade residual de cotas for inferior ao mínimo estabelecido pelo Administrador, a totalidade das cotas deve ser automaticamente resgatada.</w:t>
            </w:r>
          </w:p>
          <w:p w14:paraId="18C957A3" w14:textId="5B1DD854" w:rsidR="00AC4EFA" w:rsidRPr="00E65AD6" w:rsidRDefault="006900B4">
            <w:pPr>
              <w:numPr>
                <w:ilvl w:val="0"/>
                <w:numId w:val="13"/>
              </w:numPr>
              <w:pBdr>
                <w:top w:val="nil"/>
                <w:left w:val="nil"/>
                <w:bottom w:val="nil"/>
                <w:right w:val="nil"/>
                <w:between w:val="nil"/>
              </w:pBdr>
              <w:tabs>
                <w:tab w:val="left" w:pos="567"/>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Para fins de integralização e resgate de cotas da Subclasse, deverão ser observadas os seguintes prazos e valores de movimentação, respeitado o horário de movimentação:</w:t>
            </w:r>
          </w:p>
          <w:tbl>
            <w:tblPr>
              <w:tblStyle w:val="af1"/>
              <w:tblW w:w="9501"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8"/>
              <w:gridCol w:w="2126"/>
              <w:gridCol w:w="2552"/>
              <w:gridCol w:w="2835"/>
            </w:tblGrid>
            <w:tr w:rsidR="00AC4EFA" w:rsidRPr="00E65AD6" w14:paraId="18C957A9" w14:textId="77777777" w:rsidTr="00E65AD6">
              <w:trPr>
                <w:trHeight w:val="432"/>
              </w:trPr>
              <w:tc>
                <w:tcPr>
                  <w:tcW w:w="1988" w:type="dxa"/>
                  <w:vAlign w:val="center"/>
                </w:tcPr>
                <w:p w14:paraId="18C957A5"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EVENTO</w:t>
                  </w:r>
                </w:p>
              </w:tc>
              <w:tc>
                <w:tcPr>
                  <w:tcW w:w="2126" w:type="dxa"/>
                  <w:vAlign w:val="center"/>
                </w:tcPr>
                <w:p w14:paraId="18C957A6"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DATA DA SOLICITAÇÃO</w:t>
                  </w:r>
                </w:p>
              </w:tc>
              <w:tc>
                <w:tcPr>
                  <w:tcW w:w="2552" w:type="dxa"/>
                  <w:vAlign w:val="center"/>
                </w:tcPr>
                <w:p w14:paraId="18C957A7"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DATA DA CONVERSÃO</w:t>
                  </w:r>
                </w:p>
              </w:tc>
              <w:tc>
                <w:tcPr>
                  <w:tcW w:w="2835" w:type="dxa"/>
                  <w:vAlign w:val="center"/>
                </w:tcPr>
                <w:p w14:paraId="18C957A8"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color w:val="000000"/>
                      <w:sz w:val="22"/>
                      <w:szCs w:val="22"/>
                    </w:rPr>
                  </w:pPr>
                  <w:r w:rsidRPr="00E65AD6">
                    <w:rPr>
                      <w:rFonts w:ascii="Josefin Sans" w:eastAsia="Josefin Sans" w:hAnsi="Josefin Sans" w:cs="Josefin Sans"/>
                      <w:b/>
                      <w:color w:val="000000"/>
                      <w:sz w:val="22"/>
                      <w:szCs w:val="22"/>
                    </w:rPr>
                    <w:t>DATA DO PAGAMENTO</w:t>
                  </w:r>
                </w:p>
              </w:tc>
            </w:tr>
            <w:tr w:rsidR="00AC4EFA" w:rsidRPr="00E65AD6" w14:paraId="18C957B0" w14:textId="77777777" w:rsidTr="00E65AD6">
              <w:tc>
                <w:tcPr>
                  <w:tcW w:w="1988" w:type="dxa"/>
                  <w:vAlign w:val="center"/>
                </w:tcPr>
                <w:p w14:paraId="18C957AA"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APLICAÇÃO</w:t>
                  </w:r>
                </w:p>
              </w:tc>
              <w:tc>
                <w:tcPr>
                  <w:tcW w:w="2126" w:type="dxa"/>
                  <w:vAlign w:val="center"/>
                </w:tcPr>
                <w:p w14:paraId="18C957AB"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D</w:t>
                  </w:r>
                </w:p>
              </w:tc>
              <w:tc>
                <w:tcPr>
                  <w:tcW w:w="2552" w:type="dxa"/>
                  <w:vAlign w:val="center"/>
                </w:tcPr>
                <w:p w14:paraId="18C957AC"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D+0</w:t>
                  </w:r>
                </w:p>
                <w:p w14:paraId="18C957AD"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Data da Solicitação</w:t>
                  </w:r>
                </w:p>
              </w:tc>
              <w:tc>
                <w:tcPr>
                  <w:tcW w:w="2835" w:type="dxa"/>
                  <w:vAlign w:val="center"/>
                </w:tcPr>
                <w:p w14:paraId="18C957AE"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D+0</w:t>
                  </w:r>
                </w:p>
                <w:p w14:paraId="18C957AF"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Data da Solicitação</w:t>
                  </w:r>
                </w:p>
              </w:tc>
            </w:tr>
            <w:tr w:rsidR="00AC4EFA" w:rsidRPr="00E65AD6" w14:paraId="18C957B7" w14:textId="77777777" w:rsidTr="00E65AD6">
              <w:tc>
                <w:tcPr>
                  <w:tcW w:w="1988" w:type="dxa"/>
                  <w:vAlign w:val="center"/>
                </w:tcPr>
                <w:p w14:paraId="18C957B1"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b/>
                      <w:color w:val="000000"/>
                      <w:sz w:val="22"/>
                      <w:szCs w:val="22"/>
                    </w:rPr>
                  </w:pPr>
                  <w:r w:rsidRPr="00E65AD6">
                    <w:rPr>
                      <w:rFonts w:ascii="Josefin Sans" w:eastAsia="Josefin Sans" w:hAnsi="Josefin Sans" w:cs="Josefin Sans"/>
                      <w:b/>
                      <w:color w:val="000000"/>
                      <w:sz w:val="22"/>
                      <w:szCs w:val="22"/>
                    </w:rPr>
                    <w:t>RESGATE</w:t>
                  </w:r>
                </w:p>
              </w:tc>
              <w:tc>
                <w:tcPr>
                  <w:tcW w:w="2126" w:type="dxa"/>
                  <w:vAlign w:val="center"/>
                </w:tcPr>
                <w:p w14:paraId="18C957B2"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D</w:t>
                  </w:r>
                </w:p>
              </w:tc>
              <w:tc>
                <w:tcPr>
                  <w:tcW w:w="2552" w:type="dxa"/>
                  <w:vAlign w:val="center"/>
                </w:tcPr>
                <w:p w14:paraId="18C957B3"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D+15</w:t>
                  </w:r>
                </w:p>
                <w:p w14:paraId="18C957B4"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Dia corrido após a Data da Conversão de Cotas do Resgate</w:t>
                  </w:r>
                </w:p>
              </w:tc>
              <w:tc>
                <w:tcPr>
                  <w:tcW w:w="2835" w:type="dxa"/>
                  <w:vAlign w:val="center"/>
                </w:tcPr>
                <w:p w14:paraId="18C957B5"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D+2</w:t>
                  </w:r>
                </w:p>
                <w:p w14:paraId="18C957B6" w14:textId="77777777" w:rsidR="00AC4EFA" w:rsidRPr="00E65AD6" w:rsidRDefault="006900B4">
                  <w:pPr>
                    <w:pBdr>
                      <w:top w:val="nil"/>
                      <w:left w:val="nil"/>
                      <w:bottom w:val="nil"/>
                      <w:right w:val="nil"/>
                      <w:between w:val="nil"/>
                    </w:pBdr>
                    <w:tabs>
                      <w:tab w:val="left" w:pos="567"/>
                    </w:tabs>
                    <w:spacing w:after="120"/>
                    <w:ind w:right="30"/>
                    <w:jc w:val="center"/>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Dia útil após a Data da Conversão de Cotas do Resgate</w:t>
                  </w:r>
                </w:p>
              </w:tc>
            </w:tr>
          </w:tbl>
          <w:p w14:paraId="18C957B8" w14:textId="77777777" w:rsidR="00AC4EFA" w:rsidRPr="00E65AD6" w:rsidRDefault="00AC4EFA">
            <w:pPr>
              <w:pBdr>
                <w:top w:val="nil"/>
                <w:left w:val="nil"/>
                <w:bottom w:val="nil"/>
                <w:right w:val="nil"/>
                <w:between w:val="nil"/>
              </w:pBdr>
              <w:tabs>
                <w:tab w:val="left" w:pos="567"/>
              </w:tabs>
              <w:spacing w:after="120"/>
              <w:ind w:left="792" w:right="30"/>
              <w:jc w:val="both"/>
              <w:rPr>
                <w:rFonts w:ascii="Josefin Sans" w:eastAsia="Josefin Sans" w:hAnsi="Josefin Sans" w:cs="Josefin Sans"/>
                <w:color w:val="000000"/>
                <w:sz w:val="22"/>
                <w:szCs w:val="22"/>
              </w:rPr>
            </w:pPr>
          </w:p>
          <w:p w14:paraId="18C957B9" w14:textId="7ADCCD94" w:rsidR="00AC4EFA" w:rsidRPr="00E65AD6" w:rsidRDefault="006900B4">
            <w:pPr>
              <w:pBdr>
                <w:top w:val="nil"/>
                <w:left w:val="nil"/>
                <w:bottom w:val="nil"/>
                <w:right w:val="nil"/>
                <w:between w:val="nil"/>
              </w:pBdr>
              <w:ind w:left="360"/>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w:t>
            </w:r>
            <w:r w:rsidRPr="00E65AD6">
              <w:rPr>
                <w:rFonts w:ascii="Josefin Sans" w:eastAsia="Josefin Sans" w:hAnsi="Josefin Sans" w:cs="Josefin Sans"/>
                <w:color w:val="000000"/>
                <w:sz w:val="22"/>
                <w:szCs w:val="22"/>
              </w:rPr>
              <w:tab/>
              <w:t>Valor da cota na data da primeira integralização: R$ 1</w:t>
            </w:r>
            <w:sdt>
              <w:sdtPr>
                <w:rPr>
                  <w:rFonts w:ascii="Josefin Sans" w:hAnsi="Josefin Sans"/>
                </w:rPr>
                <w:tag w:val="goog_rdk_12"/>
                <w:id w:val="175158704"/>
              </w:sdtPr>
              <w:sdtEndPr/>
              <w:sdtContent/>
            </w:sdt>
            <w:r w:rsidRPr="00E65AD6">
              <w:rPr>
                <w:rFonts w:ascii="Josefin Sans" w:eastAsia="Josefin Sans" w:hAnsi="Josefin Sans" w:cs="Josefin Sans"/>
                <w:color w:val="000000"/>
                <w:sz w:val="22"/>
                <w:szCs w:val="22"/>
              </w:rPr>
              <w:t xml:space="preserve">,00 (um </w:t>
            </w:r>
            <w:r w:rsidR="004E77FD" w:rsidRPr="00E65AD6">
              <w:rPr>
                <w:rFonts w:ascii="Josefin Sans" w:eastAsia="Josefin Sans" w:hAnsi="Josefin Sans" w:cs="Josefin Sans"/>
                <w:color w:val="000000"/>
                <w:sz w:val="22"/>
                <w:szCs w:val="22"/>
              </w:rPr>
              <w:t>real</w:t>
            </w:r>
            <w:r w:rsidRPr="00E65AD6">
              <w:rPr>
                <w:rFonts w:ascii="Josefin Sans" w:eastAsia="Josefin Sans" w:hAnsi="Josefin Sans" w:cs="Josefin Sans"/>
                <w:color w:val="000000"/>
                <w:sz w:val="22"/>
                <w:szCs w:val="22"/>
              </w:rPr>
              <w:t>).</w:t>
            </w:r>
          </w:p>
          <w:p w14:paraId="18C957BA" w14:textId="77777777" w:rsidR="00AC4EFA" w:rsidRPr="00E65AD6" w:rsidRDefault="006900B4">
            <w:pPr>
              <w:pBdr>
                <w:top w:val="nil"/>
                <w:left w:val="nil"/>
                <w:bottom w:val="nil"/>
                <w:right w:val="nil"/>
                <w:between w:val="nil"/>
              </w:pBdr>
              <w:ind w:left="360"/>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(b) Aplicação Inicial Mínima: R$ 100,00 (cem reais)</w:t>
            </w:r>
          </w:p>
          <w:p w14:paraId="18C957BB" w14:textId="77777777" w:rsidR="00AC4EFA" w:rsidRPr="00E65AD6" w:rsidRDefault="006900B4">
            <w:pPr>
              <w:pBdr>
                <w:top w:val="nil"/>
                <w:left w:val="nil"/>
                <w:bottom w:val="nil"/>
                <w:right w:val="nil"/>
                <w:between w:val="nil"/>
              </w:pBdr>
              <w:ind w:left="360"/>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(c)</w:t>
            </w:r>
            <w:r w:rsidRPr="00E65AD6">
              <w:rPr>
                <w:rFonts w:ascii="Josefin Sans" w:eastAsia="Josefin Sans" w:hAnsi="Josefin Sans" w:cs="Josefin Sans"/>
                <w:color w:val="000000"/>
                <w:sz w:val="22"/>
                <w:szCs w:val="22"/>
              </w:rPr>
              <w:tab/>
              <w:t>Aplicação Adicional Mínima: R$ 100,00 (cem reais)</w:t>
            </w:r>
          </w:p>
          <w:p w14:paraId="18C957BC" w14:textId="77777777" w:rsidR="00AC4EFA" w:rsidRPr="00E65AD6" w:rsidRDefault="006900B4">
            <w:pPr>
              <w:pBdr>
                <w:top w:val="nil"/>
                <w:left w:val="nil"/>
                <w:bottom w:val="nil"/>
                <w:right w:val="nil"/>
                <w:between w:val="nil"/>
              </w:pBdr>
              <w:ind w:left="360"/>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(d)</w:t>
            </w:r>
            <w:r w:rsidRPr="00E65AD6">
              <w:rPr>
                <w:rFonts w:ascii="Josefin Sans" w:eastAsia="Josefin Sans" w:hAnsi="Josefin Sans" w:cs="Josefin Sans"/>
                <w:color w:val="000000"/>
                <w:sz w:val="22"/>
                <w:szCs w:val="22"/>
              </w:rPr>
              <w:tab/>
              <w:t>Resgate Mínimo: R$ 100,00 (cem reais)</w:t>
            </w:r>
          </w:p>
          <w:p w14:paraId="18C957BD" w14:textId="77777777" w:rsidR="00AC4EFA" w:rsidRPr="00E65AD6" w:rsidRDefault="006900B4">
            <w:pPr>
              <w:pBdr>
                <w:top w:val="nil"/>
                <w:left w:val="nil"/>
                <w:bottom w:val="nil"/>
                <w:right w:val="nil"/>
                <w:between w:val="nil"/>
              </w:pBdr>
              <w:ind w:left="360"/>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(e)</w:t>
            </w:r>
            <w:r w:rsidRPr="00E65AD6">
              <w:rPr>
                <w:rFonts w:ascii="Josefin Sans" w:eastAsia="Josefin Sans" w:hAnsi="Josefin Sans" w:cs="Josefin Sans"/>
                <w:color w:val="000000"/>
                <w:sz w:val="22"/>
                <w:szCs w:val="22"/>
              </w:rPr>
              <w:tab/>
              <w:t>Saldo Mínimo Residual: R$ 100,00 (cem reais)</w:t>
            </w:r>
          </w:p>
          <w:p w14:paraId="18C957BE" w14:textId="77777777" w:rsidR="00AC4EFA" w:rsidRPr="00E65AD6" w:rsidRDefault="006900B4">
            <w:pPr>
              <w:pBdr>
                <w:top w:val="nil"/>
                <w:left w:val="nil"/>
                <w:bottom w:val="nil"/>
                <w:right w:val="nil"/>
                <w:between w:val="nil"/>
              </w:pBdr>
              <w:ind w:left="333"/>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Horário de Movimentação: das 9:00 horas às 16:00 horas (horário de Brasília).</w:t>
            </w:r>
          </w:p>
          <w:p w14:paraId="18C957BF" w14:textId="77777777" w:rsidR="00AC4EFA" w:rsidRPr="00E65AD6" w:rsidRDefault="00AC4EFA">
            <w:pPr>
              <w:pBdr>
                <w:top w:val="nil"/>
                <w:left w:val="nil"/>
                <w:bottom w:val="nil"/>
                <w:right w:val="nil"/>
                <w:between w:val="nil"/>
              </w:pBdr>
              <w:tabs>
                <w:tab w:val="left" w:pos="590"/>
              </w:tabs>
              <w:spacing w:after="120"/>
              <w:ind w:left="34" w:right="30"/>
              <w:jc w:val="both"/>
              <w:rPr>
                <w:rFonts w:ascii="Josefin Sans" w:eastAsia="Bradesco Sans" w:hAnsi="Josefin Sans" w:cs="Bradesco Sans"/>
                <w:color w:val="000000"/>
                <w:sz w:val="22"/>
                <w:szCs w:val="22"/>
              </w:rPr>
            </w:pPr>
          </w:p>
          <w:p w14:paraId="18C957C0" w14:textId="77777777" w:rsidR="00AC4EFA" w:rsidRPr="00E65AD6" w:rsidRDefault="006900B4">
            <w:pPr>
              <w:numPr>
                <w:ilvl w:val="0"/>
                <w:numId w:val="13"/>
              </w:numPr>
              <w:pBdr>
                <w:top w:val="nil"/>
                <w:left w:val="nil"/>
                <w:bottom w:val="nil"/>
                <w:right w:val="nil"/>
                <w:between w:val="nil"/>
              </w:pBdr>
              <w:tabs>
                <w:tab w:val="left" w:pos="557"/>
              </w:tabs>
              <w:spacing w:after="120"/>
              <w:ind w:left="0" w:right="30" w:firstLine="0"/>
              <w:jc w:val="both"/>
              <w:rPr>
                <w:rFonts w:ascii="Josefin Sans" w:eastAsia="Bradesco Sans" w:hAnsi="Josefin Sans" w:cs="Bradesco Sans"/>
                <w:color w:val="000000"/>
                <w:sz w:val="22"/>
                <w:szCs w:val="22"/>
              </w:rPr>
            </w:pPr>
            <w:r w:rsidRPr="00E65AD6">
              <w:rPr>
                <w:rFonts w:ascii="Josefin Sans" w:eastAsia="Josefin Sans" w:hAnsi="Josefin Sans" w:cs="Josefin Sans"/>
                <w:color w:val="000000"/>
                <w:sz w:val="22"/>
                <w:szCs w:val="22"/>
              </w:rPr>
              <w:t>No caso de fechamento dos mercados e em casos excepcionais de iliquidez dos ativos componentes da carteira, o administrador, o gestor ou ambos podem declarar o fechamento do Fundo para resgates, hipótese na qual deverão ser observados os procedimentos previstos no artigo 44 da RCVM 175.</w:t>
            </w:r>
          </w:p>
          <w:p w14:paraId="18C957C1" w14:textId="77777777" w:rsidR="00AC4EFA" w:rsidRPr="00E65AD6" w:rsidRDefault="006900B4">
            <w:pPr>
              <w:numPr>
                <w:ilvl w:val="0"/>
                <w:numId w:val="13"/>
              </w:numPr>
              <w:pBdr>
                <w:top w:val="nil"/>
                <w:left w:val="nil"/>
                <w:bottom w:val="nil"/>
                <w:right w:val="nil"/>
                <w:between w:val="nil"/>
              </w:pBdr>
              <w:tabs>
                <w:tab w:val="left" w:pos="557"/>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Os cotistas poderão realizar o resgate compulsório das cotas desde que aprovado em assembleia geral de cotistas, a qual determine: </w:t>
            </w:r>
          </w:p>
          <w:p w14:paraId="18C957C2" w14:textId="77777777" w:rsidR="00AC4EFA" w:rsidRPr="00E65AD6" w:rsidRDefault="006900B4">
            <w:pPr>
              <w:numPr>
                <w:ilvl w:val="0"/>
                <w:numId w:val="7"/>
              </w:numPr>
              <w:pBdr>
                <w:top w:val="nil"/>
                <w:left w:val="nil"/>
                <w:bottom w:val="nil"/>
                <w:right w:val="nil"/>
                <w:between w:val="nil"/>
              </w:pBdr>
              <w:spacing w:after="120"/>
              <w:ind w:left="1172" w:right="37" w:hanging="709"/>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 forma e condições por meio do qual o procedimento será realizado;</w:t>
            </w:r>
          </w:p>
          <w:p w14:paraId="18C957C3" w14:textId="77777777" w:rsidR="00AC4EFA" w:rsidRPr="00E65AD6" w:rsidRDefault="006900B4">
            <w:pPr>
              <w:numPr>
                <w:ilvl w:val="0"/>
                <w:numId w:val="7"/>
              </w:numPr>
              <w:pBdr>
                <w:top w:val="nil"/>
                <w:left w:val="nil"/>
                <w:bottom w:val="nil"/>
                <w:right w:val="nil"/>
                <w:between w:val="nil"/>
              </w:pBdr>
              <w:spacing w:after="120"/>
              <w:ind w:left="1172" w:right="37" w:hanging="709"/>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que o resgate compulsório seja realizado de forma equânime, simultânea e proporcional entre todos os cotistas; e</w:t>
            </w:r>
          </w:p>
          <w:p w14:paraId="18C957C4" w14:textId="77777777" w:rsidR="00AC4EFA" w:rsidRPr="00E65AD6" w:rsidRDefault="006900B4">
            <w:pPr>
              <w:numPr>
                <w:ilvl w:val="0"/>
                <w:numId w:val="7"/>
              </w:numPr>
              <w:pBdr>
                <w:top w:val="nil"/>
                <w:left w:val="nil"/>
                <w:bottom w:val="nil"/>
                <w:right w:val="nil"/>
                <w:between w:val="nil"/>
              </w:pBdr>
              <w:spacing w:after="120"/>
              <w:ind w:left="1172" w:right="37" w:hanging="709"/>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se for o caso, que não seja cobrada taxa de saída.</w:t>
            </w:r>
          </w:p>
          <w:p w14:paraId="18C957C5" w14:textId="77777777" w:rsidR="00AC4EFA" w:rsidRPr="00E65AD6" w:rsidRDefault="006900B4">
            <w:pPr>
              <w:numPr>
                <w:ilvl w:val="0"/>
                <w:numId w:val="13"/>
              </w:numPr>
              <w:pBdr>
                <w:top w:val="nil"/>
                <w:left w:val="nil"/>
                <w:bottom w:val="nil"/>
                <w:right w:val="nil"/>
                <w:between w:val="nil"/>
              </w:pBdr>
              <w:tabs>
                <w:tab w:val="left" w:pos="567"/>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As cotas não podem ser objeto de cessão ou transferência de titularidade, exceto nas seguintes hipóteses, conforme aplicáveis: (i) decisão judicial ou arbitral; (</w:t>
            </w:r>
            <w:proofErr w:type="spellStart"/>
            <w:r w:rsidRPr="00E65AD6">
              <w:rPr>
                <w:rFonts w:ascii="Josefin Sans" w:eastAsia="Josefin Sans" w:hAnsi="Josefin Sans" w:cs="Josefin Sans"/>
                <w:color w:val="000000"/>
                <w:sz w:val="22"/>
                <w:szCs w:val="22"/>
              </w:rPr>
              <w:t>ii</w:t>
            </w:r>
            <w:proofErr w:type="spellEnd"/>
            <w:r w:rsidRPr="00E65AD6">
              <w:rPr>
                <w:rFonts w:ascii="Josefin Sans" w:eastAsia="Josefin Sans" w:hAnsi="Josefin Sans" w:cs="Josefin Sans"/>
                <w:color w:val="000000"/>
                <w:sz w:val="22"/>
                <w:szCs w:val="22"/>
              </w:rPr>
              <w:t>) operações de cessão fiduciária; (</w:t>
            </w:r>
            <w:proofErr w:type="spellStart"/>
            <w:r w:rsidRPr="00E65AD6">
              <w:rPr>
                <w:rFonts w:ascii="Josefin Sans" w:eastAsia="Josefin Sans" w:hAnsi="Josefin Sans" w:cs="Josefin Sans"/>
                <w:color w:val="000000"/>
                <w:sz w:val="22"/>
                <w:szCs w:val="22"/>
              </w:rPr>
              <w:t>iii</w:t>
            </w:r>
            <w:proofErr w:type="spellEnd"/>
            <w:r w:rsidRPr="00E65AD6">
              <w:rPr>
                <w:rFonts w:ascii="Josefin Sans" w:eastAsia="Josefin Sans" w:hAnsi="Josefin Sans" w:cs="Josefin Sans"/>
                <w:color w:val="000000"/>
                <w:sz w:val="22"/>
                <w:szCs w:val="22"/>
              </w:rPr>
              <w:t>) execução de garantia; (</w:t>
            </w:r>
            <w:proofErr w:type="spellStart"/>
            <w:r w:rsidRPr="00E65AD6">
              <w:rPr>
                <w:rFonts w:ascii="Josefin Sans" w:eastAsia="Josefin Sans" w:hAnsi="Josefin Sans" w:cs="Josefin Sans"/>
                <w:color w:val="000000"/>
                <w:sz w:val="22"/>
                <w:szCs w:val="22"/>
              </w:rPr>
              <w:t>iv</w:t>
            </w:r>
            <w:proofErr w:type="spellEnd"/>
            <w:r w:rsidRPr="00E65AD6">
              <w:rPr>
                <w:rFonts w:ascii="Josefin Sans" w:eastAsia="Josefin Sans" w:hAnsi="Josefin Sans" w:cs="Josefin Sans"/>
                <w:color w:val="000000"/>
                <w:sz w:val="22"/>
                <w:szCs w:val="22"/>
              </w:rPr>
              <w:t>) sucessão universal; (v) dissolução de sociedade conjugal ou união estável por via judicial ou escritura pública que disponha sobre a partilha de bens; (vi) transferência de administração ou portabilidade de planos de previdência; (</w:t>
            </w:r>
            <w:proofErr w:type="spellStart"/>
            <w:r w:rsidRPr="00E65AD6">
              <w:rPr>
                <w:rFonts w:ascii="Josefin Sans" w:eastAsia="Josefin Sans" w:hAnsi="Josefin Sans" w:cs="Josefin Sans"/>
                <w:color w:val="000000"/>
                <w:sz w:val="22"/>
                <w:szCs w:val="22"/>
              </w:rPr>
              <w:t>vii</w:t>
            </w:r>
            <w:proofErr w:type="spellEnd"/>
            <w:r w:rsidRPr="00E65AD6">
              <w:rPr>
                <w:rFonts w:ascii="Josefin Sans" w:eastAsia="Josefin Sans" w:hAnsi="Josefin Sans" w:cs="Josefin Sans"/>
                <w:color w:val="000000"/>
                <w:sz w:val="22"/>
                <w:szCs w:val="22"/>
              </w:rPr>
              <w:t>) integralização de participações acionárias em companhias ou no capital social de sociedades limitadas; (</w:t>
            </w:r>
            <w:proofErr w:type="spellStart"/>
            <w:r w:rsidRPr="00E65AD6">
              <w:rPr>
                <w:rFonts w:ascii="Josefin Sans" w:eastAsia="Josefin Sans" w:hAnsi="Josefin Sans" w:cs="Josefin Sans"/>
                <w:color w:val="000000"/>
                <w:sz w:val="22"/>
                <w:szCs w:val="22"/>
              </w:rPr>
              <w:t>viii</w:t>
            </w:r>
            <w:proofErr w:type="spellEnd"/>
            <w:r w:rsidRPr="00E65AD6">
              <w:rPr>
                <w:rFonts w:ascii="Josefin Sans" w:eastAsia="Josefin Sans" w:hAnsi="Josefin Sans" w:cs="Josefin Sans"/>
                <w:color w:val="000000"/>
                <w:sz w:val="22"/>
                <w:szCs w:val="22"/>
              </w:rPr>
              <w:t>) integralização de cotas de outras classes, passando assim à propriedade da classe cujas cotas foram integralizadas; e (</w:t>
            </w:r>
            <w:proofErr w:type="spellStart"/>
            <w:r w:rsidRPr="00E65AD6">
              <w:rPr>
                <w:rFonts w:ascii="Josefin Sans" w:eastAsia="Josefin Sans" w:hAnsi="Josefin Sans" w:cs="Josefin Sans"/>
                <w:color w:val="000000"/>
                <w:sz w:val="22"/>
                <w:szCs w:val="22"/>
              </w:rPr>
              <w:t>ix</w:t>
            </w:r>
            <w:proofErr w:type="spellEnd"/>
            <w:r w:rsidRPr="00E65AD6">
              <w:rPr>
                <w:rFonts w:ascii="Josefin Sans" w:eastAsia="Josefin Sans" w:hAnsi="Josefin Sans" w:cs="Josefin Sans"/>
                <w:color w:val="000000"/>
                <w:sz w:val="22"/>
                <w:szCs w:val="22"/>
              </w:rPr>
              <w:t>) resgate ou amortização de cotas em cotas de outras classes, passando assim essas últimas cotas à propriedade do investidor cujas cotas foram resgatadas ou amortizadas.</w:t>
            </w:r>
          </w:p>
          <w:p w14:paraId="18C957C6" w14:textId="77777777" w:rsidR="00AC4EFA" w:rsidRPr="00E65AD6" w:rsidRDefault="006900B4">
            <w:pPr>
              <w:numPr>
                <w:ilvl w:val="0"/>
                <w:numId w:val="13"/>
              </w:numPr>
              <w:pBdr>
                <w:top w:val="nil"/>
                <w:left w:val="nil"/>
                <w:bottom w:val="nil"/>
                <w:right w:val="nil"/>
                <w:between w:val="nil"/>
              </w:pBdr>
              <w:tabs>
                <w:tab w:val="left" w:pos="590"/>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lastRenderedPageBreak/>
              <w:t>As cotas do Fundo não serão negociadas em bolsa de valores e/ou em mercados de balcão organizado</w:t>
            </w:r>
          </w:p>
          <w:p w14:paraId="18C957C7" w14:textId="77777777" w:rsidR="00AC4EFA" w:rsidRPr="00E65AD6" w:rsidRDefault="006900B4">
            <w:pPr>
              <w:numPr>
                <w:ilvl w:val="0"/>
                <w:numId w:val="13"/>
              </w:numPr>
              <w:pBdr>
                <w:top w:val="nil"/>
                <w:left w:val="nil"/>
                <w:bottom w:val="nil"/>
                <w:right w:val="nil"/>
                <w:between w:val="nil"/>
              </w:pBdr>
              <w:tabs>
                <w:tab w:val="left" w:pos="590"/>
              </w:tabs>
              <w:spacing w:after="120"/>
              <w:ind w:left="34"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 gestor pode contratar distribuidor para realizar a distribuição e subscrição de cotas por conta e ordem dos investidores, observadas as disposições regulamentares aplicáveis.</w:t>
            </w:r>
          </w:p>
          <w:p w14:paraId="18C957C8" w14:textId="77777777" w:rsidR="00AC4EFA" w:rsidRPr="00E65AD6" w:rsidRDefault="006900B4">
            <w:pPr>
              <w:numPr>
                <w:ilvl w:val="0"/>
                <w:numId w:val="13"/>
              </w:numPr>
              <w:pBdr>
                <w:top w:val="nil"/>
                <w:left w:val="nil"/>
                <w:bottom w:val="nil"/>
                <w:right w:val="nil"/>
                <w:between w:val="nil"/>
              </w:pBdr>
              <w:tabs>
                <w:tab w:val="left" w:pos="590"/>
              </w:tabs>
              <w:spacing w:after="120"/>
              <w:ind w:left="34"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A Subclasse poderá, por iniciativa dos cotistas, promover, anualmente, a amortização de suas cotas, desde que está não comprometa o regular funcionamento da Classe. </w:t>
            </w:r>
          </w:p>
          <w:p w14:paraId="18C957C9" w14:textId="77777777" w:rsidR="00AC4EFA" w:rsidRPr="00E65AD6" w:rsidRDefault="006900B4">
            <w:pPr>
              <w:numPr>
                <w:ilvl w:val="1"/>
                <w:numId w:val="13"/>
              </w:numPr>
              <w:pBdr>
                <w:top w:val="nil"/>
                <w:left w:val="nil"/>
                <w:bottom w:val="nil"/>
                <w:right w:val="nil"/>
                <w:between w:val="nil"/>
              </w:pBdr>
              <w:tabs>
                <w:tab w:val="left" w:pos="176"/>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A iniciativa dos cotistas será mediante solicitação de convocação de assembleia especial para este fim, devendo informar a quantidade de cotas que deseja amortizar, ou valor que deseja que lhe seja disponibilizado através da amortização. </w:t>
            </w:r>
          </w:p>
          <w:p w14:paraId="18C957CA" w14:textId="77777777" w:rsidR="00AC4EFA" w:rsidRPr="00E65AD6" w:rsidRDefault="006900B4">
            <w:pPr>
              <w:numPr>
                <w:ilvl w:val="1"/>
                <w:numId w:val="13"/>
              </w:numPr>
              <w:pBdr>
                <w:top w:val="nil"/>
                <w:left w:val="nil"/>
                <w:bottom w:val="nil"/>
                <w:right w:val="nil"/>
                <w:between w:val="nil"/>
              </w:pBdr>
              <w:tabs>
                <w:tab w:val="left" w:pos="176"/>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Caberá ao Gestor avaliar se a amortização solicitada compromete ou não o regular funcionamento da Classe. </w:t>
            </w:r>
          </w:p>
          <w:p w14:paraId="18C957CB" w14:textId="77777777" w:rsidR="00AC4EFA" w:rsidRPr="00E65AD6" w:rsidRDefault="006900B4">
            <w:pPr>
              <w:numPr>
                <w:ilvl w:val="1"/>
                <w:numId w:val="13"/>
              </w:numPr>
              <w:pBdr>
                <w:top w:val="nil"/>
                <w:left w:val="nil"/>
                <w:bottom w:val="nil"/>
                <w:right w:val="nil"/>
                <w:between w:val="nil"/>
              </w:pBdr>
              <w:tabs>
                <w:tab w:val="left" w:pos="176"/>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 xml:space="preserve">Para os casos em que os pedidos de amortização forem prejudiciais ao regular funcionamento da classe, o Gestor irá comunicar, fundamentadamente, aos cotistas que a amortização não será nos termos solicitados, podendo o Gestor sugerir uma alternativa ou aguardar nova solicitação dos cotistas. </w:t>
            </w:r>
          </w:p>
          <w:p w14:paraId="18C957CC" w14:textId="77777777" w:rsidR="00AC4EFA" w:rsidRPr="00E65AD6" w:rsidRDefault="006900B4">
            <w:pPr>
              <w:numPr>
                <w:ilvl w:val="1"/>
                <w:numId w:val="13"/>
              </w:numPr>
              <w:pBdr>
                <w:top w:val="nil"/>
                <w:left w:val="nil"/>
                <w:bottom w:val="nil"/>
                <w:right w:val="nil"/>
                <w:between w:val="nil"/>
              </w:pBdr>
              <w:tabs>
                <w:tab w:val="left" w:pos="176"/>
              </w:tabs>
              <w:spacing w:after="120"/>
              <w:ind w:left="0" w:right="30" w:firstLine="0"/>
              <w:jc w:val="both"/>
              <w:rPr>
                <w:rFonts w:ascii="Josefin Sans" w:eastAsia="Josefin Sans" w:hAnsi="Josefin Sans" w:cs="Josefin Sans"/>
                <w:color w:val="000000"/>
                <w:sz w:val="22"/>
                <w:szCs w:val="22"/>
              </w:rPr>
            </w:pPr>
            <w:r w:rsidRPr="00E65AD6">
              <w:rPr>
                <w:rFonts w:ascii="Josefin Sans" w:eastAsia="Josefin Sans" w:hAnsi="Josefin Sans" w:cs="Josefin Sans"/>
                <w:color w:val="000000"/>
                <w:sz w:val="22"/>
                <w:szCs w:val="22"/>
              </w:rPr>
              <w:t>O valor de cada amortização será disponibilizado aos cotistas com o abatimento de todas as taxas, encargos, comissões e despesas ordinárias da classe e do Fundo tratadas neste Regulamento.</w:t>
            </w:r>
          </w:p>
        </w:tc>
      </w:tr>
    </w:tbl>
    <w:p w14:paraId="18C957CE" w14:textId="77777777" w:rsidR="00AC4EFA" w:rsidRPr="00E65AD6" w:rsidRDefault="00AC4EFA">
      <w:pPr>
        <w:spacing w:after="120" w:line="240" w:lineRule="auto"/>
        <w:ind w:right="-511"/>
        <w:jc w:val="both"/>
        <w:rPr>
          <w:rFonts w:ascii="Josefin Sans" w:eastAsia="Josefin Sans" w:hAnsi="Josefin Sans" w:cs="Josefin Sans"/>
        </w:rPr>
      </w:pPr>
    </w:p>
    <w:p w14:paraId="31CE755A" w14:textId="77777777" w:rsidR="000C76B0" w:rsidRPr="00E65AD6" w:rsidRDefault="000C76B0" w:rsidP="000C76B0">
      <w:pPr>
        <w:spacing w:line="320" w:lineRule="auto"/>
        <w:jc w:val="center"/>
        <w:rPr>
          <w:rFonts w:ascii="Josefin Sans" w:eastAsia="Josefin Sans" w:hAnsi="Josefin Sans" w:cs="Josefin Sans"/>
          <w:color w:val="000000"/>
        </w:rPr>
      </w:pPr>
      <w:r w:rsidRPr="00E65AD6">
        <w:rPr>
          <w:rFonts w:ascii="Josefin Sans" w:eastAsia="Josefin Sans" w:hAnsi="Josefin Sans" w:cs="Josefin Sans"/>
          <w:color w:val="000000"/>
        </w:rPr>
        <w:t xml:space="preserve">São Paulo, </w:t>
      </w:r>
      <w:r w:rsidRPr="0044147B">
        <w:rPr>
          <w:rFonts w:ascii="Josefin Sans" w:eastAsia="Josefin Sans" w:hAnsi="Josefin Sans" w:cs="Josefin Sans"/>
          <w:color w:val="000000"/>
        </w:rPr>
        <w:t>29 de abril de 2024.</w:t>
      </w:r>
    </w:p>
    <w:p w14:paraId="18C957D0" w14:textId="77777777" w:rsidR="00AC4EFA" w:rsidRPr="00E65AD6" w:rsidRDefault="006900B4">
      <w:pPr>
        <w:spacing w:line="320" w:lineRule="auto"/>
        <w:jc w:val="center"/>
        <w:rPr>
          <w:rFonts w:ascii="Josefin Sans" w:eastAsia="Josefin Sans" w:hAnsi="Josefin Sans" w:cs="Josefin Sans"/>
          <w:b/>
          <w:color w:val="000000"/>
        </w:rPr>
      </w:pPr>
      <w:r w:rsidRPr="00E65AD6">
        <w:rPr>
          <w:rFonts w:ascii="Josefin Sans" w:eastAsia="Josefin Sans" w:hAnsi="Josefin Sans" w:cs="Josefin Sans"/>
          <w:b/>
          <w:color w:val="000000"/>
        </w:rPr>
        <w:t>VÓRTX DISTRIBUIDORA DE TÍTULOS E VALORES MOBILIÁRIOS LTDA.</w:t>
      </w:r>
    </w:p>
    <w:p w14:paraId="18C957D1" w14:textId="77777777" w:rsidR="00AC4EFA" w:rsidRPr="00E65AD6" w:rsidRDefault="006900B4">
      <w:pPr>
        <w:spacing w:line="320" w:lineRule="auto"/>
        <w:jc w:val="center"/>
        <w:rPr>
          <w:rFonts w:ascii="Josefin Sans" w:eastAsia="Josefin Sans" w:hAnsi="Josefin Sans" w:cs="Josefin Sans"/>
          <w:i/>
          <w:color w:val="000000"/>
        </w:rPr>
      </w:pPr>
      <w:r w:rsidRPr="00E65AD6">
        <w:rPr>
          <w:rFonts w:ascii="Josefin Sans" w:eastAsia="Josefin Sans" w:hAnsi="Josefin Sans" w:cs="Josefin Sans"/>
          <w:i/>
          <w:color w:val="000000"/>
        </w:rPr>
        <w:t>Administradora</w:t>
      </w:r>
    </w:p>
    <w:p w14:paraId="18C957D2" w14:textId="77777777" w:rsidR="00AC4EFA" w:rsidRPr="00E65AD6" w:rsidRDefault="00AC4EFA">
      <w:pPr>
        <w:spacing w:after="160" w:line="259" w:lineRule="auto"/>
        <w:rPr>
          <w:rFonts w:ascii="Josefin Sans" w:eastAsia="Josefin Sans" w:hAnsi="Josefin Sans" w:cs="Josefin Sans"/>
        </w:rPr>
      </w:pPr>
    </w:p>
    <w:sectPr w:rsidR="00AC4EFA" w:rsidRPr="00E65AD6">
      <w:headerReference w:type="default" r:id="rId14"/>
      <w:footerReference w:type="even" r:id="rId15"/>
      <w:footerReference w:type="default" r:id="rId16"/>
      <w:footerReference w:type="first" r:id="rId17"/>
      <w:pgSz w:w="11906" w:h="16838"/>
      <w:pgMar w:top="1559" w:right="1247" w:bottom="1276" w:left="124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71732" w14:textId="77777777" w:rsidR="000D54A8" w:rsidRDefault="000D54A8">
      <w:pPr>
        <w:spacing w:after="0" w:line="240" w:lineRule="auto"/>
      </w:pPr>
      <w:r>
        <w:separator/>
      </w:r>
    </w:p>
  </w:endnote>
  <w:endnote w:type="continuationSeparator" w:id="0">
    <w:p w14:paraId="37B77B5C" w14:textId="77777777" w:rsidR="000D54A8" w:rsidRDefault="000D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Josefin Sans">
    <w:panose1 w:val="00000000000000000000"/>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radesc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957E4" w14:textId="77777777" w:rsidR="00AC4EFA" w:rsidRDefault="006900B4">
    <w:pPr>
      <w:pBdr>
        <w:top w:val="nil"/>
        <w:left w:val="nil"/>
        <w:bottom w:val="nil"/>
        <w:right w:val="nil"/>
        <w:between w:val="nil"/>
      </w:pBdr>
      <w:tabs>
        <w:tab w:val="center" w:pos="4252"/>
        <w:tab w:val="right" w:pos="8504"/>
      </w:tabs>
      <w:spacing w:after="0" w:line="240" w:lineRule="auto"/>
      <w:rPr>
        <w:rFonts w:cs="Calibri"/>
        <w:color w:val="000000"/>
      </w:rPr>
    </w:pPr>
    <w:r>
      <w:rPr>
        <w:noProof/>
      </w:rPr>
      <mc:AlternateContent>
        <mc:Choice Requires="wps">
          <w:drawing>
            <wp:anchor distT="0" distB="0" distL="0" distR="0" simplePos="0" relativeHeight="251663360" behindDoc="0" locked="0" layoutInCell="1" hidden="0" allowOverlap="1" wp14:anchorId="18C957EC" wp14:editId="18C957ED">
              <wp:simplePos x="0" y="0"/>
              <wp:positionH relativeFrom="column">
                <wp:posOffset>4724400</wp:posOffset>
              </wp:positionH>
              <wp:positionV relativeFrom="paragraph">
                <wp:posOffset>0</wp:posOffset>
              </wp:positionV>
              <wp:extent cx="453390" cy="453390"/>
              <wp:effectExtent l="0" t="0" r="0" b="0"/>
              <wp:wrapNone/>
              <wp:docPr id="513235082" name="Retângulo 513235082" descr="[ CLASSIFICAÇÃO: PÚBLICA ]"/>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18C957F9" w14:textId="77777777" w:rsidR="00AC4EFA" w:rsidRDefault="006900B4">
                          <w:pPr>
                            <w:spacing w:after="0" w:line="275" w:lineRule="auto"/>
                            <w:textDirection w:val="btLr"/>
                          </w:pPr>
                          <w:proofErr w:type="gramStart"/>
                          <w:r>
                            <w:rPr>
                              <w:rFonts w:cs="Calibri"/>
                              <w:color w:val="008000"/>
                              <w:sz w:val="20"/>
                            </w:rPr>
                            <w:t>[ CLASSIFICAÇÃO</w:t>
                          </w:r>
                          <w:proofErr w:type="gramEnd"/>
                          <w:r>
                            <w:rPr>
                              <w:rFonts w:cs="Calibri"/>
                              <w:color w:val="008000"/>
                              <w:sz w:val="20"/>
                            </w:rPr>
                            <w:t>: PÚBLICA ]</w:t>
                          </w:r>
                        </w:p>
                      </w:txbxContent>
                    </wps:txbx>
                    <wps:bodyPr spcFirstLastPara="1" wrap="square" lIns="0" tIns="0" rIns="254000" bIns="190500" anchor="b" anchorCtr="0">
                      <a:noAutofit/>
                    </wps:bodyPr>
                  </wps:wsp>
                </a:graphicData>
              </a:graphic>
            </wp:anchor>
          </w:drawing>
        </mc:Choice>
        <mc:Fallback>
          <w:pict>
            <v:rect w14:anchorId="18C957EC" id="Retângulo 513235082" o:spid="_x0000_s1026" alt="[ CLASSIFICAÇÃO: PÚBLICA ]" style="position:absolute;margin-left:372pt;margin-top:0;width:35.7pt;height:35.7pt;z-index:25166336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" filled="f" stroked="f">
              <v:textbox inset="0,0,20pt,15pt">
                <w:txbxContent>
                  <w:p w14:paraId="18C957F9" w14:textId="77777777" w:rsidR="00AC4EFA" w:rsidRDefault="006900B4">
                    <w:pPr>
                      <w:spacing w:after="0" w:line="275" w:lineRule="auto"/>
                      <w:textDirection w:val="btLr"/>
                    </w:pPr>
                    <w:proofErr w:type="gramStart"/>
                    <w:r>
                      <w:rPr>
                        <w:rFonts w:cs="Calibri"/>
                        <w:color w:val="008000"/>
                        <w:sz w:val="20"/>
                      </w:rPr>
                      <w:t>[ CLASSIFICAÇÃO</w:t>
                    </w:r>
                    <w:proofErr w:type="gramEnd"/>
                    <w:r>
                      <w:rPr>
                        <w:rFonts w:cs="Calibri"/>
                        <w:color w:val="008000"/>
                        <w:sz w:val="20"/>
                      </w:rPr>
                      <w:t>: PÚBLICA ]</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957E5" w14:textId="77777777" w:rsidR="00AC4EFA" w:rsidRDefault="006900B4">
    <w:pPr>
      <w:pBdr>
        <w:top w:val="nil"/>
        <w:left w:val="nil"/>
        <w:bottom w:val="nil"/>
        <w:right w:val="nil"/>
        <w:between w:val="nil"/>
      </w:pBdr>
      <w:tabs>
        <w:tab w:val="center" w:pos="4252"/>
        <w:tab w:val="right" w:pos="8504"/>
      </w:tabs>
      <w:spacing w:after="0" w:line="240" w:lineRule="auto"/>
      <w:jc w:val="center"/>
      <w:rPr>
        <w:rFonts w:cs="Calibri"/>
        <w:color w:val="000000"/>
      </w:rPr>
    </w:pPr>
    <w:r>
      <w:rPr>
        <w:noProof/>
      </w:rPr>
      <w:drawing>
        <wp:anchor distT="0" distB="0" distL="0" distR="0" simplePos="0" relativeHeight="251660288" behindDoc="1" locked="0" layoutInCell="1" hidden="0" allowOverlap="1" wp14:anchorId="18C957EE" wp14:editId="18C957EF">
          <wp:simplePos x="0" y="0"/>
          <wp:positionH relativeFrom="column">
            <wp:posOffset>0</wp:posOffset>
          </wp:positionH>
          <wp:positionV relativeFrom="paragraph">
            <wp:posOffset>9816465</wp:posOffset>
          </wp:positionV>
          <wp:extent cx="6336000" cy="876221"/>
          <wp:effectExtent l="0" t="0" r="0" b="0"/>
          <wp:wrapNone/>
          <wp:docPr id="398718109" name="image3.png" descr="Imagem 50"/>
          <wp:cNvGraphicFramePr/>
          <a:graphic xmlns:a="http://schemas.openxmlformats.org/drawingml/2006/main">
            <a:graphicData uri="http://schemas.openxmlformats.org/drawingml/2006/picture">
              <pic:pic xmlns:pic="http://schemas.openxmlformats.org/drawingml/2006/picture">
                <pic:nvPicPr>
                  <pic:cNvPr id="0" name="image3.png" descr="Imagem 50"/>
                  <pic:cNvPicPr preferRelativeResize="0"/>
                </pic:nvPicPr>
                <pic:blipFill>
                  <a:blip r:embed="rId1"/>
                  <a:srcRect/>
                  <a:stretch>
                    <a:fillRect/>
                  </a:stretch>
                </pic:blipFill>
                <pic:spPr>
                  <a:xfrm>
                    <a:off x="0" y="0"/>
                    <a:ext cx="6336000" cy="876221"/>
                  </a:xfrm>
                  <a:prstGeom prst="rect">
                    <a:avLst/>
                  </a:prstGeom>
                  <a:ln/>
                </pic:spPr>
              </pic:pic>
            </a:graphicData>
          </a:graphic>
        </wp:anchor>
      </w:drawing>
    </w:r>
    <w:r>
      <w:rPr>
        <w:noProof/>
      </w:rPr>
      <mc:AlternateContent>
        <mc:Choice Requires="wps">
          <w:drawing>
            <wp:anchor distT="0" distB="0" distL="0" distR="0" simplePos="0" relativeHeight="251661312" behindDoc="0" locked="0" layoutInCell="1" hidden="0" allowOverlap="1" wp14:anchorId="18C957F0" wp14:editId="18C957F1">
              <wp:simplePos x="0" y="0"/>
              <wp:positionH relativeFrom="column">
                <wp:posOffset>4724400</wp:posOffset>
              </wp:positionH>
              <wp:positionV relativeFrom="paragraph">
                <wp:posOffset>0</wp:posOffset>
              </wp:positionV>
              <wp:extent cx="453390" cy="453390"/>
              <wp:effectExtent l="0" t="0" r="0" b="0"/>
              <wp:wrapNone/>
              <wp:docPr id="513235083" name="Retângulo 513235083" descr="[ CLASSIFICAÇÃO: PÚBLICA ]"/>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18C957FA" w14:textId="77777777" w:rsidR="00AC4EFA" w:rsidRDefault="00AC4EFA">
                          <w:pPr>
                            <w:spacing w:after="0" w:line="275" w:lineRule="auto"/>
                            <w:textDirection w:val="btLr"/>
                          </w:pPr>
                        </w:p>
                      </w:txbxContent>
                    </wps:txbx>
                    <wps:bodyPr spcFirstLastPara="1" wrap="square" lIns="0" tIns="0" rIns="254000" bIns="190500" anchor="b" anchorCtr="0">
                      <a:noAutofit/>
                    </wps:bodyPr>
                  </wps:wsp>
                </a:graphicData>
              </a:graphic>
            </wp:anchor>
          </w:drawing>
        </mc:Choice>
        <mc:Fallback>
          <w:pict>
            <v:rect w14:anchorId="18C957F0" id="Retângulo 513235083" o:spid="_x0000_s1027" alt="[ CLASSIFICAÇÃO: PÚBLICA ]" style="position:absolute;left:0;text-align:left;margin-left:372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" filled="f" stroked="f">
              <v:textbox inset="0,0,20pt,15pt">
                <w:txbxContent>
                  <w:p w14:paraId="18C957FA" w14:textId="77777777" w:rsidR="00AC4EFA" w:rsidRDefault="00AC4EFA">
                    <w:pPr>
                      <w:spacing w:after="0" w:line="275" w:lineRule="auto"/>
                      <w:textDirection w:val="btLr"/>
                    </w:pPr>
                  </w:p>
                </w:txbxContent>
              </v:textbox>
            </v:rect>
          </w:pict>
        </mc:Fallback>
      </mc:AlternateContent>
    </w:r>
  </w:p>
  <w:p w14:paraId="18C957E6" w14:textId="77777777" w:rsidR="00AC4EFA" w:rsidRDefault="00AC4EFA">
    <w:pPr>
      <w:pBdr>
        <w:top w:val="nil"/>
        <w:left w:val="nil"/>
        <w:bottom w:val="nil"/>
        <w:right w:val="nil"/>
        <w:between w:val="nil"/>
      </w:pBdr>
      <w:tabs>
        <w:tab w:val="center" w:pos="4252"/>
        <w:tab w:val="right" w:pos="8504"/>
      </w:tabs>
      <w:spacing w:after="0" w:line="240" w:lineRule="auto"/>
      <w:jc w:val="center"/>
      <w:rPr>
        <w:rFonts w:ascii="Gadugi" w:eastAsia="Gadugi" w:hAnsi="Gadugi" w:cs="Gadug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957E7" w14:textId="77777777" w:rsidR="00AC4EFA" w:rsidRDefault="006900B4">
    <w:pPr>
      <w:pBdr>
        <w:top w:val="nil"/>
        <w:left w:val="nil"/>
        <w:bottom w:val="nil"/>
        <w:right w:val="nil"/>
        <w:between w:val="nil"/>
      </w:pBdr>
      <w:tabs>
        <w:tab w:val="center" w:pos="4252"/>
        <w:tab w:val="right" w:pos="8504"/>
      </w:tabs>
      <w:spacing w:after="0" w:line="240" w:lineRule="auto"/>
      <w:rPr>
        <w:rFonts w:cs="Calibri"/>
        <w:color w:val="000000"/>
      </w:rPr>
    </w:pPr>
    <w:r>
      <w:rPr>
        <w:noProof/>
      </w:rPr>
      <mc:AlternateContent>
        <mc:Choice Requires="wps">
          <w:drawing>
            <wp:anchor distT="0" distB="0" distL="0" distR="0" simplePos="0" relativeHeight="251662336" behindDoc="0" locked="0" layoutInCell="1" hidden="0" allowOverlap="1" wp14:anchorId="18C957F2" wp14:editId="18C957F3">
              <wp:simplePos x="0" y="0"/>
              <wp:positionH relativeFrom="column">
                <wp:posOffset>4724400</wp:posOffset>
              </wp:positionH>
              <wp:positionV relativeFrom="paragraph">
                <wp:posOffset>0</wp:posOffset>
              </wp:positionV>
              <wp:extent cx="453390" cy="453390"/>
              <wp:effectExtent l="0" t="0" r="0" b="0"/>
              <wp:wrapNone/>
              <wp:docPr id="513235081" name="Retângulo 513235081" descr="[ CLASSIFICAÇÃO: PÚBLICA ]"/>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18C957FB" w14:textId="77777777" w:rsidR="00AC4EFA" w:rsidRDefault="006900B4">
                          <w:pPr>
                            <w:spacing w:after="0" w:line="275" w:lineRule="auto"/>
                            <w:textDirection w:val="btLr"/>
                          </w:pPr>
                          <w:proofErr w:type="gramStart"/>
                          <w:r>
                            <w:rPr>
                              <w:rFonts w:cs="Calibri"/>
                              <w:color w:val="008000"/>
                              <w:sz w:val="20"/>
                            </w:rPr>
                            <w:t>[ CLASSIFICAÇÃO</w:t>
                          </w:r>
                          <w:proofErr w:type="gramEnd"/>
                          <w:r>
                            <w:rPr>
                              <w:rFonts w:cs="Calibri"/>
                              <w:color w:val="008000"/>
                              <w:sz w:val="20"/>
                            </w:rPr>
                            <w:t>: PÚBLICA ]</w:t>
                          </w:r>
                        </w:p>
                      </w:txbxContent>
                    </wps:txbx>
                    <wps:bodyPr spcFirstLastPara="1" wrap="square" lIns="0" tIns="0" rIns="254000" bIns="190500" anchor="b" anchorCtr="0">
                      <a:noAutofit/>
                    </wps:bodyPr>
                  </wps:wsp>
                </a:graphicData>
              </a:graphic>
            </wp:anchor>
          </w:drawing>
        </mc:Choice>
        <mc:Fallback>
          <w:pict>
            <v:rect w14:anchorId="18C957F2" id="Retângulo 513235081" o:spid="_x0000_s1028" alt="[ CLASSIFICAÇÃO: PÚBLICA ]" style="position:absolute;margin-left:372pt;margin-top:0;width:35.7pt;height:35.7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" filled="f" stroked="f">
              <v:textbox inset="0,0,20pt,15pt">
                <w:txbxContent>
                  <w:p w14:paraId="18C957FB" w14:textId="77777777" w:rsidR="00AC4EFA" w:rsidRDefault="006900B4">
                    <w:pPr>
                      <w:spacing w:after="0" w:line="275" w:lineRule="auto"/>
                      <w:textDirection w:val="btLr"/>
                    </w:pPr>
                    <w:proofErr w:type="gramStart"/>
                    <w:r>
                      <w:rPr>
                        <w:rFonts w:cs="Calibri"/>
                        <w:color w:val="008000"/>
                        <w:sz w:val="20"/>
                      </w:rPr>
                      <w:t>[ CLASSIFICAÇÃO</w:t>
                    </w:r>
                    <w:proofErr w:type="gramEnd"/>
                    <w:r>
                      <w:rPr>
                        <w:rFonts w:cs="Calibri"/>
                        <w:color w:val="008000"/>
                        <w:sz w:val="20"/>
                      </w:rPr>
                      <w:t>: PÚBLICA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A65FB" w14:textId="77777777" w:rsidR="000D54A8" w:rsidRDefault="000D54A8">
      <w:pPr>
        <w:spacing w:after="0" w:line="240" w:lineRule="auto"/>
      </w:pPr>
      <w:r>
        <w:separator/>
      </w:r>
    </w:p>
  </w:footnote>
  <w:footnote w:type="continuationSeparator" w:id="0">
    <w:p w14:paraId="69F79B32" w14:textId="77777777" w:rsidR="000D54A8" w:rsidRDefault="000D5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957E3" w14:textId="76CB0618" w:rsidR="00AC4EFA" w:rsidRPr="00A54B8F" w:rsidRDefault="00F41EC1">
    <w:pPr>
      <w:rPr>
        <w:rFonts w:ascii="Times New Roman" w:eastAsia="Times New Roman" w:hAnsi="Times New Roman"/>
        <w:sz w:val="24"/>
        <w:szCs w:val="24"/>
      </w:rPr>
    </w:pPr>
    <w:r>
      <w:rPr>
        <w:noProof/>
      </w:rPr>
      <w:drawing>
        <wp:anchor distT="0" distB="0" distL="114300" distR="114300" simplePos="0" relativeHeight="251665408" behindDoc="0" locked="0" layoutInCell="1" hidden="0" allowOverlap="1" wp14:anchorId="11C3AC39" wp14:editId="016C6D4E">
          <wp:simplePos x="0" y="0"/>
          <wp:positionH relativeFrom="column">
            <wp:posOffset>4669155</wp:posOffset>
          </wp:positionH>
          <wp:positionV relativeFrom="paragraph">
            <wp:posOffset>-380365</wp:posOffset>
          </wp:positionV>
          <wp:extent cx="1384300" cy="908050"/>
          <wp:effectExtent l="0" t="0" r="0" b="0"/>
          <wp:wrapTopAndBottom distT="0" distB="0"/>
          <wp:docPr id="513235085" name="image2.pn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513235085" name="image2.png" descr="Logotipo, nome da empresa&#10;&#10;Descrição gerada automaticament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384300" cy="908050"/>
                  </a:xfrm>
                  <a:prstGeom prst="rect">
                    <a:avLst/>
                  </a:prstGeom>
                  <a:ln/>
                </pic:spPr>
              </pic:pic>
            </a:graphicData>
          </a:graphic>
          <wp14:sizeRelH relativeFrom="margin">
            <wp14:pctWidth>0</wp14:pctWidth>
          </wp14:sizeRelH>
          <wp14:sizeRelV relativeFrom="margin">
            <wp14:pctHeight>0</wp14:pctHeight>
          </wp14:sizeRelV>
        </wp:anchor>
      </w:drawing>
    </w:r>
    <w:r w:rsidR="006900B4">
      <w:rPr>
        <w:noProof/>
      </w:rPr>
      <w:drawing>
        <wp:anchor distT="0" distB="0" distL="114300" distR="114300" simplePos="0" relativeHeight="251658240" behindDoc="0" locked="0" layoutInCell="1" hidden="0" allowOverlap="1" wp14:anchorId="18C957E8" wp14:editId="321F4267">
          <wp:simplePos x="0" y="0"/>
          <wp:positionH relativeFrom="column">
            <wp:posOffset>-489585</wp:posOffset>
          </wp:positionH>
          <wp:positionV relativeFrom="paragraph">
            <wp:posOffset>-281305</wp:posOffset>
          </wp:positionV>
          <wp:extent cx="2035175" cy="755374"/>
          <wp:effectExtent l="0" t="0" r="0" b="0"/>
          <wp:wrapTopAndBottom distT="0" distB="0"/>
          <wp:docPr id="95909345" name="image1.png" descr="Uma imagem contendo Interface gráfica do usuári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Interface gráfica do usuário&#10;&#10;Descrição gerada automaticamente"/>
                  <pic:cNvPicPr preferRelativeResize="0"/>
                </pic:nvPicPr>
                <pic:blipFill>
                  <a:blip r:embed="rId2"/>
                  <a:srcRect r="67089" b="26646"/>
                  <a:stretch>
                    <a:fillRect/>
                  </a:stretch>
                </pic:blipFill>
                <pic:spPr>
                  <a:xfrm>
                    <a:off x="0" y="0"/>
                    <a:ext cx="2035175" cy="755374"/>
                  </a:xfrm>
                  <a:prstGeom prst="rect">
                    <a:avLst/>
                  </a:prstGeom>
                  <a:ln/>
                </pic:spPr>
              </pic:pic>
            </a:graphicData>
          </a:graphic>
        </wp:anchor>
      </w:drawing>
    </w:r>
    <w:r w:rsidR="00617DE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A2121"/>
    <w:multiLevelType w:val="multilevel"/>
    <w:tmpl w:val="2CA4EB3E"/>
    <w:lvl w:ilvl="0">
      <w:start w:val="1"/>
      <w:numFmt w:val="lowerRoman"/>
      <w:lvlText w:val="(%1)"/>
      <w:lvlJc w:val="left"/>
      <w:pPr>
        <w:ind w:left="1043" w:hanging="360"/>
      </w:pPr>
      <w:rPr>
        <w:b/>
      </w:rPr>
    </w:lvl>
    <w:lvl w:ilvl="1">
      <w:start w:val="1"/>
      <w:numFmt w:val="lowerLetter"/>
      <w:lvlText w:val="%2."/>
      <w:lvlJc w:val="left"/>
      <w:pPr>
        <w:ind w:left="1763" w:hanging="360"/>
      </w:p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1" w15:restartNumberingAfterBreak="0">
    <w:nsid w:val="166314BF"/>
    <w:multiLevelType w:val="multilevel"/>
    <w:tmpl w:val="212E53D4"/>
    <w:lvl w:ilvl="0">
      <w:start w:val="1"/>
      <w:numFmt w:val="decimal"/>
      <w:lvlText w:val="%1."/>
      <w:lvlJc w:val="left"/>
      <w:pPr>
        <w:ind w:left="720" w:hanging="360"/>
      </w:pPr>
      <w:rPr>
        <w:rFonts w:ascii="Josefin Sans" w:eastAsia="Josefin Sans" w:hAnsi="Josefin Sans" w:cs="Josefin Sans"/>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812E40"/>
    <w:multiLevelType w:val="multilevel"/>
    <w:tmpl w:val="2CC6151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D21457"/>
    <w:multiLevelType w:val="multilevel"/>
    <w:tmpl w:val="05501896"/>
    <w:lvl w:ilvl="0">
      <w:start w:val="3"/>
      <w:numFmt w:val="decimal"/>
      <w:lvlText w:val="%1."/>
      <w:lvlJc w:val="left"/>
      <w:pPr>
        <w:ind w:left="4046" w:hanging="360"/>
      </w:pPr>
      <w:rPr>
        <w:b/>
      </w:rPr>
    </w:lvl>
    <w:lvl w:ilvl="1">
      <w:start w:val="1"/>
      <w:numFmt w:val="decimal"/>
      <w:lvlText w:val="%1.%2."/>
      <w:lvlJc w:val="left"/>
      <w:pPr>
        <w:ind w:left="792" w:hanging="432"/>
      </w:pPr>
      <w:rPr>
        <w:rFonts w:ascii="Josefin Sans" w:eastAsia="Josefin Sans" w:hAnsi="Josefin Sans" w:cs="Josefin San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9B2806"/>
    <w:multiLevelType w:val="multilevel"/>
    <w:tmpl w:val="60D4308E"/>
    <w:lvl w:ilvl="0">
      <w:start w:val="1"/>
      <w:numFmt w:val="decimal"/>
      <w:lvlText w:val="%1."/>
      <w:lvlJc w:val="left"/>
      <w:pPr>
        <w:ind w:left="4046" w:hanging="360"/>
      </w:pPr>
      <w:rPr>
        <w:rFonts w:ascii="Josefin Sans" w:eastAsia="Josefin Sans" w:hAnsi="Josefin Sans" w:cs="Josefin Sans"/>
        <w:b/>
        <w:sz w:val="22"/>
        <w:szCs w:val="22"/>
      </w:rPr>
    </w:lvl>
    <w:lvl w:ilvl="1">
      <w:start w:val="1"/>
      <w:numFmt w:val="decimal"/>
      <w:lvlText w:val="%1.%2."/>
      <w:lvlJc w:val="left"/>
      <w:pPr>
        <w:ind w:left="792" w:hanging="432"/>
      </w:pPr>
      <w:rPr>
        <w:rFonts w:ascii="Josefin Sans" w:eastAsia="Josefin Sans" w:hAnsi="Josefin Sans" w:cs="Josefin San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6B45BE"/>
    <w:multiLevelType w:val="multilevel"/>
    <w:tmpl w:val="AE84844E"/>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D97325"/>
    <w:multiLevelType w:val="multilevel"/>
    <w:tmpl w:val="493E472C"/>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280062"/>
    <w:multiLevelType w:val="multilevel"/>
    <w:tmpl w:val="DDD2781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1E577B"/>
    <w:multiLevelType w:val="multilevel"/>
    <w:tmpl w:val="94F644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6F6D21"/>
    <w:multiLevelType w:val="multilevel"/>
    <w:tmpl w:val="D6702350"/>
    <w:lvl w:ilvl="0">
      <w:start w:val="4"/>
      <w:numFmt w:val="decimal"/>
      <w:lvlText w:val="%1."/>
      <w:lvlJc w:val="left"/>
      <w:pPr>
        <w:ind w:left="360" w:hanging="360"/>
      </w:pPr>
      <w:rPr>
        <w:b/>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8A2F1E"/>
    <w:multiLevelType w:val="multilevel"/>
    <w:tmpl w:val="ACB40A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C84473"/>
    <w:multiLevelType w:val="multilevel"/>
    <w:tmpl w:val="5B58C100"/>
    <w:lvl w:ilvl="0">
      <w:start w:val="1"/>
      <w:numFmt w:val="low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2A357E"/>
    <w:multiLevelType w:val="multilevel"/>
    <w:tmpl w:val="D8A033D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FC74A8"/>
    <w:multiLevelType w:val="multilevel"/>
    <w:tmpl w:val="6978A28E"/>
    <w:lvl w:ilvl="0">
      <w:start w:val="1"/>
      <w:numFmt w:val="decimal"/>
      <w:lvlText w:val="%1."/>
      <w:lvlJc w:val="left"/>
      <w:pPr>
        <w:ind w:left="720" w:hanging="360"/>
      </w:pPr>
      <w:rPr>
        <w:rFonts w:ascii="Calibri" w:eastAsia="Calibri" w:hAnsi="Calibri" w:cs="Times New Roman"/>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B66688"/>
    <w:multiLevelType w:val="multilevel"/>
    <w:tmpl w:val="5A04D718"/>
    <w:lvl w:ilvl="0">
      <w:start w:val="1"/>
      <w:numFmt w:val="lowerRoman"/>
      <w:lvlText w:val="(%1)"/>
      <w:lvlJc w:val="left"/>
      <w:pPr>
        <w:ind w:left="756" w:hanging="720"/>
      </w:pPr>
      <w:rPr>
        <w:rFonts w:ascii="Josefin Sans" w:eastAsia="Josefin Sans" w:hAnsi="Josefin Sans" w:cs="Josefin Sans"/>
        <w:b/>
        <w:sz w:val="22"/>
        <w:szCs w:val="22"/>
      </w:r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15" w15:restartNumberingAfterBreak="0">
    <w:nsid w:val="4EC064A5"/>
    <w:multiLevelType w:val="multilevel"/>
    <w:tmpl w:val="911A21B0"/>
    <w:lvl w:ilvl="0">
      <w:start w:val="1"/>
      <w:numFmt w:val="lowerRoman"/>
      <w:lvlText w:val="(%1)"/>
      <w:lvlJc w:val="left"/>
      <w:pPr>
        <w:ind w:left="1512" w:hanging="72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6" w15:restartNumberingAfterBreak="0">
    <w:nsid w:val="60DD53AD"/>
    <w:multiLevelType w:val="multilevel"/>
    <w:tmpl w:val="BBD42DD2"/>
    <w:lvl w:ilvl="0">
      <w:start w:val="1"/>
      <w:numFmt w:val="lowerRoman"/>
      <w:lvlText w:val="(%1)"/>
      <w:lvlJc w:val="left"/>
      <w:pPr>
        <w:ind w:left="827" w:hanging="360"/>
      </w:pPr>
      <w:rPr>
        <w:b/>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7" w15:restartNumberingAfterBreak="0">
    <w:nsid w:val="62E940EE"/>
    <w:multiLevelType w:val="multilevel"/>
    <w:tmpl w:val="5D8C1F6C"/>
    <w:lvl w:ilvl="0">
      <w:start w:val="1"/>
      <w:numFmt w:val="lowerRoman"/>
      <w:lvlText w:val="(%1)"/>
      <w:lvlJc w:val="left"/>
      <w:pPr>
        <w:ind w:left="827" w:hanging="360"/>
      </w:pPr>
      <w:rPr>
        <w:b/>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8" w15:restartNumberingAfterBreak="0">
    <w:nsid w:val="639C11BC"/>
    <w:multiLevelType w:val="multilevel"/>
    <w:tmpl w:val="316A362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5433CA"/>
    <w:multiLevelType w:val="multilevel"/>
    <w:tmpl w:val="2B9ED44A"/>
    <w:lvl w:ilvl="0">
      <w:start w:val="1"/>
      <w:numFmt w:val="lowerRoman"/>
      <w:lvlText w:val="(%1)"/>
      <w:lvlJc w:val="left"/>
      <w:pPr>
        <w:ind w:left="827" w:hanging="360"/>
      </w:pPr>
      <w:rPr>
        <w:b/>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0" w15:restartNumberingAfterBreak="0">
    <w:nsid w:val="6FFD1C6D"/>
    <w:multiLevelType w:val="multilevel"/>
    <w:tmpl w:val="8B84AC7C"/>
    <w:lvl w:ilvl="0">
      <w:start w:val="1"/>
      <w:numFmt w:val="decimal"/>
      <w:lvlText w:val="%1."/>
      <w:lvlJc w:val="left"/>
      <w:pPr>
        <w:ind w:left="720" w:hanging="360"/>
      </w:pPr>
      <w:rPr>
        <w:rFonts w:ascii="Josefin Sans" w:eastAsia="Josefin Sans" w:hAnsi="Josefin Sans" w:cs="Josefin Sans"/>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740563"/>
    <w:multiLevelType w:val="multilevel"/>
    <w:tmpl w:val="BC50F3C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1E7BEA"/>
    <w:multiLevelType w:val="multilevel"/>
    <w:tmpl w:val="1ADCB344"/>
    <w:lvl w:ilvl="0">
      <w:start w:val="1"/>
      <w:numFmt w:val="lowerRoman"/>
      <w:lvlText w:val="(%1)"/>
      <w:lvlJc w:val="left"/>
      <w:pPr>
        <w:ind w:left="827" w:hanging="360"/>
      </w:pPr>
      <w:rPr>
        <w:b/>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3" w15:restartNumberingAfterBreak="0">
    <w:nsid w:val="7B234D9A"/>
    <w:multiLevelType w:val="multilevel"/>
    <w:tmpl w:val="BA7C9E9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9413EF"/>
    <w:multiLevelType w:val="multilevel"/>
    <w:tmpl w:val="77D252B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7213071">
    <w:abstractNumId w:val="6"/>
  </w:num>
  <w:num w:numId="2" w16cid:durableId="456066437">
    <w:abstractNumId w:val="9"/>
  </w:num>
  <w:num w:numId="3" w16cid:durableId="2060591318">
    <w:abstractNumId w:val="5"/>
  </w:num>
  <w:num w:numId="4" w16cid:durableId="1698969676">
    <w:abstractNumId w:val="22"/>
  </w:num>
  <w:num w:numId="5" w16cid:durableId="1498500221">
    <w:abstractNumId w:val="12"/>
  </w:num>
  <w:num w:numId="6" w16cid:durableId="1280378777">
    <w:abstractNumId w:val="23"/>
  </w:num>
  <w:num w:numId="7" w16cid:durableId="777219575">
    <w:abstractNumId w:val="11"/>
  </w:num>
  <w:num w:numId="8" w16cid:durableId="784740292">
    <w:abstractNumId w:val="21"/>
  </w:num>
  <w:num w:numId="9" w16cid:durableId="1149788411">
    <w:abstractNumId w:val="19"/>
  </w:num>
  <w:num w:numId="10" w16cid:durableId="1727292741">
    <w:abstractNumId w:val="7"/>
  </w:num>
  <w:num w:numId="11" w16cid:durableId="1502157055">
    <w:abstractNumId w:val="1"/>
  </w:num>
  <w:num w:numId="12" w16cid:durableId="1773477746">
    <w:abstractNumId w:val="10"/>
  </w:num>
  <w:num w:numId="13" w16cid:durableId="1927615155">
    <w:abstractNumId w:val="4"/>
  </w:num>
  <w:num w:numId="14" w16cid:durableId="1377923605">
    <w:abstractNumId w:val="0"/>
  </w:num>
  <w:num w:numId="15" w16cid:durableId="1534919771">
    <w:abstractNumId w:val="15"/>
  </w:num>
  <w:num w:numId="16" w16cid:durableId="96559871">
    <w:abstractNumId w:val="17"/>
  </w:num>
  <w:num w:numId="17" w16cid:durableId="1658879846">
    <w:abstractNumId w:val="14"/>
  </w:num>
  <w:num w:numId="18" w16cid:durableId="1280644125">
    <w:abstractNumId w:val="18"/>
  </w:num>
  <w:num w:numId="19" w16cid:durableId="380374082">
    <w:abstractNumId w:val="2"/>
  </w:num>
  <w:num w:numId="20" w16cid:durableId="41101572">
    <w:abstractNumId w:val="8"/>
  </w:num>
  <w:num w:numId="21" w16cid:durableId="608244102">
    <w:abstractNumId w:val="3"/>
  </w:num>
  <w:num w:numId="22" w16cid:durableId="170343297">
    <w:abstractNumId w:val="24"/>
  </w:num>
  <w:num w:numId="23" w16cid:durableId="370495581">
    <w:abstractNumId w:val="16"/>
  </w:num>
  <w:num w:numId="24" w16cid:durableId="1865360585">
    <w:abstractNumId w:val="20"/>
  </w:num>
  <w:num w:numId="25" w16cid:durableId="175127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FA"/>
    <w:rsid w:val="00071232"/>
    <w:rsid w:val="000C4DA9"/>
    <w:rsid w:val="000C76B0"/>
    <w:rsid w:val="000D54A8"/>
    <w:rsid w:val="00190949"/>
    <w:rsid w:val="00294C8E"/>
    <w:rsid w:val="002B6DDC"/>
    <w:rsid w:val="00301FCB"/>
    <w:rsid w:val="0036597E"/>
    <w:rsid w:val="00393665"/>
    <w:rsid w:val="0044147B"/>
    <w:rsid w:val="004508CC"/>
    <w:rsid w:val="0048111C"/>
    <w:rsid w:val="004D2595"/>
    <w:rsid w:val="004E77FD"/>
    <w:rsid w:val="005A6FD7"/>
    <w:rsid w:val="006156E0"/>
    <w:rsid w:val="00617DE5"/>
    <w:rsid w:val="00663562"/>
    <w:rsid w:val="006724B2"/>
    <w:rsid w:val="00680D50"/>
    <w:rsid w:val="006900B4"/>
    <w:rsid w:val="00704DE7"/>
    <w:rsid w:val="00777A90"/>
    <w:rsid w:val="007B006E"/>
    <w:rsid w:val="007C79E3"/>
    <w:rsid w:val="00826391"/>
    <w:rsid w:val="00861E94"/>
    <w:rsid w:val="008D354A"/>
    <w:rsid w:val="008E375B"/>
    <w:rsid w:val="00946406"/>
    <w:rsid w:val="009540F8"/>
    <w:rsid w:val="00994768"/>
    <w:rsid w:val="00A24E49"/>
    <w:rsid w:val="00A37EBB"/>
    <w:rsid w:val="00A54B8F"/>
    <w:rsid w:val="00AC4EFA"/>
    <w:rsid w:val="00B64580"/>
    <w:rsid w:val="00BD17F3"/>
    <w:rsid w:val="00C00432"/>
    <w:rsid w:val="00C2003C"/>
    <w:rsid w:val="00C45F1E"/>
    <w:rsid w:val="00CC7EC1"/>
    <w:rsid w:val="00CF737A"/>
    <w:rsid w:val="00DA3ACE"/>
    <w:rsid w:val="00E06ECD"/>
    <w:rsid w:val="00E306E9"/>
    <w:rsid w:val="00E63E5A"/>
    <w:rsid w:val="00E65AD6"/>
    <w:rsid w:val="00F02B86"/>
    <w:rsid w:val="00F245C8"/>
    <w:rsid w:val="00F41EC1"/>
    <w:rsid w:val="00F438CD"/>
    <w:rsid w:val="00F83D2F"/>
    <w:rsid w:val="00FA0CE6"/>
    <w:rsid w:val="00FE67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C955A4"/>
  <w15:docId w15:val="{8E392DDC-74D8-4E95-B46B-7A6386B2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2C"/>
    <w:rPr>
      <w:rFonts w:cs="Times New Roman"/>
    </w:rPr>
  </w:style>
  <w:style w:type="paragraph" w:styleId="Ttulo1">
    <w:name w:val="heading 1"/>
    <w:basedOn w:val="PargrafodaLista"/>
    <w:next w:val="Normal"/>
    <w:link w:val="Ttulo1Char"/>
    <w:uiPriority w:val="9"/>
    <w:qFormat/>
    <w:rsid w:val="002A2D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40" w:after="40"/>
      <w:ind w:left="0" w:right="-369"/>
      <w:jc w:val="center"/>
      <w:outlineLvl w:val="0"/>
    </w:pPr>
    <w:rPr>
      <w:rFonts w:ascii="Gadugi" w:hAnsi="Gadugi"/>
      <w:b/>
      <w:bCs/>
      <w:sz w:val="21"/>
      <w:szCs w:val="21"/>
    </w:rPr>
  </w:style>
  <w:style w:type="paragraph" w:styleId="Ttulo2">
    <w:name w:val="heading 2"/>
    <w:basedOn w:val="PargrafodaLista"/>
    <w:next w:val="Normal"/>
    <w:link w:val="Ttulo2Char"/>
    <w:uiPriority w:val="9"/>
    <w:semiHidden/>
    <w:unhideWhenUsed/>
    <w:qFormat/>
    <w:rsid w:val="00F37BC9"/>
    <w:pPr>
      <w:shd w:val="clear" w:color="auto" w:fill="000000" w:themeFill="text1"/>
      <w:spacing w:before="40" w:after="40"/>
      <w:ind w:left="0" w:right="-510"/>
      <w:jc w:val="center"/>
      <w:outlineLvl w:val="1"/>
    </w:pPr>
    <w:rPr>
      <w:rFonts w:ascii="Gadugi" w:hAnsi="Gadugi"/>
      <w:b/>
      <w:sz w:val="21"/>
      <w:szCs w:val="21"/>
    </w:rPr>
  </w:style>
  <w:style w:type="paragraph" w:styleId="Ttulo3">
    <w:name w:val="heading 3"/>
    <w:basedOn w:val="Normal"/>
    <w:link w:val="Ttulo3Char"/>
    <w:uiPriority w:val="9"/>
    <w:semiHidden/>
    <w:unhideWhenUsed/>
    <w:qFormat/>
    <w:rsid w:val="00B94234"/>
    <w:pPr>
      <w:spacing w:before="100" w:beforeAutospacing="1" w:after="100" w:afterAutospacing="1" w:line="240" w:lineRule="auto"/>
      <w:outlineLvl w:val="2"/>
    </w:pPr>
    <w:rPr>
      <w:rFonts w:ascii="Times New Roman" w:eastAsia="Times New Roman" w:hAnsi="Times New Roman"/>
      <w:b/>
      <w:bCs/>
      <w:color w:val="000000"/>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B94234"/>
    <w:pPr>
      <w:spacing w:after="0" w:line="240" w:lineRule="auto"/>
      <w:jc w:val="center"/>
    </w:pPr>
    <w:rPr>
      <w:rFonts w:ascii="Comic Sans MS" w:eastAsia="Times New Roman" w:hAnsi="Comic Sans MS"/>
      <w:b/>
      <w:bCs/>
      <w:sz w:val="24"/>
      <w:szCs w:val="24"/>
    </w:rPr>
  </w:style>
  <w:style w:type="character" w:customStyle="1" w:styleId="Ttulo1Char">
    <w:name w:val="Título 1 Char"/>
    <w:basedOn w:val="Fontepargpadro"/>
    <w:link w:val="Ttulo1"/>
    <w:uiPriority w:val="9"/>
    <w:rsid w:val="002A2DE9"/>
    <w:rPr>
      <w:rFonts w:ascii="Gadugi" w:eastAsia="Times New Roman" w:hAnsi="Gadugi" w:cs="Times New Roman"/>
      <w:b/>
      <w:bCs/>
      <w:sz w:val="21"/>
      <w:szCs w:val="21"/>
      <w:shd w:val="clear" w:color="auto" w:fill="BFBFBF" w:themeFill="background1" w:themeFillShade="BF"/>
      <w:lang w:eastAsia="pt-BR"/>
    </w:rPr>
  </w:style>
  <w:style w:type="character" w:customStyle="1" w:styleId="Ttulo3Char">
    <w:name w:val="Título 3 Char"/>
    <w:basedOn w:val="Fontepargpadro"/>
    <w:link w:val="Ttulo3"/>
    <w:uiPriority w:val="9"/>
    <w:rsid w:val="00B94234"/>
    <w:rPr>
      <w:rFonts w:ascii="Times New Roman" w:eastAsia="Times New Roman" w:hAnsi="Times New Roman" w:cs="Times New Roman"/>
      <w:b/>
      <w:bCs/>
      <w:color w:val="000000"/>
      <w:sz w:val="27"/>
      <w:szCs w:val="27"/>
      <w:lang w:eastAsia="pt-BR"/>
    </w:rPr>
  </w:style>
  <w:style w:type="paragraph" w:styleId="Cabealho">
    <w:name w:val="header"/>
    <w:basedOn w:val="Normal"/>
    <w:link w:val="CabealhoChar"/>
    <w:uiPriority w:val="99"/>
    <w:unhideWhenUsed/>
    <w:rsid w:val="00B942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4234"/>
    <w:rPr>
      <w:rFonts w:ascii="Calibri" w:eastAsia="Calibri" w:hAnsi="Calibri" w:cs="Times New Roman"/>
    </w:rPr>
  </w:style>
  <w:style w:type="paragraph" w:styleId="Rodap">
    <w:name w:val="footer"/>
    <w:basedOn w:val="Normal"/>
    <w:link w:val="RodapChar"/>
    <w:uiPriority w:val="99"/>
    <w:unhideWhenUsed/>
    <w:rsid w:val="00B94234"/>
    <w:pPr>
      <w:tabs>
        <w:tab w:val="center" w:pos="4252"/>
        <w:tab w:val="right" w:pos="8504"/>
      </w:tabs>
      <w:spacing w:after="0" w:line="240" w:lineRule="auto"/>
    </w:pPr>
  </w:style>
  <w:style w:type="character" w:customStyle="1" w:styleId="RodapChar">
    <w:name w:val="Rodapé Char"/>
    <w:basedOn w:val="Fontepargpadro"/>
    <w:link w:val="Rodap"/>
    <w:uiPriority w:val="99"/>
    <w:rsid w:val="00B94234"/>
    <w:rPr>
      <w:rFonts w:ascii="Calibri" w:eastAsia="Calibri" w:hAnsi="Calibri" w:cs="Times New Roman"/>
    </w:rPr>
  </w:style>
  <w:style w:type="table" w:styleId="Tabelacomgrade">
    <w:name w:val="Table Grid"/>
    <w:basedOn w:val="Tabelanormal"/>
    <w:uiPriority w:val="59"/>
    <w:rsid w:val="00B94234"/>
    <w:pPr>
      <w:spacing w:after="0" w:line="240" w:lineRule="auto"/>
    </w:pPr>
    <w:rPr>
      <w:rFont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B94234"/>
    <w:rPr>
      <w:rFonts w:ascii="Comic Sans MS" w:eastAsia="Times New Roman" w:hAnsi="Comic Sans MS" w:cs="Times New Roman"/>
      <w:b/>
      <w:bCs/>
      <w:sz w:val="24"/>
      <w:szCs w:val="24"/>
    </w:rPr>
  </w:style>
  <w:style w:type="paragraph" w:styleId="PargrafodaLista">
    <w:name w:val="List Paragraph"/>
    <w:aliases w:val="Capítulo,Vitor Título,Vitor T’tulo,Vitor T,Itemização,Bullet List,FooterText,numbered,Paragraphe de liste1,Bulletr List Paragraph,列出段落,列出段落1,List Paragraph2,List Paragraph21,Listeafsnit1,Párrafo de lista1,リスト段落1,Bullet list,Foot"/>
    <w:basedOn w:val="Normal"/>
    <w:link w:val="PargrafodaListaChar"/>
    <w:uiPriority w:val="34"/>
    <w:qFormat/>
    <w:rsid w:val="00B94234"/>
    <w:pPr>
      <w:spacing w:after="0" w:line="240" w:lineRule="auto"/>
      <w:ind w:left="708"/>
    </w:pPr>
    <w:rPr>
      <w:rFonts w:ascii="Times New Roman" w:eastAsia="Times New Roman" w:hAnsi="Times New Roman"/>
      <w:sz w:val="24"/>
      <w:szCs w:val="24"/>
    </w:rPr>
  </w:style>
  <w:style w:type="paragraph" w:styleId="Recuodecorpodetexto">
    <w:name w:val="Body Text Indent"/>
    <w:basedOn w:val="Normal"/>
    <w:link w:val="RecuodecorpodetextoChar"/>
    <w:rsid w:val="00B94234"/>
    <w:pPr>
      <w:spacing w:after="120" w:line="240" w:lineRule="auto"/>
      <w:ind w:left="283"/>
    </w:pPr>
    <w:rPr>
      <w:rFonts w:ascii="Times New Roman" w:eastAsia="Times New Roman" w:hAnsi="Times New Roman"/>
      <w:sz w:val="24"/>
      <w:szCs w:val="24"/>
    </w:rPr>
  </w:style>
  <w:style w:type="character" w:customStyle="1" w:styleId="RecuodecorpodetextoChar">
    <w:name w:val="Recuo de corpo de texto Char"/>
    <w:basedOn w:val="Fontepargpadro"/>
    <w:link w:val="Recuodecorpodetexto"/>
    <w:rsid w:val="00B94234"/>
    <w:rPr>
      <w:rFonts w:ascii="Times New Roman" w:eastAsia="Times New Roman" w:hAnsi="Times New Roman" w:cs="Times New Roman"/>
      <w:sz w:val="24"/>
      <w:szCs w:val="24"/>
    </w:rPr>
  </w:style>
  <w:style w:type="paragraph" w:styleId="NormalWeb">
    <w:name w:val="Normal (Web)"/>
    <w:basedOn w:val="Normal"/>
    <w:uiPriority w:val="99"/>
    <w:rsid w:val="00B9423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Textodebalo">
    <w:name w:val="Balloon Text"/>
    <w:basedOn w:val="Normal"/>
    <w:link w:val="TextodebaloChar"/>
    <w:uiPriority w:val="99"/>
    <w:unhideWhenUsed/>
    <w:rsid w:val="00B94234"/>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rsid w:val="00B94234"/>
    <w:rPr>
      <w:rFonts w:ascii="Tahoma" w:eastAsia="Calibri" w:hAnsi="Tahoma" w:cs="Times New Roman"/>
      <w:sz w:val="16"/>
      <w:szCs w:val="16"/>
    </w:rPr>
  </w:style>
  <w:style w:type="paragraph" w:customStyle="1" w:styleId="Padro">
    <w:name w:val="Padrão"/>
    <w:rsid w:val="00B94234"/>
    <w:pPr>
      <w:tabs>
        <w:tab w:val="left" w:pos="708"/>
      </w:tabs>
      <w:suppressAutoHyphens/>
    </w:pPr>
    <w:rPr>
      <w:rFonts w:ascii="Times New Roman" w:eastAsia="Times New Roman" w:hAnsi="Times New Roman" w:cs="Times New Roman"/>
      <w:color w:val="00000A"/>
      <w:sz w:val="24"/>
      <w:szCs w:val="24"/>
    </w:rPr>
  </w:style>
  <w:style w:type="paragraph" w:styleId="Textodenotaderodap">
    <w:name w:val="footnote text"/>
    <w:basedOn w:val="Normal"/>
    <w:link w:val="TextodenotaderodapChar"/>
    <w:uiPriority w:val="99"/>
    <w:semiHidden/>
    <w:unhideWhenUsed/>
    <w:rsid w:val="00B94234"/>
    <w:rPr>
      <w:sz w:val="20"/>
      <w:szCs w:val="20"/>
    </w:rPr>
  </w:style>
  <w:style w:type="character" w:customStyle="1" w:styleId="TextodenotaderodapChar">
    <w:name w:val="Texto de nota de rodapé Char"/>
    <w:basedOn w:val="Fontepargpadro"/>
    <w:link w:val="Textodenotaderodap"/>
    <w:uiPriority w:val="99"/>
    <w:semiHidden/>
    <w:rsid w:val="00B94234"/>
    <w:rPr>
      <w:rFonts w:ascii="Calibri" w:eastAsia="Calibri" w:hAnsi="Calibri" w:cs="Times New Roman"/>
      <w:sz w:val="20"/>
      <w:szCs w:val="20"/>
    </w:rPr>
  </w:style>
  <w:style w:type="character" w:styleId="Refdenotaderodap">
    <w:name w:val="footnote reference"/>
    <w:uiPriority w:val="99"/>
    <w:semiHidden/>
    <w:unhideWhenUsed/>
    <w:rsid w:val="00B94234"/>
    <w:rPr>
      <w:vertAlign w:val="superscript"/>
    </w:rPr>
  </w:style>
  <w:style w:type="paragraph" w:styleId="Corpodetexto">
    <w:name w:val="Body Text"/>
    <w:basedOn w:val="Normal"/>
    <w:link w:val="CorpodetextoChar"/>
    <w:uiPriority w:val="99"/>
    <w:unhideWhenUsed/>
    <w:rsid w:val="00B94234"/>
    <w:pPr>
      <w:spacing w:after="120"/>
    </w:pPr>
  </w:style>
  <w:style w:type="character" w:customStyle="1" w:styleId="CorpodetextoChar">
    <w:name w:val="Corpo de texto Char"/>
    <w:basedOn w:val="Fontepargpadro"/>
    <w:link w:val="Corpodetexto"/>
    <w:uiPriority w:val="99"/>
    <w:rsid w:val="00B94234"/>
    <w:rPr>
      <w:rFonts w:ascii="Calibri" w:eastAsia="Calibri" w:hAnsi="Calibri" w:cs="Times New Roman"/>
    </w:rPr>
  </w:style>
  <w:style w:type="paragraph" w:customStyle="1" w:styleId="Default">
    <w:name w:val="Default"/>
    <w:rsid w:val="00B94234"/>
    <w:pPr>
      <w:autoSpaceDE w:val="0"/>
      <w:autoSpaceDN w:val="0"/>
      <w:adjustRightInd w:val="0"/>
      <w:spacing w:after="0" w:line="240" w:lineRule="auto"/>
    </w:pPr>
    <w:rPr>
      <w:color w:val="000000"/>
      <w:sz w:val="24"/>
      <w:szCs w:val="24"/>
    </w:rPr>
  </w:style>
  <w:style w:type="character" w:customStyle="1" w:styleId="msoins0">
    <w:name w:val="msoins"/>
    <w:rsid w:val="00B94234"/>
  </w:style>
  <w:style w:type="character" w:styleId="Refdecomentrio">
    <w:name w:val="annotation reference"/>
    <w:uiPriority w:val="99"/>
    <w:unhideWhenUsed/>
    <w:rsid w:val="00B94234"/>
    <w:rPr>
      <w:sz w:val="16"/>
      <w:szCs w:val="16"/>
    </w:rPr>
  </w:style>
  <w:style w:type="paragraph" w:styleId="Textodecomentrio">
    <w:name w:val="annotation text"/>
    <w:basedOn w:val="Normal"/>
    <w:link w:val="TextodecomentrioChar"/>
    <w:uiPriority w:val="99"/>
    <w:unhideWhenUsed/>
    <w:rsid w:val="00B94234"/>
    <w:rPr>
      <w:sz w:val="20"/>
      <w:szCs w:val="20"/>
    </w:rPr>
  </w:style>
  <w:style w:type="character" w:customStyle="1" w:styleId="TextodecomentrioChar">
    <w:name w:val="Texto de comentário Char"/>
    <w:basedOn w:val="Fontepargpadro"/>
    <w:link w:val="Textodecomentrio"/>
    <w:uiPriority w:val="99"/>
    <w:rsid w:val="00B9423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94234"/>
    <w:rPr>
      <w:b/>
      <w:bCs/>
    </w:rPr>
  </w:style>
  <w:style w:type="character" w:customStyle="1" w:styleId="AssuntodocomentrioChar">
    <w:name w:val="Assunto do comentário Char"/>
    <w:basedOn w:val="TextodecomentrioChar"/>
    <w:link w:val="Assuntodocomentrio"/>
    <w:uiPriority w:val="99"/>
    <w:semiHidden/>
    <w:rsid w:val="00B94234"/>
    <w:rPr>
      <w:rFonts w:ascii="Calibri" w:eastAsia="Calibri" w:hAnsi="Calibri" w:cs="Times New Roman"/>
      <w:b/>
      <w:bCs/>
      <w:sz w:val="20"/>
      <w:szCs w:val="20"/>
    </w:rPr>
  </w:style>
  <w:style w:type="paragraph" w:styleId="Recuodecorpodetexto2">
    <w:name w:val="Body Text Indent 2"/>
    <w:basedOn w:val="Normal"/>
    <w:link w:val="Recuodecorpodetexto2Char"/>
    <w:rsid w:val="00B94234"/>
    <w:pPr>
      <w:spacing w:after="120" w:line="480" w:lineRule="auto"/>
      <w:ind w:left="283"/>
    </w:pPr>
    <w:rPr>
      <w:rFonts w:ascii="Times New Roman" w:eastAsia="Times New Roman" w:hAnsi="Times New Roman"/>
      <w:sz w:val="24"/>
      <w:szCs w:val="24"/>
      <w:lang w:val="en-US"/>
    </w:rPr>
  </w:style>
  <w:style w:type="character" w:customStyle="1" w:styleId="Recuodecorpodetexto2Char">
    <w:name w:val="Recuo de corpo de texto 2 Char"/>
    <w:basedOn w:val="Fontepargpadro"/>
    <w:link w:val="Recuodecorpodetexto2"/>
    <w:rsid w:val="00B94234"/>
    <w:rPr>
      <w:rFonts w:ascii="Times New Roman" w:eastAsia="Times New Roman" w:hAnsi="Times New Roman" w:cs="Times New Roman"/>
      <w:sz w:val="24"/>
      <w:szCs w:val="24"/>
      <w:lang w:val="en-US"/>
    </w:rPr>
  </w:style>
  <w:style w:type="paragraph" w:styleId="Reviso">
    <w:name w:val="Revision"/>
    <w:hidden/>
    <w:uiPriority w:val="99"/>
    <w:semiHidden/>
    <w:rsid w:val="00B94234"/>
    <w:pPr>
      <w:spacing w:after="0" w:line="240" w:lineRule="auto"/>
    </w:pPr>
    <w:rPr>
      <w:rFonts w:cs="Times New Roman"/>
    </w:rPr>
  </w:style>
  <w:style w:type="paragraph" w:customStyle="1" w:styleId="p46">
    <w:name w:val="p46"/>
    <w:basedOn w:val="Normal"/>
    <w:rsid w:val="00B94234"/>
    <w:pPr>
      <w:widowControl w:val="0"/>
      <w:tabs>
        <w:tab w:val="left" w:pos="204"/>
      </w:tabs>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BodyTextPlural">
    <w:name w:val="Body Text Plural"/>
    <w:basedOn w:val="Normal"/>
    <w:link w:val="BodyTextPluralChar"/>
    <w:qFormat/>
    <w:rsid w:val="00B94234"/>
    <w:pPr>
      <w:autoSpaceDE w:val="0"/>
      <w:autoSpaceDN w:val="0"/>
      <w:adjustRightInd w:val="0"/>
      <w:spacing w:before="80" w:after="80" w:line="240" w:lineRule="auto"/>
      <w:jc w:val="both"/>
    </w:pPr>
    <w:rPr>
      <w:rFonts w:eastAsiaTheme="minorEastAsia" w:cs="Calibri"/>
      <w:color w:val="231F20"/>
      <w:sz w:val="20"/>
      <w:szCs w:val="20"/>
      <w:lang w:val="en-US" w:eastAsia="zh-CN"/>
    </w:rPr>
  </w:style>
  <w:style w:type="character" w:customStyle="1" w:styleId="BodyTextPluralChar">
    <w:name w:val="Body Text Plural Char"/>
    <w:basedOn w:val="Fontepargpadro"/>
    <w:link w:val="BodyTextPlural"/>
    <w:rsid w:val="00B94234"/>
    <w:rPr>
      <w:rFonts w:ascii="Calibri" w:eastAsiaTheme="minorEastAsia" w:hAnsi="Calibri" w:cs="Calibri"/>
      <w:color w:val="231F20"/>
      <w:sz w:val="20"/>
      <w:szCs w:val="20"/>
      <w:lang w:val="en-US" w:eastAsia="zh-CN"/>
    </w:rPr>
  </w:style>
  <w:style w:type="character" w:styleId="Hyperlink">
    <w:name w:val="Hyperlink"/>
    <w:basedOn w:val="Fontepargpadro"/>
    <w:uiPriority w:val="99"/>
    <w:unhideWhenUsed/>
    <w:rsid w:val="00B94234"/>
    <w:rPr>
      <w:color w:val="0563C1" w:themeColor="hyperlink"/>
      <w:u w:val="single"/>
    </w:rPr>
  </w:style>
  <w:style w:type="character" w:customStyle="1" w:styleId="MenoPendente1">
    <w:name w:val="Menção Pendente1"/>
    <w:basedOn w:val="Fontepargpadro"/>
    <w:uiPriority w:val="99"/>
    <w:semiHidden/>
    <w:unhideWhenUsed/>
    <w:rsid w:val="00B94234"/>
    <w:rPr>
      <w:color w:val="605E5C"/>
      <w:shd w:val="clear" w:color="auto" w:fill="E1DFDD"/>
    </w:rPr>
  </w:style>
  <w:style w:type="paragraph" w:customStyle="1" w:styleId="TableParagraph">
    <w:name w:val="Table Paragraph"/>
    <w:basedOn w:val="Normal"/>
    <w:uiPriority w:val="1"/>
    <w:qFormat/>
    <w:rsid w:val="00B94234"/>
    <w:pPr>
      <w:widowControl w:val="0"/>
      <w:autoSpaceDE w:val="0"/>
      <w:autoSpaceDN w:val="0"/>
      <w:spacing w:after="0" w:line="256" w:lineRule="exact"/>
      <w:ind w:left="107"/>
    </w:pPr>
    <w:rPr>
      <w:rFonts w:ascii="Arial Narrow" w:eastAsia="Arial Narrow" w:hAnsi="Arial Narrow" w:cs="Arial Narrow"/>
      <w:lang w:val="pt-PT" w:eastAsia="pt-PT" w:bidi="pt-PT"/>
    </w:rPr>
  </w:style>
  <w:style w:type="character" w:customStyle="1" w:styleId="MenoPendente2">
    <w:name w:val="Menção Pendente2"/>
    <w:basedOn w:val="Fontepargpadro"/>
    <w:uiPriority w:val="99"/>
    <w:semiHidden/>
    <w:unhideWhenUsed/>
    <w:rsid w:val="00B94234"/>
    <w:rPr>
      <w:color w:val="808080"/>
      <w:shd w:val="clear" w:color="auto" w:fill="E6E6E6"/>
    </w:rPr>
  </w:style>
  <w:style w:type="paragraph" w:customStyle="1" w:styleId="xmsonormal">
    <w:name w:val="x_msonormal"/>
    <w:basedOn w:val="Normal"/>
    <w:rsid w:val="00597227"/>
    <w:pPr>
      <w:spacing w:after="0" w:line="240" w:lineRule="auto"/>
    </w:pPr>
    <w:rPr>
      <w:rFonts w:eastAsiaTheme="minorHAnsi" w:cs="Calibri"/>
    </w:rPr>
  </w:style>
  <w:style w:type="character" w:styleId="HiperlinkVisitado">
    <w:name w:val="FollowedHyperlink"/>
    <w:basedOn w:val="Fontepargpadro"/>
    <w:uiPriority w:val="99"/>
    <w:semiHidden/>
    <w:unhideWhenUsed/>
    <w:rsid w:val="00E410FF"/>
    <w:rPr>
      <w:color w:val="954F72" w:themeColor="followedHyperlink"/>
      <w:u w:val="single"/>
    </w:rPr>
  </w:style>
  <w:style w:type="table" w:customStyle="1" w:styleId="TableNormal1">
    <w:name w:val="Table Normal1"/>
    <w:uiPriority w:val="2"/>
    <w:semiHidden/>
    <w:unhideWhenUsed/>
    <w:qFormat/>
    <w:rsid w:val="00D000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2Char">
    <w:name w:val="Título 2 Char"/>
    <w:basedOn w:val="Fontepargpadro"/>
    <w:link w:val="Ttulo2"/>
    <w:uiPriority w:val="9"/>
    <w:rsid w:val="00C31469"/>
    <w:rPr>
      <w:rFonts w:ascii="Gadugi" w:eastAsia="Times New Roman" w:hAnsi="Gadugi" w:cs="Times New Roman"/>
      <w:b/>
      <w:sz w:val="21"/>
      <w:szCs w:val="21"/>
      <w:shd w:val="clear" w:color="auto" w:fill="000000" w:themeFill="text1"/>
      <w:lang w:eastAsia="pt-BR"/>
    </w:rPr>
  </w:style>
  <w:style w:type="character" w:customStyle="1" w:styleId="cf01">
    <w:name w:val="cf01"/>
    <w:basedOn w:val="Fontepargpadro"/>
    <w:rsid w:val="0086797D"/>
    <w:rPr>
      <w:rFonts w:ascii="Segoe UI" w:hAnsi="Segoe UI" w:cs="Segoe UI" w:hint="default"/>
      <w:sz w:val="18"/>
      <w:szCs w:val="18"/>
    </w:rPr>
  </w:style>
  <w:style w:type="paragraph" w:customStyle="1" w:styleId="pf0">
    <w:name w:val="pf0"/>
    <w:basedOn w:val="Normal"/>
    <w:rsid w:val="003505D4"/>
    <w:pPr>
      <w:spacing w:before="100" w:beforeAutospacing="1" w:after="100" w:afterAutospacing="1" w:line="240" w:lineRule="auto"/>
    </w:pPr>
    <w:rPr>
      <w:rFonts w:ascii="Times New Roman" w:eastAsia="Times New Roman" w:hAnsi="Times New Roman"/>
      <w:sz w:val="24"/>
      <w:szCs w:val="24"/>
    </w:rPr>
  </w:style>
  <w:style w:type="character" w:customStyle="1" w:styleId="PargrafodaListaChar">
    <w:name w:val="Parágrafo da Lista Char"/>
    <w:aliases w:val="Capítulo Char,Vitor Título Char,Vitor T’tulo Char,Vitor T Char,Itemização Char,Bullet List Char,FooterText Char,numbered Char,Paragraphe de liste1 Char,Bulletr List Paragraph Char,列出段落 Char,列出段落1 Char,List Paragraph2 Char"/>
    <w:link w:val="PargrafodaLista"/>
    <w:uiPriority w:val="34"/>
    <w:qFormat/>
    <w:locked/>
    <w:rsid w:val="00BF189A"/>
    <w:rPr>
      <w:rFonts w:ascii="Times New Roman" w:eastAsia="Times New Roman" w:hAnsi="Times New Roman" w:cs="Times New Roman"/>
      <w:sz w:val="24"/>
      <w:szCs w:val="24"/>
      <w:lang w:eastAsia="pt-BR"/>
    </w:rPr>
  </w:style>
  <w:style w:type="paragraph" w:customStyle="1" w:styleId="Normalalteradora">
    <w:name w:val="Normal alteradora"/>
    <w:basedOn w:val="Normal"/>
    <w:link w:val="NormalalteradoraChar"/>
    <w:qFormat/>
    <w:rsid w:val="00AB0CB2"/>
    <w:pPr>
      <w:spacing w:before="120" w:after="120" w:line="312" w:lineRule="auto"/>
      <w:ind w:firstLine="567"/>
      <w:jc w:val="both"/>
    </w:pPr>
    <w:rPr>
      <w:rFonts w:asciiTheme="minorHAnsi" w:eastAsia="Times New Roman" w:hAnsiTheme="minorHAnsi" w:cstheme="minorBidi"/>
      <w:sz w:val="24"/>
      <w:szCs w:val="24"/>
    </w:rPr>
  </w:style>
  <w:style w:type="character" w:customStyle="1" w:styleId="NormalalteradoraChar">
    <w:name w:val="Normal alteradora Char"/>
    <w:basedOn w:val="Fontepargpadro"/>
    <w:link w:val="Normalalteradora"/>
    <w:rsid w:val="00AB0CB2"/>
    <w:rPr>
      <w:rFonts w:eastAsia="Times New Roman"/>
      <w:sz w:val="24"/>
      <w:szCs w:val="24"/>
      <w:lang w:eastAsia="pt-BR"/>
    </w:rPr>
  </w:style>
  <w:style w:type="character" w:styleId="MenoPendente">
    <w:name w:val="Unresolved Mention"/>
    <w:basedOn w:val="Fontepargpadro"/>
    <w:uiPriority w:val="99"/>
    <w:semiHidden/>
    <w:unhideWhenUsed/>
    <w:rsid w:val="005D6379"/>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0">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1">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2">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3">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4">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5">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6">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d">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e">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0">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1">
    <w:basedOn w:val="TableNormal"/>
    <w:pPr>
      <w:spacing w:after="0" w:line="240" w:lineRule="auto"/>
    </w:pPr>
    <w:rPr>
      <w:sz w:val="20"/>
      <w:szCs w:val="20"/>
    </w:rPr>
    <w:tblPr>
      <w:tblStyleRowBandSize w:val="1"/>
      <w:tblStyleColBandSize w:val="1"/>
      <w:tblCellMar>
        <w:left w:w="108" w:type="dxa"/>
        <w:right w:w="108" w:type="dxa"/>
      </w:tblCellMar>
    </w:tblPr>
  </w:style>
  <w:style w:type="paragraph" w:styleId="TextosemFormatao">
    <w:name w:val="Plain Text"/>
    <w:aliases w:val="(WGM),(WGM) + Georgia,12 pt,À esquerda:  1,27 cm,Deslocamen..."/>
    <w:basedOn w:val="Normal"/>
    <w:link w:val="TextosemFormataoChar"/>
    <w:rsid w:val="00190949"/>
    <w:pPr>
      <w:widowControl w:val="0"/>
      <w:spacing w:after="0" w:line="340" w:lineRule="exact"/>
      <w:jc w:val="both"/>
    </w:pPr>
    <w:rPr>
      <w:rFonts w:ascii="Courier New" w:eastAsia="Times New Roman" w:hAnsi="Courier New"/>
      <w:sz w:val="20"/>
      <w:szCs w:val="20"/>
    </w:rPr>
  </w:style>
  <w:style w:type="character" w:customStyle="1" w:styleId="TextosemFormataoChar">
    <w:name w:val="Texto sem Formatação Char"/>
    <w:aliases w:val="(WGM) Char,(WGM) + Georgia Char,12 pt Char,À esquerda:  1 Char,27 cm Char,Deslocamen... Char"/>
    <w:basedOn w:val="Fontepargpadro"/>
    <w:link w:val="TextosemFormatao"/>
    <w:rsid w:val="00190949"/>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48365">
      <w:bodyDiv w:val="1"/>
      <w:marLeft w:val="0"/>
      <w:marRight w:val="0"/>
      <w:marTop w:val="0"/>
      <w:marBottom w:val="0"/>
      <w:divBdr>
        <w:top w:val="none" w:sz="0" w:space="0" w:color="auto"/>
        <w:left w:val="none" w:sz="0" w:space="0" w:color="auto"/>
        <w:bottom w:val="none" w:sz="0" w:space="0" w:color="auto"/>
        <w:right w:val="none" w:sz="0" w:space="0" w:color="auto"/>
      </w:divBdr>
    </w:div>
    <w:div w:id="1648702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uvidoria@vortx.com.b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vitec.com.b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tx.com.br/investidor/fundos-investiment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hJj9GdWr5G1e7Hl4qcbnXq012w==">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</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3e139c3-4be7-4a80-be61-7bc70bb770ae" xsi:nil="true"/>
    <_ip_UnifiedCompliancePolicyProperties xmlns="http://schemas.microsoft.com/sharepoint/v3" xsi:nil="true"/>
    <lcf76f155ced4ddcb4097134ff3c332f xmlns="474497f0-9ac7-43e2-ae4c-5e1d7dac09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869FAE9E907B349B0138C1EA3EB8BF0" ma:contentTypeVersion="20" ma:contentTypeDescription="Criar um novo documento." ma:contentTypeScope="" ma:versionID="b4766670510e18a0aea356ce61e1c0db">
  <xsd:schema xmlns:xsd="http://www.w3.org/2001/XMLSchema" xmlns:xs="http://www.w3.org/2001/XMLSchema" xmlns:p="http://schemas.microsoft.com/office/2006/metadata/properties" xmlns:ns1="http://schemas.microsoft.com/sharepoint/v3" xmlns:ns2="474497f0-9ac7-43e2-ae4c-5e1d7dac090e" xmlns:ns3="a3e139c3-4be7-4a80-be61-7bc70bb770ae" targetNamespace="http://schemas.microsoft.com/office/2006/metadata/properties" ma:root="true" ma:fieldsID="b5b3addf99086b465f8f933a738f102d" ns1:_="" ns2:_="" ns3:_="">
    <xsd:import namespace="http://schemas.microsoft.com/sharepoint/v3"/>
    <xsd:import namespace="474497f0-9ac7-43e2-ae4c-5e1d7dac090e"/>
    <xsd:import namespace="a3e139c3-4be7-4a80-be61-7bc70bb770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497f0-9ac7-43e2-ae4c-5e1d7dac0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e6d01702-7d4f-40e4-ab41-f8d51e9e96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139c3-4be7-4a80-be61-7bc70bb770ae"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5" nillable="true" ma:displayName="Taxonomy Catch All Column" ma:hidden="true" ma:list="{d8c32213-b260-467d-9355-ee55e72a7848}" ma:internalName="TaxCatchAll" ma:showField="CatchAllData" ma:web="a3e139c3-4be7-4a80-be61-7bc70bb77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E99E0C-4CBE-40D4-9534-A540AE02A688}">
  <ds:schemaRefs>
    <ds:schemaRef ds:uri="http://schemas.microsoft.com/office/2006/metadata/properties"/>
    <ds:schemaRef ds:uri="http://schemas.microsoft.com/office/infopath/2007/PartnerControls"/>
    <ds:schemaRef ds:uri="http://schemas.microsoft.com/sharepoint/v3"/>
    <ds:schemaRef ds:uri="a3e139c3-4be7-4a80-be61-7bc70bb770ae"/>
    <ds:schemaRef ds:uri="474497f0-9ac7-43e2-ae4c-5e1d7dac090e"/>
  </ds:schemaRefs>
</ds:datastoreItem>
</file>

<file path=customXml/itemProps3.xml><?xml version="1.0" encoding="utf-8"?>
<ds:datastoreItem xmlns:ds="http://schemas.openxmlformats.org/officeDocument/2006/customXml" ds:itemID="{D9242862-ABE3-4122-B51E-BEC2F5F6407F}">
  <ds:schemaRefs>
    <ds:schemaRef ds:uri="http://schemas.microsoft.com/sharepoint/v3/contenttype/forms"/>
  </ds:schemaRefs>
</ds:datastoreItem>
</file>

<file path=customXml/itemProps4.xml><?xml version="1.0" encoding="utf-8"?>
<ds:datastoreItem xmlns:ds="http://schemas.openxmlformats.org/officeDocument/2006/customXml" ds:itemID="{45BF3364-ACCC-47C5-BDA5-6C592C6F50FF}"/>
</file>

<file path=docProps/app.xml><?xml version="1.0" encoding="utf-8"?>
<Properties xmlns="http://schemas.openxmlformats.org/officeDocument/2006/extended-properties" xmlns:vt="http://schemas.openxmlformats.org/officeDocument/2006/docPropsVTypes">
  <Template>Normal</Template>
  <TotalTime>91</TotalTime>
  <Pages>15</Pages>
  <Words>7117</Words>
  <Characters>38435</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Sperle</dc:creator>
  <cp:lastModifiedBy>Priscilla Dantas Martins da Silva</cp:lastModifiedBy>
  <cp:revision>19</cp:revision>
  <dcterms:created xsi:type="dcterms:W3CDTF">2024-04-06T01:05:00Z</dcterms:created>
  <dcterms:modified xsi:type="dcterms:W3CDTF">2024-05-09T16:43:00Z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4,5,6,7</vt:lpwstr>
  </property>
  <property fmtid="{D5CDD505-2E9C-101B-9397-08002B2CF9AE}" pid="3" name="ClassificationContentMarkingFooterFontProps">
    <vt:lpwstr>#008000,10,Calibri</vt:lpwstr>
  </property>
  <property fmtid="{D5CDD505-2E9C-101B-9397-08002B2CF9AE}" pid="4" name="ClassificationContentMarkingFooterText">
    <vt:lpwstr>[ CLASSIFICAÇÃO: PÚBLICA ]</vt:lpwstr>
  </property>
  <property fmtid="{D5CDD505-2E9C-101B-9397-08002B2CF9AE}" pid="5" name="ContentTypeId">
    <vt:lpwstr>0x0101009869FAE9E907B349B0138C1EA3EB8BF0</vt:lpwstr>
  </property>
  <property fmtid="{D5CDD505-2E9C-101B-9397-08002B2CF9AE}" pid="6" name="MediaServiceImageTags">
    <vt:lpwstr/>
  </property>
</Properties>
</file>