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1F05D" w14:textId="6F3786D3" w:rsidR="003F57E4" w:rsidRDefault="003F57E4" w:rsidP="003F57E4">
      <w:pPr>
        <w:spacing w:line="276" w:lineRule="auto"/>
        <w:jc w:val="both"/>
        <w:rPr>
          <w:rFonts w:ascii="Tahoma" w:hAnsi="Tahoma" w:cs="Tahoma"/>
          <w:bCs/>
        </w:rPr>
      </w:pPr>
      <w:r>
        <w:rPr>
          <w:rFonts w:ascii="Tahoma" w:hAnsi="Tahoma" w:cs="Tahoma"/>
          <w:bCs/>
        </w:rPr>
        <w:t xml:space="preserve">O presente Regulamento é parte integrante da Ata De Assembleia Geral De Cotistas Do </w:t>
      </w:r>
      <w:r w:rsidR="00F15C37" w:rsidRPr="00F15C37">
        <w:rPr>
          <w:rFonts w:ascii="Tahoma" w:hAnsi="Tahoma" w:cs="Tahoma"/>
          <w:bCs/>
        </w:rPr>
        <w:t>SANTANDER PB VÉRTICE AÇÕES FUNDO DE INVESTIMENTO EM COTAS DE FUNDOS DE INVESTIMENTO</w:t>
      </w:r>
      <w:r>
        <w:rPr>
          <w:rFonts w:ascii="Tahoma" w:hAnsi="Tahoma" w:cs="Tahoma"/>
          <w:bCs/>
        </w:rPr>
        <w:t xml:space="preserve">, realizada em </w:t>
      </w:r>
      <w:r w:rsidR="006C2C35">
        <w:rPr>
          <w:rFonts w:ascii="Tahoma" w:hAnsi="Tahoma" w:cs="Tahoma"/>
          <w:b/>
          <w:bCs/>
        </w:rPr>
        <w:t>28/03/2024</w:t>
      </w:r>
      <w:r>
        <w:rPr>
          <w:rFonts w:ascii="Tahoma" w:hAnsi="Tahoma" w:cs="Tahoma"/>
          <w:bCs/>
        </w:rPr>
        <w:t>.</w:t>
      </w:r>
    </w:p>
    <w:p w14:paraId="5FF0C212" w14:textId="77777777" w:rsidR="003F57E4" w:rsidRDefault="003F57E4">
      <w:pPr>
        <w:rPr>
          <w:sz w:val="22"/>
          <w:szCs w:val="22"/>
        </w:rPr>
      </w:pPr>
    </w:p>
    <w:p w14:paraId="044B1EAC" w14:textId="77777777" w:rsidR="00F15C37" w:rsidRPr="00F15C37" w:rsidRDefault="00F15C37" w:rsidP="00F15C37">
      <w:pPr>
        <w:keepNext/>
        <w:jc w:val="center"/>
        <w:outlineLvl w:val="5"/>
        <w:rPr>
          <w:rFonts w:ascii="Tahoma" w:hAnsi="Tahoma" w:cs="Tahoma"/>
          <w:sz w:val="22"/>
          <w:szCs w:val="22"/>
        </w:rPr>
      </w:pPr>
      <w:r w:rsidRPr="00F15C37">
        <w:rPr>
          <w:rFonts w:ascii="Tahoma" w:hAnsi="Tahoma" w:cs="Tahoma"/>
          <w:b/>
          <w:sz w:val="22"/>
          <w:szCs w:val="22"/>
        </w:rPr>
        <w:t>REGULAMENTO DO</w:t>
      </w:r>
      <w:bookmarkStart w:id="0" w:name="OLE_LINK4"/>
    </w:p>
    <w:p w14:paraId="50E450F9" w14:textId="77777777" w:rsidR="00F15C37" w:rsidRPr="00F15C37" w:rsidRDefault="00F15C37" w:rsidP="00F15C37">
      <w:pPr>
        <w:jc w:val="center"/>
        <w:rPr>
          <w:rFonts w:ascii="Tahoma" w:hAnsi="Tahoma" w:cs="Tahoma"/>
          <w:b/>
          <w:sz w:val="22"/>
          <w:szCs w:val="22"/>
        </w:rPr>
      </w:pPr>
      <w:bookmarkStart w:id="1" w:name="_Hlk136853941"/>
      <w:bookmarkStart w:id="2" w:name="_Hlk52443447"/>
      <w:bookmarkEnd w:id="0"/>
      <w:r w:rsidRPr="00F15C37">
        <w:rPr>
          <w:rFonts w:ascii="Tahoma" w:hAnsi="Tahoma" w:cs="Tahoma"/>
          <w:b/>
          <w:sz w:val="22"/>
          <w:szCs w:val="22"/>
        </w:rPr>
        <w:t>SANTANDER PB VÉRTICE AÇÕES FUNDO DE INVESTIMENTO EM COTAS DE FUNDOS DE INVESTIMENTO</w:t>
      </w:r>
      <w:bookmarkEnd w:id="1"/>
    </w:p>
    <w:bookmarkEnd w:id="2"/>
    <w:p w14:paraId="62034BE7" w14:textId="77777777" w:rsidR="00F15C37" w:rsidRPr="00F15C37" w:rsidRDefault="00F15C37" w:rsidP="00F15C37">
      <w:pPr>
        <w:jc w:val="center"/>
        <w:rPr>
          <w:rFonts w:ascii="Tahoma" w:hAnsi="Tahoma" w:cs="Tahoma"/>
          <w:b/>
          <w:sz w:val="22"/>
          <w:szCs w:val="22"/>
        </w:rPr>
      </w:pPr>
      <w:r w:rsidRPr="00F15C37">
        <w:rPr>
          <w:rFonts w:ascii="Tahoma" w:hAnsi="Tahoma" w:cs="Tahoma"/>
          <w:b/>
          <w:sz w:val="22"/>
          <w:szCs w:val="22"/>
        </w:rPr>
        <w:t xml:space="preserve">CNPJ n.º </w:t>
      </w:r>
      <w:bookmarkStart w:id="3" w:name="_Hlk132792818"/>
      <w:r w:rsidRPr="00F15C37">
        <w:rPr>
          <w:rFonts w:ascii="Tahoma" w:hAnsi="Tahoma" w:cs="Tahoma"/>
          <w:b/>
          <w:sz w:val="22"/>
          <w:szCs w:val="22"/>
        </w:rPr>
        <w:t>50.287.660/0001-73</w:t>
      </w:r>
      <w:bookmarkEnd w:id="3"/>
    </w:p>
    <w:p w14:paraId="3383C8E4" w14:textId="77777777" w:rsidR="00F15C37" w:rsidRPr="00F15C37" w:rsidRDefault="00F15C37" w:rsidP="00F15C37">
      <w:pPr>
        <w:jc w:val="center"/>
        <w:rPr>
          <w:rFonts w:ascii="Tahoma" w:hAnsi="Tahoma" w:cs="Tahoma"/>
          <w:b/>
          <w:sz w:val="22"/>
          <w:szCs w:val="22"/>
        </w:rPr>
      </w:pPr>
    </w:p>
    <w:p w14:paraId="61BEA2DA" w14:textId="77777777" w:rsidR="00F15C37" w:rsidRPr="00F15C37" w:rsidRDefault="00F15C37" w:rsidP="00F15C37">
      <w:pPr>
        <w:jc w:val="both"/>
        <w:rPr>
          <w:rFonts w:ascii="Tahoma" w:hAnsi="Tahoma" w:cs="Tahoma"/>
          <w:sz w:val="22"/>
          <w:szCs w:val="22"/>
        </w:rPr>
      </w:pPr>
    </w:p>
    <w:p w14:paraId="697A5EBB"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PRIMEIRA – DO FUNDO</w:t>
      </w:r>
    </w:p>
    <w:p w14:paraId="16912E76" w14:textId="77777777" w:rsidR="00F15C37" w:rsidRPr="00F15C37" w:rsidRDefault="00F15C37" w:rsidP="00F15C37">
      <w:pPr>
        <w:jc w:val="both"/>
        <w:rPr>
          <w:rFonts w:ascii="Tahoma" w:hAnsi="Tahoma" w:cs="Tahoma"/>
          <w:sz w:val="22"/>
          <w:szCs w:val="22"/>
        </w:rPr>
      </w:pPr>
    </w:p>
    <w:p w14:paraId="5AB02860" w14:textId="77777777" w:rsidR="00F15C37" w:rsidRPr="00F15C37" w:rsidRDefault="00F15C37" w:rsidP="00F15C37">
      <w:pPr>
        <w:jc w:val="both"/>
        <w:rPr>
          <w:rFonts w:ascii="Tahoma" w:hAnsi="Tahoma" w:cs="Tahoma"/>
          <w:b/>
          <w:color w:val="000000"/>
          <w:sz w:val="22"/>
          <w:szCs w:val="22"/>
          <w:u w:val="single"/>
        </w:rPr>
      </w:pPr>
      <w:r w:rsidRPr="00F15C37">
        <w:rPr>
          <w:rFonts w:ascii="Tahoma" w:hAnsi="Tahoma" w:cs="Tahoma"/>
          <w:sz w:val="22"/>
          <w:szCs w:val="22"/>
        </w:rPr>
        <w:t xml:space="preserve">1.1. </w:t>
      </w:r>
      <w:r w:rsidRPr="00F15C37">
        <w:rPr>
          <w:rFonts w:ascii="Tahoma" w:hAnsi="Tahoma" w:cs="Tahoma"/>
          <w:sz w:val="22"/>
          <w:szCs w:val="22"/>
        </w:rPr>
        <w:tab/>
        <w:t>O</w:t>
      </w:r>
      <w:r w:rsidRPr="00F15C37">
        <w:rPr>
          <w:rFonts w:ascii="Tahoma" w:hAnsi="Tahoma" w:cs="Tahoma"/>
          <w:b/>
          <w:sz w:val="22"/>
          <w:szCs w:val="22"/>
        </w:rPr>
        <w:t xml:space="preserve"> SANTANDER PB VÉRTICE AÇÕES FUNDO DE INVESTIMENTO EM COTAS DE FUNDOS DE INVESTIMENTO</w:t>
      </w:r>
      <w:r w:rsidRPr="00F15C37">
        <w:rPr>
          <w:rFonts w:ascii="Tahoma" w:hAnsi="Tahoma" w:cs="Tahoma"/>
          <w:sz w:val="22"/>
          <w:szCs w:val="22"/>
        </w:rPr>
        <w:t xml:space="preserve"> (“FUNDO”) é uma comunhão de recursos, constituído sob a forma de condomínio </w:t>
      </w:r>
      <w:r w:rsidRPr="00F15C37">
        <w:rPr>
          <w:rFonts w:ascii="Tahoma" w:hAnsi="Tahoma" w:cs="Tahoma"/>
          <w:color w:val="000000"/>
          <w:sz w:val="22"/>
          <w:szCs w:val="22"/>
        </w:rPr>
        <w:t>aberto, com prazo de duração indeterminado (“Prazo de Duração”), sendo regido pelo presente regulamento (“Regulamento”) e pela legislação e regulamentação em vigor.</w:t>
      </w:r>
    </w:p>
    <w:p w14:paraId="3309DDF7" w14:textId="77777777" w:rsidR="00F15C37" w:rsidRPr="00F15C37" w:rsidRDefault="00F15C37" w:rsidP="00F15C37">
      <w:pPr>
        <w:jc w:val="both"/>
        <w:rPr>
          <w:rFonts w:ascii="Tahoma" w:hAnsi="Tahoma" w:cs="Tahoma"/>
          <w:sz w:val="22"/>
          <w:szCs w:val="22"/>
        </w:rPr>
      </w:pPr>
    </w:p>
    <w:p w14:paraId="1C952692"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 xml:space="preserve">CLÁUSULA SEGUNDA – DO </w:t>
      </w:r>
      <w:proofErr w:type="gramStart"/>
      <w:r w:rsidRPr="00F15C37">
        <w:rPr>
          <w:rFonts w:ascii="Tahoma" w:hAnsi="Tahoma" w:cs="Tahoma"/>
          <w:b/>
          <w:sz w:val="22"/>
          <w:szCs w:val="22"/>
        </w:rPr>
        <w:t>PÚBLICO ALVO</w:t>
      </w:r>
      <w:proofErr w:type="gramEnd"/>
      <w:r w:rsidRPr="00F15C37">
        <w:rPr>
          <w:rFonts w:ascii="Tahoma" w:hAnsi="Tahoma" w:cs="Tahoma"/>
          <w:b/>
          <w:sz w:val="22"/>
          <w:szCs w:val="22"/>
        </w:rPr>
        <w:t xml:space="preserve"> </w:t>
      </w:r>
    </w:p>
    <w:p w14:paraId="20F580B7" w14:textId="77777777" w:rsidR="00F15C37" w:rsidRPr="00F15C37" w:rsidRDefault="00F15C37" w:rsidP="00F15C37">
      <w:pPr>
        <w:jc w:val="both"/>
        <w:rPr>
          <w:rFonts w:ascii="Tahoma" w:hAnsi="Tahoma" w:cs="Tahoma"/>
          <w:sz w:val="22"/>
          <w:szCs w:val="22"/>
        </w:rPr>
      </w:pPr>
    </w:p>
    <w:p w14:paraId="05579F83"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2.1.</w:t>
      </w:r>
      <w:r w:rsidRPr="00F15C37">
        <w:rPr>
          <w:rFonts w:ascii="Tahoma" w:hAnsi="Tahoma" w:cs="Tahoma"/>
          <w:sz w:val="22"/>
          <w:szCs w:val="22"/>
        </w:rPr>
        <w:tab/>
        <w:t>O FUNDO é destinado a receber recursos de fundos de investimento e/ou fundos de investimento em cotas de fundos de investimento geridos pelo BANCO SANTANDER (BRASIL) S.A. ou empresas a ele ligadas, ora definidos como investidores qualificados nos termos da regulamentação em vigor da Comissão de Valores Mobiliários (“Investidores Qualificados” e “CVM”, respectivamente), a critério do ADMINISTRADOR, que conhecem, entendem e aceitam os riscos descritos neste Regulamento, aos quais os investimentos do FUNDO estão expostos em razão dos mercados de atuação do FUNDO (“Cotistas”).</w:t>
      </w:r>
    </w:p>
    <w:p w14:paraId="0D8F0C75" w14:textId="77777777" w:rsidR="00F15C37" w:rsidRPr="00F15C37" w:rsidRDefault="00F15C37" w:rsidP="00F15C37">
      <w:pPr>
        <w:pBdr>
          <w:bottom w:val="single" w:sz="6" w:space="1" w:color="auto"/>
        </w:pBdr>
        <w:jc w:val="both"/>
        <w:rPr>
          <w:rFonts w:ascii="Tahoma" w:hAnsi="Tahoma" w:cs="Tahoma"/>
          <w:sz w:val="22"/>
          <w:szCs w:val="22"/>
        </w:rPr>
      </w:pPr>
    </w:p>
    <w:p w14:paraId="43DD89E5" w14:textId="77777777" w:rsidR="00F15C37" w:rsidRPr="00F15C37" w:rsidRDefault="00F15C37" w:rsidP="00F15C37">
      <w:pPr>
        <w:pBdr>
          <w:bottom w:val="single" w:sz="6" w:space="1" w:color="auto"/>
        </w:pBdr>
        <w:jc w:val="both"/>
        <w:rPr>
          <w:rFonts w:ascii="Tahoma" w:hAnsi="Tahoma" w:cs="Tahoma"/>
          <w:sz w:val="22"/>
          <w:szCs w:val="22"/>
        </w:rPr>
      </w:pPr>
      <w:r w:rsidRPr="00F15C37">
        <w:rPr>
          <w:rFonts w:ascii="Tahoma" w:hAnsi="Tahoma" w:cs="Tahoma"/>
          <w:sz w:val="22"/>
          <w:szCs w:val="22"/>
        </w:rPr>
        <w:t>2.2.</w:t>
      </w:r>
      <w:r w:rsidRPr="00F15C37">
        <w:rPr>
          <w:rFonts w:ascii="Tahoma" w:hAnsi="Tahoma" w:cs="Tahoma"/>
          <w:sz w:val="22"/>
          <w:szCs w:val="22"/>
        </w:rPr>
        <w:tab/>
        <w:t xml:space="preserve">O enquadramento dos Cotistas no Público-alvo descrito no item anterior será verificado pelo distribuidor das cotas do FUNDO, no ato do ingresso dos Cotistas. </w:t>
      </w:r>
    </w:p>
    <w:p w14:paraId="24FFE22C" w14:textId="77777777" w:rsidR="00F15C37" w:rsidRPr="00F15C37" w:rsidRDefault="00F15C37" w:rsidP="00F15C37">
      <w:pPr>
        <w:pBdr>
          <w:bottom w:val="single" w:sz="6" w:space="1" w:color="auto"/>
        </w:pBdr>
        <w:jc w:val="both"/>
        <w:rPr>
          <w:rFonts w:ascii="Tahoma" w:hAnsi="Tahoma" w:cs="Tahoma"/>
          <w:sz w:val="22"/>
          <w:szCs w:val="22"/>
        </w:rPr>
      </w:pPr>
    </w:p>
    <w:p w14:paraId="07946C82"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TERCEIRA – DO OBJETIVO E DA POLÍTICA DE INVESTIMENTO</w:t>
      </w:r>
    </w:p>
    <w:p w14:paraId="64136561" w14:textId="77777777" w:rsidR="00F15C37" w:rsidRPr="00F15C37" w:rsidRDefault="00F15C37" w:rsidP="00F15C37">
      <w:pPr>
        <w:jc w:val="both"/>
        <w:rPr>
          <w:rFonts w:ascii="Tahoma" w:hAnsi="Tahoma" w:cs="Tahoma"/>
          <w:sz w:val="22"/>
          <w:szCs w:val="22"/>
        </w:rPr>
      </w:pPr>
    </w:p>
    <w:p w14:paraId="5725363E" w14:textId="77777777" w:rsidR="00F15C37" w:rsidRPr="00F15C37" w:rsidRDefault="00F15C37" w:rsidP="00F15C37">
      <w:pPr>
        <w:jc w:val="both"/>
        <w:rPr>
          <w:rFonts w:ascii="Tahoma" w:hAnsi="Tahoma" w:cs="Tahoma"/>
          <w:sz w:val="22"/>
          <w:szCs w:val="22"/>
        </w:rPr>
      </w:pPr>
      <w:r w:rsidRPr="00F15C37">
        <w:rPr>
          <w:rFonts w:ascii="Tahoma" w:hAnsi="Tahoma" w:cs="Tahoma"/>
          <w:iCs/>
          <w:color w:val="000000"/>
          <w:sz w:val="22"/>
          <w:szCs w:val="22"/>
        </w:rPr>
        <w:t>3.1. O FUNDO tem como objetivo investir em ativos financeiros e/ou modalidades operacionais de renda variável, disponíveis nos mercados financeiros e de capitais em geral, por meio da aplicação de seus recursos, preponderantemente, em cotas do SANTANDER PB VÉRTICE AÇÕES FUNDO DE INVESTIMENTO, inscrito no CNPJ sob o nº 50.287.483/0001-25 (“PB VÉRTICE FIA”).</w:t>
      </w:r>
    </w:p>
    <w:p w14:paraId="499ED9F7" w14:textId="77777777" w:rsidR="00F15C37" w:rsidRPr="00F15C37" w:rsidRDefault="00F15C37" w:rsidP="00F15C37">
      <w:pPr>
        <w:tabs>
          <w:tab w:val="left" w:pos="284"/>
        </w:tabs>
        <w:jc w:val="both"/>
        <w:rPr>
          <w:rFonts w:ascii="Tahoma" w:hAnsi="Tahoma" w:cs="Tahoma"/>
          <w:sz w:val="22"/>
          <w:szCs w:val="22"/>
        </w:rPr>
      </w:pPr>
    </w:p>
    <w:p w14:paraId="6E1CB2B8"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3.1.1. Tal objetivo de investimento não constitui garantia ou promessa de rentabilidade pelo ADMINISTRADOR e pelo GESTOR.</w:t>
      </w:r>
    </w:p>
    <w:p w14:paraId="5E011C73" w14:textId="77777777" w:rsidR="00F15C37" w:rsidRPr="00F15C37" w:rsidRDefault="00F15C37" w:rsidP="00F15C37">
      <w:pPr>
        <w:jc w:val="both"/>
        <w:rPr>
          <w:rFonts w:ascii="Tahoma" w:hAnsi="Tahoma" w:cs="Tahoma"/>
          <w:color w:val="000000"/>
          <w:sz w:val="22"/>
          <w:szCs w:val="22"/>
        </w:rPr>
      </w:pPr>
    </w:p>
    <w:p w14:paraId="6BAD5F4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3.2. Para atingir o objetivo de investimento descrito acima, o FUNDO alocará seus recursos de acordo com as regras e limites previstos nos quadros a seguir:</w:t>
      </w:r>
    </w:p>
    <w:p w14:paraId="752D68DB" w14:textId="77777777" w:rsidR="00F15C37" w:rsidRPr="00F15C37" w:rsidRDefault="00F15C37" w:rsidP="00F15C37">
      <w:pPr>
        <w:jc w:val="both"/>
        <w:rPr>
          <w:rFonts w:ascii="Tahoma" w:hAnsi="Tahoma" w:cs="Tahoma"/>
          <w:sz w:val="22"/>
          <w:szCs w:val="22"/>
        </w:rPr>
      </w:pPr>
    </w:p>
    <w:tbl>
      <w:tblPr>
        <w:tblW w:w="10495" w:type="dxa"/>
        <w:tblInd w:w="-10" w:type="dxa"/>
        <w:tblCellMar>
          <w:left w:w="70" w:type="dxa"/>
          <w:right w:w="70" w:type="dxa"/>
        </w:tblCellMar>
        <w:tblLook w:val="04A0" w:firstRow="1" w:lastRow="0" w:firstColumn="1" w:lastColumn="0" w:noHBand="0" w:noVBand="1"/>
      </w:tblPr>
      <w:tblGrid>
        <w:gridCol w:w="7660"/>
        <w:gridCol w:w="1417"/>
        <w:gridCol w:w="1418"/>
      </w:tblGrid>
      <w:tr w:rsidR="00F15C37" w:rsidRPr="00F15C37" w14:paraId="2E4A4C77" w14:textId="77777777" w:rsidTr="00551EC5">
        <w:trPr>
          <w:trHeight w:val="283"/>
        </w:trPr>
        <w:tc>
          <w:tcPr>
            <w:tcW w:w="7660" w:type="dxa"/>
            <w:vMerge w:val="restart"/>
            <w:tcBorders>
              <w:top w:val="single" w:sz="4" w:space="0" w:color="auto"/>
              <w:left w:val="single" w:sz="4" w:space="0" w:color="auto"/>
              <w:right w:val="single" w:sz="4" w:space="0" w:color="auto"/>
            </w:tcBorders>
            <w:shd w:val="clear" w:color="auto" w:fill="D9D9D9"/>
            <w:vAlign w:val="center"/>
          </w:tcPr>
          <w:p w14:paraId="6A1C84C7"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COMPOSIÇÃO DA CARTEIRA DO FUNDO (“CARTEIRA”)</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631EC3CC" w14:textId="77777777" w:rsidR="00F15C37" w:rsidRPr="00F15C37" w:rsidRDefault="00F15C37" w:rsidP="00F15C37">
            <w:pPr>
              <w:jc w:val="center"/>
              <w:rPr>
                <w:rFonts w:ascii="Tahoma" w:hAnsi="Tahoma" w:cs="Tahoma"/>
                <w:sz w:val="22"/>
                <w:szCs w:val="22"/>
              </w:rPr>
            </w:pPr>
            <w:r w:rsidRPr="00F15C37">
              <w:rPr>
                <w:rFonts w:ascii="Tahoma" w:hAnsi="Tahoma" w:cs="Tahoma"/>
                <w:b/>
                <w:bCs/>
                <w:color w:val="000000"/>
                <w:sz w:val="22"/>
                <w:szCs w:val="22"/>
              </w:rPr>
              <w:t>% do PL</w:t>
            </w:r>
          </w:p>
        </w:tc>
      </w:tr>
      <w:tr w:rsidR="00F15C37" w:rsidRPr="00F15C37" w14:paraId="358F93F3" w14:textId="77777777" w:rsidTr="00551EC5">
        <w:trPr>
          <w:trHeight w:val="283"/>
        </w:trPr>
        <w:tc>
          <w:tcPr>
            <w:tcW w:w="7660" w:type="dxa"/>
            <w:vMerge/>
            <w:tcBorders>
              <w:left w:val="single" w:sz="4" w:space="0" w:color="auto"/>
              <w:bottom w:val="single" w:sz="4" w:space="0" w:color="auto"/>
              <w:right w:val="single" w:sz="4" w:space="0" w:color="auto"/>
            </w:tcBorders>
            <w:shd w:val="clear" w:color="auto" w:fill="D9D9D9"/>
          </w:tcPr>
          <w:p w14:paraId="73644586" w14:textId="77777777" w:rsidR="00F15C37" w:rsidRPr="00F15C37" w:rsidRDefault="00F15C37" w:rsidP="00F15C37">
            <w:pPr>
              <w:jc w:val="center"/>
              <w:rPr>
                <w:rFonts w:ascii="Tahoma" w:hAnsi="Tahoma" w:cs="Tahoma"/>
                <w:b/>
                <w:bCs/>
                <w:color w:val="000000"/>
                <w:sz w:val="22"/>
                <w:szCs w:val="22"/>
              </w:rPr>
            </w:pPr>
          </w:p>
        </w:tc>
        <w:tc>
          <w:tcPr>
            <w:tcW w:w="1417" w:type="dxa"/>
            <w:tcBorders>
              <w:top w:val="single" w:sz="4" w:space="0" w:color="auto"/>
              <w:left w:val="nil"/>
              <w:bottom w:val="single" w:sz="4" w:space="0" w:color="auto"/>
              <w:right w:val="single" w:sz="4" w:space="0" w:color="auto"/>
            </w:tcBorders>
            <w:shd w:val="clear" w:color="auto" w:fill="D9D9D9"/>
            <w:noWrap/>
            <w:vAlign w:val="center"/>
            <w:hideMark/>
          </w:tcPr>
          <w:p w14:paraId="68CC0CC7"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Mín.</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7132C18" w14:textId="77777777" w:rsidR="00F15C37" w:rsidRPr="00F15C37" w:rsidRDefault="00F15C37" w:rsidP="00F15C37">
            <w:pPr>
              <w:jc w:val="center"/>
              <w:rPr>
                <w:rFonts w:ascii="Tahoma" w:hAnsi="Tahoma" w:cs="Tahoma"/>
                <w:sz w:val="22"/>
                <w:szCs w:val="22"/>
              </w:rPr>
            </w:pPr>
            <w:r w:rsidRPr="00F15C37">
              <w:rPr>
                <w:rFonts w:ascii="Tahoma" w:hAnsi="Tahoma" w:cs="Tahoma"/>
                <w:b/>
                <w:bCs/>
                <w:color w:val="000000"/>
                <w:sz w:val="22"/>
                <w:szCs w:val="22"/>
              </w:rPr>
              <w:t>Máx.</w:t>
            </w:r>
          </w:p>
        </w:tc>
      </w:tr>
      <w:tr w:rsidR="00F15C37" w:rsidRPr="00F15C37" w14:paraId="036587FC" w14:textId="77777777" w:rsidTr="00551EC5">
        <w:trPr>
          <w:trHeight w:val="283"/>
        </w:trPr>
        <w:tc>
          <w:tcPr>
            <w:tcW w:w="7660" w:type="dxa"/>
            <w:tcBorders>
              <w:top w:val="nil"/>
              <w:left w:val="single" w:sz="4" w:space="0" w:color="auto"/>
              <w:bottom w:val="single" w:sz="4" w:space="0" w:color="auto"/>
              <w:right w:val="single" w:sz="4" w:space="0" w:color="auto"/>
            </w:tcBorders>
          </w:tcPr>
          <w:p w14:paraId="602B953C" w14:textId="77777777" w:rsidR="00F15C37" w:rsidRPr="00F15C37" w:rsidRDefault="00F15C37" w:rsidP="00F15C37">
            <w:pPr>
              <w:jc w:val="both"/>
              <w:rPr>
                <w:rFonts w:ascii="Tahoma" w:hAnsi="Tahoma" w:cs="Tahoma"/>
                <w:color w:val="000000"/>
                <w:sz w:val="22"/>
                <w:szCs w:val="22"/>
              </w:rPr>
            </w:pPr>
            <w:r w:rsidRPr="00F15C37">
              <w:rPr>
                <w:rFonts w:ascii="Tahoma" w:hAnsi="Tahoma" w:cs="Tahoma"/>
                <w:sz w:val="22"/>
                <w:szCs w:val="22"/>
              </w:rPr>
              <w:t xml:space="preserve">Cotas do </w:t>
            </w:r>
            <w:r w:rsidRPr="00F15C37">
              <w:rPr>
                <w:rFonts w:ascii="Tahoma" w:hAnsi="Tahoma" w:cs="Tahoma"/>
                <w:iCs/>
                <w:color w:val="000000"/>
                <w:sz w:val="22"/>
                <w:szCs w:val="22"/>
              </w:rPr>
              <w:t>PB VÉRTICE FIA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3091556"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95%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4455C" w14:textId="77777777" w:rsidR="00F15C37" w:rsidRPr="00F15C37" w:rsidRDefault="00F15C37" w:rsidP="00F15C37">
            <w:pPr>
              <w:jc w:val="center"/>
              <w:rPr>
                <w:rFonts w:ascii="Tahoma" w:hAnsi="Tahoma" w:cs="Tahoma"/>
                <w:b/>
                <w:sz w:val="22"/>
                <w:szCs w:val="22"/>
              </w:rPr>
            </w:pPr>
            <w:r w:rsidRPr="00F15C37">
              <w:rPr>
                <w:rFonts w:ascii="Tahoma" w:hAnsi="Tahoma" w:cs="Tahoma"/>
                <w:b/>
                <w:color w:val="000000"/>
                <w:sz w:val="22"/>
                <w:szCs w:val="22"/>
              </w:rPr>
              <w:t>100%</w:t>
            </w:r>
          </w:p>
        </w:tc>
      </w:tr>
      <w:tr w:rsidR="00F15C37" w:rsidRPr="00F15C37" w14:paraId="6AF66991"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tcPr>
          <w:p w14:paraId="691E8372"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Depósitos à vista</w:t>
            </w:r>
          </w:p>
        </w:tc>
        <w:tc>
          <w:tcPr>
            <w:tcW w:w="1417" w:type="dxa"/>
            <w:vMerge w:val="restart"/>
            <w:tcBorders>
              <w:top w:val="single" w:sz="4" w:space="0" w:color="auto"/>
              <w:left w:val="nil"/>
              <w:right w:val="single" w:sz="4" w:space="0" w:color="auto"/>
            </w:tcBorders>
            <w:shd w:val="clear" w:color="auto" w:fill="auto"/>
            <w:noWrap/>
            <w:vAlign w:val="center"/>
            <w:hideMark/>
          </w:tcPr>
          <w:p w14:paraId="52A58F65"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0%</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347AED82" w14:textId="77777777" w:rsidR="00F15C37" w:rsidRPr="00F15C37" w:rsidRDefault="00F15C37" w:rsidP="00F15C37">
            <w:pPr>
              <w:jc w:val="center"/>
              <w:rPr>
                <w:rFonts w:ascii="Tahoma" w:hAnsi="Tahoma" w:cs="Tahoma"/>
                <w:b/>
                <w:sz w:val="22"/>
                <w:szCs w:val="22"/>
              </w:rPr>
            </w:pPr>
            <w:r w:rsidRPr="00F15C37">
              <w:rPr>
                <w:rFonts w:ascii="Tahoma" w:hAnsi="Tahoma" w:cs="Tahoma"/>
                <w:b/>
                <w:color w:val="000000"/>
                <w:sz w:val="22"/>
                <w:szCs w:val="22"/>
              </w:rPr>
              <w:t>5%</w:t>
            </w:r>
          </w:p>
        </w:tc>
      </w:tr>
      <w:tr w:rsidR="00F15C37" w:rsidRPr="00F15C37" w14:paraId="4B475B38"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tcPr>
          <w:p w14:paraId="0A3CDB9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Títulos Públicos Federais</w:t>
            </w:r>
          </w:p>
        </w:tc>
        <w:tc>
          <w:tcPr>
            <w:tcW w:w="1417" w:type="dxa"/>
            <w:vMerge/>
            <w:tcBorders>
              <w:top w:val="single" w:sz="4" w:space="0" w:color="auto"/>
              <w:left w:val="nil"/>
              <w:right w:val="single" w:sz="4" w:space="0" w:color="auto"/>
            </w:tcBorders>
            <w:shd w:val="clear" w:color="auto" w:fill="auto"/>
            <w:noWrap/>
            <w:vAlign w:val="center"/>
          </w:tcPr>
          <w:p w14:paraId="5BC1B3EE" w14:textId="77777777" w:rsidR="00F15C37" w:rsidRPr="00F15C37" w:rsidRDefault="00F15C37" w:rsidP="00F15C37">
            <w:pPr>
              <w:jc w:val="center"/>
              <w:rPr>
                <w:rFonts w:ascii="Tahoma" w:hAnsi="Tahoma" w:cs="Tahoma"/>
                <w:b/>
                <w:color w:val="000000"/>
                <w:sz w:val="22"/>
                <w:szCs w:val="22"/>
              </w:rPr>
            </w:pPr>
          </w:p>
        </w:tc>
        <w:tc>
          <w:tcPr>
            <w:tcW w:w="1418" w:type="dxa"/>
            <w:vMerge/>
            <w:tcBorders>
              <w:top w:val="single" w:sz="4" w:space="0" w:color="auto"/>
              <w:left w:val="single" w:sz="4" w:space="0" w:color="auto"/>
              <w:right w:val="single" w:sz="4" w:space="0" w:color="auto"/>
            </w:tcBorders>
            <w:shd w:val="clear" w:color="auto" w:fill="auto"/>
            <w:noWrap/>
            <w:vAlign w:val="center"/>
          </w:tcPr>
          <w:p w14:paraId="31209D82" w14:textId="77777777" w:rsidR="00F15C37" w:rsidRPr="00F15C37" w:rsidRDefault="00F15C37" w:rsidP="00F15C37">
            <w:pPr>
              <w:jc w:val="center"/>
              <w:rPr>
                <w:rFonts w:ascii="Tahoma" w:hAnsi="Tahoma" w:cs="Tahoma"/>
                <w:b/>
                <w:color w:val="000000"/>
                <w:sz w:val="22"/>
                <w:szCs w:val="22"/>
              </w:rPr>
            </w:pPr>
          </w:p>
        </w:tc>
      </w:tr>
      <w:tr w:rsidR="00F15C37" w:rsidRPr="00F15C37" w14:paraId="3330F98E"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tcPr>
          <w:p w14:paraId="0B8348C4"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Títulos de Renda Fixa de emissão de instituição financeira</w:t>
            </w:r>
          </w:p>
        </w:tc>
        <w:tc>
          <w:tcPr>
            <w:tcW w:w="1417" w:type="dxa"/>
            <w:vMerge/>
            <w:tcBorders>
              <w:left w:val="nil"/>
              <w:right w:val="single" w:sz="4" w:space="0" w:color="auto"/>
            </w:tcBorders>
            <w:shd w:val="clear" w:color="auto" w:fill="auto"/>
            <w:noWrap/>
            <w:vAlign w:val="center"/>
          </w:tcPr>
          <w:p w14:paraId="468B3D60" w14:textId="77777777" w:rsidR="00F15C37" w:rsidRPr="00F15C37" w:rsidRDefault="00F15C37" w:rsidP="00F15C37">
            <w:pPr>
              <w:jc w:val="center"/>
              <w:rPr>
                <w:rFonts w:ascii="Tahoma" w:hAnsi="Tahoma" w:cs="Tahoma"/>
                <w:b/>
                <w:color w:val="000000"/>
                <w:sz w:val="22"/>
                <w:szCs w:val="22"/>
              </w:rPr>
            </w:pPr>
          </w:p>
        </w:tc>
        <w:tc>
          <w:tcPr>
            <w:tcW w:w="1418" w:type="dxa"/>
            <w:vMerge/>
            <w:tcBorders>
              <w:left w:val="single" w:sz="4" w:space="0" w:color="auto"/>
              <w:right w:val="single" w:sz="4" w:space="0" w:color="auto"/>
            </w:tcBorders>
            <w:shd w:val="clear" w:color="auto" w:fill="auto"/>
            <w:noWrap/>
            <w:vAlign w:val="center"/>
          </w:tcPr>
          <w:p w14:paraId="66BE723A" w14:textId="77777777" w:rsidR="00F15C37" w:rsidRPr="00F15C37" w:rsidRDefault="00F15C37" w:rsidP="00F15C37">
            <w:pPr>
              <w:jc w:val="center"/>
              <w:rPr>
                <w:rFonts w:ascii="Tahoma" w:hAnsi="Tahoma" w:cs="Tahoma"/>
                <w:b/>
                <w:color w:val="000000"/>
                <w:sz w:val="22"/>
                <w:szCs w:val="22"/>
              </w:rPr>
            </w:pPr>
          </w:p>
        </w:tc>
      </w:tr>
      <w:tr w:rsidR="00F15C37" w:rsidRPr="00F15C37" w14:paraId="226D08AC"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tcPr>
          <w:p w14:paraId="78E2984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Operações compromissadas</w:t>
            </w:r>
          </w:p>
        </w:tc>
        <w:tc>
          <w:tcPr>
            <w:tcW w:w="1417" w:type="dxa"/>
            <w:vMerge/>
            <w:tcBorders>
              <w:left w:val="nil"/>
              <w:right w:val="single" w:sz="4" w:space="0" w:color="auto"/>
            </w:tcBorders>
            <w:shd w:val="clear" w:color="auto" w:fill="auto"/>
            <w:noWrap/>
            <w:vAlign w:val="center"/>
          </w:tcPr>
          <w:p w14:paraId="27F9820A" w14:textId="77777777" w:rsidR="00F15C37" w:rsidRPr="00F15C37" w:rsidRDefault="00F15C37" w:rsidP="00F15C37">
            <w:pPr>
              <w:jc w:val="center"/>
              <w:rPr>
                <w:rFonts w:ascii="Tahoma" w:hAnsi="Tahoma" w:cs="Tahoma"/>
                <w:b/>
                <w:color w:val="000000"/>
                <w:sz w:val="22"/>
                <w:szCs w:val="22"/>
              </w:rPr>
            </w:pPr>
          </w:p>
        </w:tc>
        <w:tc>
          <w:tcPr>
            <w:tcW w:w="1418" w:type="dxa"/>
            <w:vMerge/>
            <w:tcBorders>
              <w:left w:val="single" w:sz="4" w:space="0" w:color="auto"/>
              <w:right w:val="single" w:sz="4" w:space="0" w:color="auto"/>
            </w:tcBorders>
            <w:shd w:val="clear" w:color="auto" w:fill="auto"/>
            <w:noWrap/>
            <w:vAlign w:val="center"/>
          </w:tcPr>
          <w:p w14:paraId="29FE78CD" w14:textId="77777777" w:rsidR="00F15C37" w:rsidRPr="00F15C37" w:rsidRDefault="00F15C37" w:rsidP="00F15C37">
            <w:pPr>
              <w:jc w:val="center"/>
              <w:rPr>
                <w:rFonts w:ascii="Tahoma" w:hAnsi="Tahoma" w:cs="Tahoma"/>
                <w:b/>
                <w:color w:val="000000"/>
                <w:sz w:val="22"/>
                <w:szCs w:val="22"/>
              </w:rPr>
            </w:pPr>
          </w:p>
        </w:tc>
      </w:tr>
      <w:tr w:rsidR="00F15C37" w:rsidRPr="00F15C37" w14:paraId="79604D54"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tcPr>
          <w:p w14:paraId="4BF26ACD"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Cotas de fundos de índice que reflitam as variações e a rentabilidade de índices de renda fixa (“Fundos Investidos”)</w:t>
            </w:r>
          </w:p>
        </w:tc>
        <w:tc>
          <w:tcPr>
            <w:tcW w:w="1417" w:type="dxa"/>
            <w:vMerge/>
            <w:tcBorders>
              <w:left w:val="nil"/>
              <w:right w:val="single" w:sz="4" w:space="0" w:color="auto"/>
            </w:tcBorders>
            <w:shd w:val="clear" w:color="auto" w:fill="auto"/>
            <w:noWrap/>
            <w:vAlign w:val="center"/>
          </w:tcPr>
          <w:p w14:paraId="2DF81CC8" w14:textId="77777777" w:rsidR="00F15C37" w:rsidRPr="00F15C37" w:rsidRDefault="00F15C37" w:rsidP="00F15C37">
            <w:pPr>
              <w:jc w:val="center"/>
              <w:rPr>
                <w:rFonts w:ascii="Tahoma" w:hAnsi="Tahoma" w:cs="Tahoma"/>
                <w:b/>
                <w:color w:val="000000"/>
                <w:sz w:val="22"/>
                <w:szCs w:val="22"/>
              </w:rPr>
            </w:pPr>
          </w:p>
        </w:tc>
        <w:tc>
          <w:tcPr>
            <w:tcW w:w="1418" w:type="dxa"/>
            <w:vMerge/>
            <w:tcBorders>
              <w:left w:val="single" w:sz="4" w:space="0" w:color="auto"/>
              <w:right w:val="single" w:sz="4" w:space="0" w:color="auto"/>
            </w:tcBorders>
            <w:shd w:val="clear" w:color="auto" w:fill="auto"/>
            <w:noWrap/>
            <w:vAlign w:val="center"/>
          </w:tcPr>
          <w:p w14:paraId="2274E41F" w14:textId="77777777" w:rsidR="00F15C37" w:rsidRPr="00F15C37" w:rsidRDefault="00F15C37" w:rsidP="00F15C37">
            <w:pPr>
              <w:jc w:val="center"/>
              <w:rPr>
                <w:rFonts w:ascii="Tahoma" w:hAnsi="Tahoma" w:cs="Tahoma"/>
                <w:b/>
                <w:color w:val="000000"/>
                <w:sz w:val="22"/>
                <w:szCs w:val="22"/>
              </w:rPr>
            </w:pPr>
          </w:p>
        </w:tc>
      </w:tr>
      <w:tr w:rsidR="00F15C37" w:rsidRPr="00F15C37" w14:paraId="49901F46"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tcPr>
          <w:p w14:paraId="7E838812"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Cotas de fundos de investimento da classe Renda Fixa Curto Prazo, Renda Fixa Referenciado, desde que o seu indicador de desempenho seja a variação do CDI ou SELIC e Renda Fixa Simples (“Fundos Investidos”)</w:t>
            </w:r>
          </w:p>
        </w:tc>
        <w:tc>
          <w:tcPr>
            <w:tcW w:w="1417" w:type="dxa"/>
            <w:vMerge/>
            <w:tcBorders>
              <w:left w:val="nil"/>
              <w:bottom w:val="single" w:sz="4" w:space="0" w:color="auto"/>
              <w:right w:val="single" w:sz="4" w:space="0" w:color="auto"/>
            </w:tcBorders>
            <w:shd w:val="clear" w:color="auto" w:fill="auto"/>
            <w:noWrap/>
            <w:vAlign w:val="center"/>
          </w:tcPr>
          <w:p w14:paraId="170824C9" w14:textId="77777777" w:rsidR="00F15C37" w:rsidRPr="00F15C37" w:rsidRDefault="00F15C37" w:rsidP="00F15C37">
            <w:pPr>
              <w:jc w:val="center"/>
              <w:rPr>
                <w:rFonts w:ascii="Tahoma" w:hAnsi="Tahoma" w:cs="Tahoma"/>
                <w:b/>
                <w:color w:val="000000"/>
                <w:sz w:val="22"/>
                <w:szCs w:val="22"/>
              </w:rPr>
            </w:pPr>
          </w:p>
        </w:tc>
        <w:tc>
          <w:tcPr>
            <w:tcW w:w="1418" w:type="dxa"/>
            <w:vMerge/>
            <w:tcBorders>
              <w:left w:val="single" w:sz="4" w:space="0" w:color="auto"/>
              <w:bottom w:val="single" w:sz="4" w:space="0" w:color="auto"/>
              <w:right w:val="single" w:sz="4" w:space="0" w:color="auto"/>
            </w:tcBorders>
            <w:shd w:val="clear" w:color="auto" w:fill="auto"/>
            <w:noWrap/>
            <w:vAlign w:val="center"/>
          </w:tcPr>
          <w:p w14:paraId="2E77EB71" w14:textId="77777777" w:rsidR="00F15C37" w:rsidRPr="00F15C37" w:rsidRDefault="00F15C37" w:rsidP="00F15C37">
            <w:pPr>
              <w:jc w:val="center"/>
              <w:rPr>
                <w:rFonts w:ascii="Tahoma" w:hAnsi="Tahoma" w:cs="Tahoma"/>
                <w:b/>
                <w:color w:val="000000"/>
                <w:sz w:val="22"/>
                <w:szCs w:val="22"/>
              </w:rPr>
            </w:pPr>
          </w:p>
        </w:tc>
      </w:tr>
      <w:tr w:rsidR="00F15C37" w:rsidRPr="00F15C37" w14:paraId="502444D7"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0C9660"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CRÉDITO PRIVADO</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F1A177"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CC1BBB"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Limite aplicável</w:t>
            </w:r>
          </w:p>
          <w:p w14:paraId="0350DC68"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lastRenderedPageBreak/>
              <w:t>(% do PL)</w:t>
            </w:r>
          </w:p>
        </w:tc>
      </w:tr>
      <w:tr w:rsidR="00F15C37" w:rsidRPr="00F15C37" w14:paraId="39B150C4" w14:textId="77777777" w:rsidTr="00551EC5">
        <w:trPr>
          <w:trHeight w:val="960"/>
        </w:trPr>
        <w:tc>
          <w:tcPr>
            <w:tcW w:w="7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1DBC1"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lastRenderedPageBreak/>
              <w:t>Ativos de crédito privado e/ou títulos públicos que não da União,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D0837F5" w14:textId="77777777" w:rsidR="00F15C37" w:rsidRPr="00F15C37" w:rsidRDefault="00F15C37" w:rsidP="00F15C37">
            <w:pPr>
              <w:jc w:val="center"/>
              <w:rPr>
                <w:rFonts w:ascii="Tahoma" w:hAnsi="Tahoma" w:cs="Tahoma"/>
                <w:color w:val="000000"/>
                <w:sz w:val="22"/>
                <w:szCs w:val="22"/>
              </w:rPr>
            </w:pPr>
            <w:r w:rsidRPr="00F15C37">
              <w:rPr>
                <w:rFonts w:ascii="Tahoma" w:hAnsi="Tahoma" w:cs="Tahoma"/>
                <w:color w:val="000000"/>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F57785C"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Até 33%</w:t>
            </w:r>
          </w:p>
        </w:tc>
      </w:tr>
      <w:tr w:rsidR="00F15C37" w:rsidRPr="00F15C37" w14:paraId="6324082E"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7445E5"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INVESTIMENTO NO EXTERIOR</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AA421A"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B6A61B"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Limite aplicável</w:t>
            </w:r>
          </w:p>
          <w:p w14:paraId="490F184C"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 do PL)</w:t>
            </w:r>
          </w:p>
        </w:tc>
      </w:tr>
      <w:tr w:rsidR="00F15C37" w:rsidRPr="00F15C37" w14:paraId="316628B5" w14:textId="77777777" w:rsidTr="00551EC5">
        <w:trPr>
          <w:trHeight w:val="283"/>
        </w:trPr>
        <w:tc>
          <w:tcPr>
            <w:tcW w:w="7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AAE1D" w14:textId="77777777" w:rsidR="00F15C37" w:rsidRPr="00F15C37" w:rsidRDefault="00F15C37" w:rsidP="00F15C37">
            <w:pPr>
              <w:jc w:val="both"/>
              <w:rPr>
                <w:rFonts w:ascii="Tahoma" w:hAnsi="Tahoma" w:cs="Tahoma"/>
                <w:color w:val="000000"/>
                <w:sz w:val="22"/>
                <w:szCs w:val="22"/>
              </w:rPr>
            </w:pPr>
            <w:r w:rsidRPr="00F15C37">
              <w:rPr>
                <w:rFonts w:ascii="Tahoma" w:hAnsi="Tahoma" w:cs="Tahoma"/>
                <w:sz w:val="22"/>
                <w:szCs w:val="22"/>
              </w:rPr>
              <w:t xml:space="preserve">Ativos financeiros negociados no exterior que tenham a mesma natureza econômica dos ativos financeiros no Brasil e/ou </w:t>
            </w:r>
            <w:proofErr w:type="spellStart"/>
            <w:r w:rsidRPr="00F15C37">
              <w:rPr>
                <w:rFonts w:ascii="Tahoma" w:hAnsi="Tahoma" w:cs="Tahoma"/>
                <w:sz w:val="22"/>
                <w:szCs w:val="22"/>
              </w:rPr>
              <w:t>Brazilian</w:t>
            </w:r>
            <w:proofErr w:type="spellEnd"/>
            <w:r w:rsidRPr="00F15C37">
              <w:rPr>
                <w:rFonts w:ascii="Tahoma" w:hAnsi="Tahoma" w:cs="Tahoma"/>
                <w:sz w:val="22"/>
                <w:szCs w:val="22"/>
              </w:rPr>
              <w:t xml:space="preserve"> Depositary </w:t>
            </w:r>
            <w:proofErr w:type="spellStart"/>
            <w:r w:rsidRPr="00F15C37">
              <w:rPr>
                <w:rFonts w:ascii="Tahoma" w:hAnsi="Tahoma" w:cs="Tahoma"/>
                <w:sz w:val="22"/>
                <w:szCs w:val="22"/>
              </w:rPr>
              <w:t>Receipt</w:t>
            </w:r>
            <w:proofErr w:type="spellEnd"/>
            <w:r w:rsidRPr="00F15C37">
              <w:rPr>
                <w:rFonts w:ascii="Tahoma" w:hAnsi="Tahoma" w:cs="Tahoma"/>
                <w:sz w:val="22"/>
                <w:szCs w:val="22"/>
              </w:rPr>
              <w:t xml:space="preserve"> classificados como investimento no exterior (exceto no caso de fundos de investimento que adotem o sufixo Ações – BDR-Nível I),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9D693D5" w14:textId="77777777" w:rsidR="00F15C37" w:rsidRPr="00F15C37" w:rsidRDefault="00F15C37" w:rsidP="00F15C37">
            <w:pPr>
              <w:jc w:val="center"/>
              <w:rPr>
                <w:rFonts w:ascii="Tahoma" w:hAnsi="Tahoma" w:cs="Tahoma"/>
                <w:color w:val="000000"/>
                <w:sz w:val="22"/>
                <w:szCs w:val="22"/>
              </w:rPr>
            </w:pPr>
            <w:r w:rsidRPr="00F15C37">
              <w:rPr>
                <w:rFonts w:ascii="Tahoma" w:hAnsi="Tahoma" w:cs="Tahoma"/>
                <w:color w:val="000000"/>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7F2319D" w14:textId="77777777" w:rsidR="00F15C37" w:rsidRPr="00F15C37" w:rsidRDefault="00F15C37" w:rsidP="00F15C37">
            <w:pPr>
              <w:jc w:val="center"/>
              <w:rPr>
                <w:rFonts w:ascii="Tahoma" w:eastAsia="Calibri" w:hAnsi="Tahoma" w:cs="Tahoma"/>
                <w:b/>
                <w:sz w:val="22"/>
                <w:szCs w:val="22"/>
                <w:lang w:eastAsia="en-US"/>
              </w:rPr>
            </w:pPr>
            <w:r w:rsidRPr="00F15C37">
              <w:rPr>
                <w:rFonts w:ascii="Tahoma" w:hAnsi="Tahoma" w:cs="Tahoma"/>
                <w:b/>
                <w:sz w:val="22"/>
                <w:szCs w:val="22"/>
              </w:rPr>
              <w:t>Até 40%</w:t>
            </w:r>
          </w:p>
        </w:tc>
      </w:tr>
      <w:tr w:rsidR="00F15C37" w:rsidRPr="00F15C37" w14:paraId="7012674A" w14:textId="77777777" w:rsidTr="00551EC5">
        <w:trPr>
          <w:trHeight w:val="283"/>
        </w:trPr>
        <w:tc>
          <w:tcPr>
            <w:tcW w:w="104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3464F9" w14:textId="77777777" w:rsidR="00F15C37" w:rsidRPr="00F15C37" w:rsidRDefault="00F15C37" w:rsidP="00F15C37">
            <w:pPr>
              <w:jc w:val="both"/>
              <w:rPr>
                <w:rFonts w:ascii="Tahoma" w:hAnsi="Tahoma" w:cs="Tahoma"/>
                <w:b/>
                <w:sz w:val="22"/>
                <w:szCs w:val="22"/>
              </w:rPr>
            </w:pPr>
            <w:r w:rsidRPr="00F15C37">
              <w:rPr>
                <w:rFonts w:ascii="Tahoma" w:hAnsi="Tahoma" w:cs="Tahoma"/>
                <w:b/>
                <w:color w:val="000000"/>
                <w:sz w:val="22"/>
                <w:szCs w:val="22"/>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0D1182FD" w14:textId="77777777" w:rsidR="00F15C37" w:rsidRPr="00F15C37" w:rsidRDefault="00F15C37" w:rsidP="00F15C37">
      <w:pPr>
        <w:jc w:val="center"/>
        <w:rPr>
          <w:rFonts w:ascii="Tahoma" w:hAnsi="Tahoma" w:cs="Tahoma"/>
          <w:b/>
          <w:sz w:val="22"/>
          <w:szCs w:val="22"/>
        </w:rPr>
      </w:pPr>
    </w:p>
    <w:p w14:paraId="73DAD62F" w14:textId="77777777" w:rsidR="00F15C37" w:rsidRPr="00F15C37" w:rsidRDefault="00F15C37" w:rsidP="00F15C37">
      <w:pPr>
        <w:jc w:val="center"/>
        <w:rPr>
          <w:rFonts w:ascii="Tahoma" w:hAnsi="Tahoma" w:cs="Tahoma"/>
          <w:b/>
          <w:sz w:val="22"/>
          <w:szCs w:val="22"/>
        </w:rPr>
      </w:pPr>
      <w:r w:rsidRPr="00F15C37">
        <w:rPr>
          <w:rFonts w:ascii="Tahoma" w:hAnsi="Tahoma" w:cs="Tahoma"/>
          <w:b/>
          <w:sz w:val="22"/>
          <w:szCs w:val="22"/>
        </w:rPr>
        <w:t>DOS FUNDOS INVESTIDOS</w:t>
      </w:r>
    </w:p>
    <w:p w14:paraId="2D57C4B5" w14:textId="77777777" w:rsidR="00F15C37" w:rsidRPr="00F15C37" w:rsidRDefault="00F15C37" w:rsidP="00F15C37">
      <w:pPr>
        <w:jc w:val="center"/>
        <w:rPr>
          <w:rFonts w:ascii="Tahoma" w:hAnsi="Tahoma" w:cs="Tahoma"/>
          <w:b/>
          <w:sz w:val="22"/>
          <w:szCs w:val="22"/>
        </w:rPr>
      </w:pPr>
    </w:p>
    <w:tbl>
      <w:tblPr>
        <w:tblW w:w="10490" w:type="dxa"/>
        <w:tblInd w:w="-5" w:type="dxa"/>
        <w:tblCellMar>
          <w:left w:w="70" w:type="dxa"/>
          <w:right w:w="70" w:type="dxa"/>
        </w:tblCellMar>
        <w:tblLook w:val="04A0" w:firstRow="1" w:lastRow="0" w:firstColumn="1" w:lastColumn="0" w:noHBand="0" w:noVBand="1"/>
      </w:tblPr>
      <w:tblGrid>
        <w:gridCol w:w="7655"/>
        <w:gridCol w:w="1417"/>
        <w:gridCol w:w="1418"/>
      </w:tblGrid>
      <w:tr w:rsidR="00F15C37" w:rsidRPr="00F15C37" w14:paraId="1B065967" w14:textId="77777777" w:rsidTr="00551EC5">
        <w:trPr>
          <w:trHeight w:val="283"/>
        </w:trPr>
        <w:tc>
          <w:tcPr>
            <w:tcW w:w="7655" w:type="dxa"/>
            <w:vMerge w:val="restart"/>
            <w:tcBorders>
              <w:top w:val="single" w:sz="4" w:space="0" w:color="auto"/>
              <w:left w:val="single" w:sz="4" w:space="0" w:color="auto"/>
              <w:right w:val="single" w:sz="4" w:space="0" w:color="auto"/>
            </w:tcBorders>
            <w:shd w:val="clear" w:color="auto" w:fill="D9D9D9"/>
            <w:noWrap/>
            <w:vAlign w:val="center"/>
            <w:hideMark/>
          </w:tcPr>
          <w:p w14:paraId="1B222282"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 xml:space="preserve">COMPOSIÇÃO DA CARTEIRA </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7928509"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 do PL</w:t>
            </w:r>
          </w:p>
        </w:tc>
      </w:tr>
      <w:tr w:rsidR="00F15C37" w:rsidRPr="00F15C37" w14:paraId="3F2DE561" w14:textId="77777777" w:rsidTr="00551EC5">
        <w:trPr>
          <w:trHeight w:val="283"/>
        </w:trPr>
        <w:tc>
          <w:tcPr>
            <w:tcW w:w="7655" w:type="dxa"/>
            <w:vMerge/>
            <w:tcBorders>
              <w:left w:val="single" w:sz="4" w:space="0" w:color="auto"/>
              <w:bottom w:val="single" w:sz="4" w:space="0" w:color="auto"/>
              <w:right w:val="single" w:sz="4" w:space="0" w:color="auto"/>
            </w:tcBorders>
            <w:shd w:val="clear" w:color="auto" w:fill="D9D9D9"/>
            <w:noWrap/>
            <w:vAlign w:val="center"/>
            <w:hideMark/>
          </w:tcPr>
          <w:p w14:paraId="5DA0818F" w14:textId="77777777" w:rsidR="00F15C37" w:rsidRPr="00F15C37" w:rsidRDefault="00F15C37" w:rsidP="00F15C37">
            <w:pPr>
              <w:spacing w:line="256" w:lineRule="auto"/>
              <w:rPr>
                <w:rFonts w:ascii="Tahoma" w:hAnsi="Tahoma" w:cs="Tahoma"/>
                <w:b/>
                <w:bCs/>
                <w:color w:val="000000"/>
                <w:sz w:val="22"/>
                <w:szCs w:val="22"/>
              </w:rPr>
            </w:pPr>
          </w:p>
        </w:tc>
        <w:tc>
          <w:tcPr>
            <w:tcW w:w="1417" w:type="dxa"/>
            <w:tcBorders>
              <w:top w:val="nil"/>
              <w:left w:val="nil"/>
              <w:bottom w:val="single" w:sz="4" w:space="0" w:color="auto"/>
              <w:right w:val="single" w:sz="4" w:space="0" w:color="auto"/>
            </w:tcBorders>
            <w:shd w:val="clear" w:color="auto" w:fill="D9D9D9"/>
            <w:noWrap/>
            <w:vAlign w:val="center"/>
            <w:hideMark/>
          </w:tcPr>
          <w:p w14:paraId="71972D2D"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Mín.</w:t>
            </w:r>
          </w:p>
        </w:tc>
        <w:tc>
          <w:tcPr>
            <w:tcW w:w="1418" w:type="dxa"/>
            <w:tcBorders>
              <w:top w:val="nil"/>
              <w:left w:val="nil"/>
              <w:bottom w:val="single" w:sz="4" w:space="0" w:color="auto"/>
              <w:right w:val="single" w:sz="4" w:space="0" w:color="auto"/>
            </w:tcBorders>
            <w:shd w:val="clear" w:color="auto" w:fill="D9D9D9"/>
            <w:noWrap/>
            <w:vAlign w:val="center"/>
            <w:hideMark/>
          </w:tcPr>
          <w:p w14:paraId="4FAD1C92"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Máx.</w:t>
            </w:r>
          </w:p>
        </w:tc>
      </w:tr>
      <w:tr w:rsidR="00F15C37" w:rsidRPr="00F15C37" w14:paraId="0CC18003" w14:textId="77777777" w:rsidTr="00551EC5">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5EC599FF"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Ações admitidas à negociação em mercado organizado</w:t>
            </w:r>
          </w:p>
        </w:tc>
        <w:tc>
          <w:tcPr>
            <w:tcW w:w="1417" w:type="dxa"/>
            <w:vMerge w:val="restart"/>
            <w:tcBorders>
              <w:top w:val="nil"/>
              <w:left w:val="nil"/>
              <w:right w:val="single" w:sz="4" w:space="0" w:color="auto"/>
            </w:tcBorders>
            <w:shd w:val="clear" w:color="auto" w:fill="auto"/>
            <w:noWrap/>
            <w:vAlign w:val="center"/>
          </w:tcPr>
          <w:p w14:paraId="5DB1AAB8"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67%</w:t>
            </w:r>
          </w:p>
        </w:tc>
        <w:tc>
          <w:tcPr>
            <w:tcW w:w="1418" w:type="dxa"/>
            <w:vMerge w:val="restart"/>
            <w:tcBorders>
              <w:top w:val="nil"/>
              <w:left w:val="nil"/>
              <w:right w:val="single" w:sz="4" w:space="0" w:color="auto"/>
            </w:tcBorders>
            <w:shd w:val="clear" w:color="auto" w:fill="auto"/>
            <w:noWrap/>
            <w:vAlign w:val="center"/>
          </w:tcPr>
          <w:p w14:paraId="03EF41F1"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100%</w:t>
            </w:r>
          </w:p>
        </w:tc>
      </w:tr>
      <w:tr w:rsidR="00F15C37" w:rsidRPr="00F15C37" w14:paraId="00B0BBD9" w14:textId="77777777" w:rsidTr="00551EC5">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7658B52C"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Bônus ou recibos de subscrição e certificados de depósito de ações admitidas à negociação em mercado organizado</w:t>
            </w:r>
          </w:p>
        </w:tc>
        <w:tc>
          <w:tcPr>
            <w:tcW w:w="1417" w:type="dxa"/>
            <w:vMerge/>
            <w:tcBorders>
              <w:left w:val="nil"/>
              <w:right w:val="single" w:sz="4" w:space="0" w:color="auto"/>
            </w:tcBorders>
            <w:shd w:val="clear" w:color="auto" w:fill="auto"/>
            <w:noWrap/>
            <w:vAlign w:val="center"/>
          </w:tcPr>
          <w:p w14:paraId="442B6121" w14:textId="77777777" w:rsidR="00F15C37" w:rsidRPr="00F15C37" w:rsidRDefault="00F15C37" w:rsidP="00F15C37">
            <w:pPr>
              <w:jc w:val="center"/>
              <w:rPr>
                <w:rFonts w:ascii="Tahoma" w:hAnsi="Tahoma" w:cs="Tahoma"/>
                <w:b/>
                <w:color w:val="000000"/>
                <w:sz w:val="22"/>
                <w:szCs w:val="22"/>
              </w:rPr>
            </w:pPr>
          </w:p>
        </w:tc>
        <w:tc>
          <w:tcPr>
            <w:tcW w:w="1418" w:type="dxa"/>
            <w:vMerge/>
            <w:tcBorders>
              <w:left w:val="nil"/>
              <w:right w:val="single" w:sz="4" w:space="0" w:color="auto"/>
            </w:tcBorders>
            <w:shd w:val="clear" w:color="auto" w:fill="auto"/>
            <w:noWrap/>
            <w:vAlign w:val="center"/>
          </w:tcPr>
          <w:p w14:paraId="4F3A0A7A" w14:textId="77777777" w:rsidR="00F15C37" w:rsidRPr="00F15C37" w:rsidRDefault="00F15C37" w:rsidP="00F15C37">
            <w:pPr>
              <w:jc w:val="center"/>
              <w:rPr>
                <w:rFonts w:ascii="Tahoma" w:hAnsi="Tahoma" w:cs="Tahoma"/>
                <w:b/>
                <w:color w:val="000000"/>
                <w:sz w:val="22"/>
                <w:szCs w:val="22"/>
              </w:rPr>
            </w:pPr>
          </w:p>
        </w:tc>
      </w:tr>
      <w:tr w:rsidR="00F15C37" w:rsidRPr="00F15C37" w14:paraId="632CCD65" w14:textId="77777777" w:rsidTr="00551EC5">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172318ED"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Cotas de fundos de investimento e cotas de fundos de investimento em cotas da classe Ações e cotas dos fundos de índice de ações negociadas em mercado organizado</w:t>
            </w:r>
          </w:p>
        </w:tc>
        <w:tc>
          <w:tcPr>
            <w:tcW w:w="1417" w:type="dxa"/>
            <w:vMerge/>
            <w:tcBorders>
              <w:left w:val="nil"/>
              <w:right w:val="single" w:sz="4" w:space="0" w:color="auto"/>
            </w:tcBorders>
            <w:shd w:val="clear" w:color="auto" w:fill="auto"/>
            <w:noWrap/>
            <w:vAlign w:val="center"/>
          </w:tcPr>
          <w:p w14:paraId="387FEC34" w14:textId="77777777" w:rsidR="00F15C37" w:rsidRPr="00F15C37" w:rsidRDefault="00F15C37" w:rsidP="00F15C37">
            <w:pPr>
              <w:jc w:val="center"/>
              <w:rPr>
                <w:rFonts w:ascii="Tahoma" w:hAnsi="Tahoma" w:cs="Tahoma"/>
                <w:b/>
                <w:color w:val="000000"/>
                <w:sz w:val="22"/>
                <w:szCs w:val="22"/>
              </w:rPr>
            </w:pPr>
          </w:p>
        </w:tc>
        <w:tc>
          <w:tcPr>
            <w:tcW w:w="1418" w:type="dxa"/>
            <w:vMerge/>
            <w:tcBorders>
              <w:left w:val="nil"/>
              <w:right w:val="single" w:sz="4" w:space="0" w:color="auto"/>
            </w:tcBorders>
            <w:shd w:val="clear" w:color="auto" w:fill="auto"/>
            <w:noWrap/>
            <w:vAlign w:val="center"/>
          </w:tcPr>
          <w:p w14:paraId="1E955D66" w14:textId="77777777" w:rsidR="00F15C37" w:rsidRPr="00F15C37" w:rsidRDefault="00F15C37" w:rsidP="00F15C37">
            <w:pPr>
              <w:jc w:val="center"/>
              <w:rPr>
                <w:rFonts w:ascii="Tahoma" w:hAnsi="Tahoma" w:cs="Tahoma"/>
                <w:b/>
                <w:color w:val="000000"/>
                <w:sz w:val="22"/>
                <w:szCs w:val="22"/>
              </w:rPr>
            </w:pPr>
          </w:p>
        </w:tc>
      </w:tr>
      <w:tr w:rsidR="00F15C37" w:rsidRPr="00F15C37" w14:paraId="0853A07A" w14:textId="77777777" w:rsidTr="00551EC5">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48D09680" w14:textId="77777777" w:rsidR="00F15C37" w:rsidRPr="00F15C37" w:rsidRDefault="00F15C37" w:rsidP="00F15C37">
            <w:pPr>
              <w:jc w:val="both"/>
              <w:rPr>
                <w:rFonts w:ascii="Tahoma" w:hAnsi="Tahoma" w:cs="Tahoma"/>
                <w:color w:val="000000"/>
                <w:sz w:val="22"/>
                <w:szCs w:val="22"/>
              </w:rPr>
            </w:pPr>
            <w:proofErr w:type="spellStart"/>
            <w:r w:rsidRPr="00F15C37">
              <w:rPr>
                <w:rFonts w:ascii="Tahoma" w:hAnsi="Tahoma" w:cs="Tahoma"/>
                <w:color w:val="000000"/>
                <w:sz w:val="22"/>
                <w:szCs w:val="22"/>
              </w:rPr>
              <w:t>Brazilian</w:t>
            </w:r>
            <w:proofErr w:type="spellEnd"/>
            <w:r w:rsidRPr="00F15C37">
              <w:rPr>
                <w:rFonts w:ascii="Tahoma" w:hAnsi="Tahoma" w:cs="Tahoma"/>
                <w:color w:val="000000"/>
                <w:sz w:val="22"/>
                <w:szCs w:val="22"/>
              </w:rPr>
              <w:t xml:space="preserve"> Depositary </w:t>
            </w:r>
            <w:proofErr w:type="spellStart"/>
            <w:r w:rsidRPr="00F15C37">
              <w:rPr>
                <w:rFonts w:ascii="Tahoma" w:hAnsi="Tahoma" w:cs="Tahoma"/>
                <w:color w:val="000000"/>
                <w:sz w:val="22"/>
                <w:szCs w:val="22"/>
              </w:rPr>
              <w:t>Receipts</w:t>
            </w:r>
            <w:proofErr w:type="spellEnd"/>
            <w:r w:rsidRPr="00F15C37">
              <w:rPr>
                <w:rFonts w:ascii="Tahoma" w:hAnsi="Tahoma" w:cs="Tahoma"/>
                <w:color w:val="000000"/>
                <w:sz w:val="22"/>
                <w:szCs w:val="22"/>
              </w:rPr>
              <w:t xml:space="preserve"> (“BDR”) não classificados como investimento no exterior</w:t>
            </w:r>
          </w:p>
        </w:tc>
        <w:tc>
          <w:tcPr>
            <w:tcW w:w="1417" w:type="dxa"/>
            <w:vMerge/>
            <w:tcBorders>
              <w:left w:val="nil"/>
              <w:bottom w:val="single" w:sz="4" w:space="0" w:color="auto"/>
              <w:right w:val="single" w:sz="4" w:space="0" w:color="auto"/>
            </w:tcBorders>
            <w:shd w:val="clear" w:color="auto" w:fill="auto"/>
            <w:noWrap/>
            <w:vAlign w:val="center"/>
          </w:tcPr>
          <w:p w14:paraId="052A7B2E" w14:textId="77777777" w:rsidR="00F15C37" w:rsidRPr="00F15C37" w:rsidRDefault="00F15C37" w:rsidP="00F15C37">
            <w:pPr>
              <w:jc w:val="center"/>
              <w:rPr>
                <w:rFonts w:ascii="Tahoma" w:hAnsi="Tahoma" w:cs="Tahoma"/>
                <w:b/>
                <w:color w:val="000000"/>
                <w:sz w:val="22"/>
                <w:szCs w:val="22"/>
              </w:rPr>
            </w:pPr>
          </w:p>
        </w:tc>
        <w:tc>
          <w:tcPr>
            <w:tcW w:w="1418" w:type="dxa"/>
            <w:vMerge/>
            <w:tcBorders>
              <w:left w:val="nil"/>
              <w:bottom w:val="single" w:sz="4" w:space="0" w:color="auto"/>
              <w:right w:val="single" w:sz="4" w:space="0" w:color="auto"/>
            </w:tcBorders>
            <w:shd w:val="clear" w:color="auto" w:fill="auto"/>
            <w:noWrap/>
            <w:vAlign w:val="center"/>
          </w:tcPr>
          <w:p w14:paraId="49C43C8C" w14:textId="77777777" w:rsidR="00F15C37" w:rsidRPr="00F15C37" w:rsidRDefault="00F15C37" w:rsidP="00F15C37">
            <w:pPr>
              <w:jc w:val="center"/>
              <w:rPr>
                <w:rFonts w:ascii="Tahoma" w:hAnsi="Tahoma" w:cs="Tahoma"/>
                <w:b/>
                <w:color w:val="000000"/>
                <w:sz w:val="22"/>
                <w:szCs w:val="22"/>
              </w:rPr>
            </w:pPr>
          </w:p>
        </w:tc>
      </w:tr>
      <w:tr w:rsidR="00F15C37" w:rsidRPr="00F15C37" w14:paraId="363FFFBA" w14:textId="77777777" w:rsidTr="00551EC5">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0B402517"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 xml:space="preserve">Outros ativos financeiros e/ou modalidades operacionais </w:t>
            </w:r>
          </w:p>
        </w:tc>
        <w:tc>
          <w:tcPr>
            <w:tcW w:w="1417" w:type="dxa"/>
            <w:tcBorders>
              <w:top w:val="nil"/>
              <w:left w:val="nil"/>
              <w:bottom w:val="single" w:sz="4" w:space="0" w:color="auto"/>
              <w:right w:val="single" w:sz="4" w:space="0" w:color="auto"/>
            </w:tcBorders>
            <w:shd w:val="clear" w:color="auto" w:fill="auto"/>
            <w:noWrap/>
            <w:vAlign w:val="center"/>
            <w:hideMark/>
          </w:tcPr>
          <w:p w14:paraId="36DBA2BF"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22FF467D"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33%</w:t>
            </w:r>
          </w:p>
        </w:tc>
      </w:tr>
      <w:tr w:rsidR="00F15C37" w:rsidRPr="00F15C37" w14:paraId="7C5E2B9A" w14:textId="77777777" w:rsidTr="00551EC5">
        <w:trPr>
          <w:trHeight w:val="328"/>
        </w:trPr>
        <w:tc>
          <w:tcPr>
            <w:tcW w:w="7655" w:type="dxa"/>
            <w:tcBorders>
              <w:top w:val="nil"/>
              <w:left w:val="single" w:sz="4" w:space="0" w:color="auto"/>
              <w:bottom w:val="single" w:sz="4" w:space="0" w:color="auto"/>
              <w:right w:val="single" w:sz="4" w:space="0" w:color="auto"/>
            </w:tcBorders>
            <w:shd w:val="clear" w:color="auto" w:fill="auto"/>
            <w:vAlign w:val="center"/>
          </w:tcPr>
          <w:p w14:paraId="50426600"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Títulos Públicos Federais e operações compromissadas lastreadas nestes títulos</w:t>
            </w:r>
          </w:p>
        </w:tc>
        <w:tc>
          <w:tcPr>
            <w:tcW w:w="1417" w:type="dxa"/>
            <w:tcBorders>
              <w:top w:val="nil"/>
              <w:left w:val="nil"/>
              <w:bottom w:val="single" w:sz="4" w:space="0" w:color="auto"/>
              <w:right w:val="single" w:sz="4" w:space="0" w:color="auto"/>
            </w:tcBorders>
            <w:shd w:val="clear" w:color="auto" w:fill="auto"/>
            <w:noWrap/>
            <w:vAlign w:val="center"/>
          </w:tcPr>
          <w:p w14:paraId="1E4FE944"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Sem Limite</w:t>
            </w:r>
          </w:p>
        </w:tc>
        <w:tc>
          <w:tcPr>
            <w:tcW w:w="1418" w:type="dxa"/>
            <w:tcBorders>
              <w:top w:val="nil"/>
              <w:left w:val="nil"/>
              <w:bottom w:val="single" w:sz="4" w:space="0" w:color="auto"/>
              <w:right w:val="single" w:sz="4" w:space="0" w:color="auto"/>
            </w:tcBorders>
            <w:shd w:val="clear" w:color="auto" w:fill="auto"/>
            <w:noWrap/>
            <w:vAlign w:val="center"/>
          </w:tcPr>
          <w:p w14:paraId="7AB49251"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Sem Limite</w:t>
            </w:r>
          </w:p>
        </w:tc>
      </w:tr>
      <w:tr w:rsidR="00F15C37" w:rsidRPr="00F15C37" w14:paraId="6EFFB0C8" w14:textId="77777777" w:rsidTr="00551EC5">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BBAEA7"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DERIVATIVOS</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281250"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 xml:space="preserve">Permitido / Vedado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535224"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Limite aplicável</w:t>
            </w:r>
          </w:p>
          <w:p w14:paraId="65830911"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(%do PL)</w:t>
            </w:r>
          </w:p>
        </w:tc>
      </w:tr>
      <w:tr w:rsidR="00F15C37" w:rsidRPr="00F15C37" w14:paraId="4C04BA44" w14:textId="77777777" w:rsidTr="00551EC5">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DE02A" w14:textId="77777777" w:rsidR="00F15C37" w:rsidRPr="00F15C37" w:rsidRDefault="00F15C37" w:rsidP="00F15C37">
            <w:pPr>
              <w:rPr>
                <w:rFonts w:ascii="Tahoma" w:hAnsi="Tahoma" w:cs="Tahoma"/>
                <w:color w:val="000000"/>
                <w:sz w:val="22"/>
                <w:szCs w:val="22"/>
              </w:rPr>
            </w:pPr>
            <w:r w:rsidRPr="00F15C37">
              <w:rPr>
                <w:rFonts w:ascii="Tahoma" w:hAnsi="Tahoma" w:cs="Tahoma"/>
                <w:color w:val="000000"/>
                <w:sz w:val="22"/>
                <w:szCs w:val="22"/>
              </w:rPr>
              <w:t>Proteção da carteira (</w:t>
            </w:r>
            <w:r w:rsidRPr="00F15C37">
              <w:rPr>
                <w:rFonts w:ascii="Tahoma" w:hAnsi="Tahoma" w:cs="Tahoma"/>
                <w:i/>
                <w:color w:val="000000"/>
                <w:sz w:val="22"/>
                <w:szCs w:val="22"/>
              </w:rPr>
              <w:t>hedge</w:t>
            </w:r>
            <w:r w:rsidRPr="00F15C37">
              <w:rPr>
                <w:rFonts w:ascii="Tahoma" w:hAnsi="Tahoma" w:cs="Tahoma"/>
                <w:color w:val="000000"/>
                <w:sz w:val="22"/>
                <w:szCs w:val="22"/>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FDA0AC" w14:textId="77777777" w:rsidR="00F15C37" w:rsidRPr="00F15C37" w:rsidRDefault="00F15C37" w:rsidP="00F15C37">
            <w:pPr>
              <w:jc w:val="center"/>
              <w:rPr>
                <w:rFonts w:ascii="Tahoma" w:hAnsi="Tahoma" w:cs="Tahoma"/>
                <w:color w:val="000000"/>
                <w:sz w:val="22"/>
                <w:szCs w:val="22"/>
              </w:rPr>
            </w:pPr>
            <w:r w:rsidRPr="00F15C37">
              <w:rPr>
                <w:rFonts w:ascii="Tahoma" w:hAnsi="Tahoma" w:cs="Tahoma"/>
                <w:color w:val="000000"/>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109B229"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Até 100% </w:t>
            </w:r>
          </w:p>
        </w:tc>
      </w:tr>
      <w:tr w:rsidR="00F15C37" w:rsidRPr="00F15C37" w14:paraId="348D7066" w14:textId="77777777" w:rsidTr="00551EC5">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C6AA7B4" w14:textId="77777777" w:rsidR="00F15C37" w:rsidRPr="00F15C37" w:rsidRDefault="00F15C37" w:rsidP="00F15C37">
            <w:pPr>
              <w:rPr>
                <w:rFonts w:ascii="Tahoma" w:hAnsi="Tahoma" w:cs="Tahoma"/>
                <w:color w:val="000000"/>
                <w:sz w:val="22"/>
                <w:szCs w:val="22"/>
              </w:rPr>
            </w:pPr>
            <w:r w:rsidRPr="00F15C37">
              <w:rPr>
                <w:rFonts w:ascii="Tahoma" w:hAnsi="Tahoma" w:cs="Tahoma"/>
                <w:color w:val="000000"/>
                <w:sz w:val="22"/>
                <w:szCs w:val="22"/>
              </w:rPr>
              <w:t>Assunção de risco</w:t>
            </w:r>
          </w:p>
        </w:tc>
        <w:tc>
          <w:tcPr>
            <w:tcW w:w="1417" w:type="dxa"/>
            <w:tcBorders>
              <w:top w:val="nil"/>
              <w:left w:val="nil"/>
              <w:bottom w:val="single" w:sz="4" w:space="0" w:color="auto"/>
              <w:right w:val="single" w:sz="4" w:space="0" w:color="auto"/>
            </w:tcBorders>
            <w:shd w:val="clear" w:color="auto" w:fill="auto"/>
            <w:vAlign w:val="center"/>
            <w:hideMark/>
          </w:tcPr>
          <w:p w14:paraId="52B09EE6" w14:textId="77777777" w:rsidR="00F15C37" w:rsidRPr="00F15C37" w:rsidRDefault="00F15C37" w:rsidP="00F15C37">
            <w:pPr>
              <w:jc w:val="center"/>
              <w:rPr>
                <w:rFonts w:ascii="Tahoma" w:hAnsi="Tahoma" w:cs="Tahoma"/>
                <w:color w:val="000000"/>
                <w:sz w:val="22"/>
                <w:szCs w:val="22"/>
              </w:rPr>
            </w:pPr>
            <w:r w:rsidRPr="00F15C37">
              <w:rPr>
                <w:rFonts w:ascii="Tahoma" w:hAnsi="Tahoma" w:cs="Tahoma"/>
                <w:color w:val="000000"/>
                <w:sz w:val="22"/>
                <w:szCs w:val="22"/>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5CCCB6CB"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Até 100% </w:t>
            </w:r>
          </w:p>
        </w:tc>
      </w:tr>
      <w:tr w:rsidR="00F15C37" w:rsidRPr="00F15C37" w14:paraId="2603D242" w14:textId="77777777" w:rsidTr="00551EC5">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11DCD0D" w14:textId="77777777" w:rsidR="00F15C37" w:rsidRPr="00F15C37" w:rsidRDefault="00F15C37" w:rsidP="00F15C37">
            <w:pPr>
              <w:rPr>
                <w:rFonts w:ascii="Tahoma" w:hAnsi="Tahoma" w:cs="Tahoma"/>
                <w:sz w:val="22"/>
                <w:szCs w:val="22"/>
              </w:rPr>
            </w:pPr>
            <w:r w:rsidRPr="00F15C37">
              <w:rPr>
                <w:rFonts w:ascii="Tahoma" w:hAnsi="Tahoma" w:cs="Tahoma"/>
                <w:sz w:val="22"/>
                <w:szCs w:val="22"/>
              </w:rPr>
              <w:t>Alavancagem</w:t>
            </w:r>
          </w:p>
        </w:tc>
        <w:tc>
          <w:tcPr>
            <w:tcW w:w="1417" w:type="dxa"/>
            <w:tcBorders>
              <w:top w:val="nil"/>
              <w:left w:val="nil"/>
              <w:bottom w:val="single" w:sz="4" w:space="0" w:color="auto"/>
              <w:right w:val="single" w:sz="4" w:space="0" w:color="auto"/>
            </w:tcBorders>
            <w:shd w:val="clear" w:color="auto" w:fill="auto"/>
            <w:vAlign w:val="center"/>
            <w:hideMark/>
          </w:tcPr>
          <w:p w14:paraId="5F5036F3"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2358F034" w14:textId="77777777" w:rsidR="00F15C37" w:rsidRPr="00F15C37" w:rsidRDefault="00F15C37" w:rsidP="00F15C37">
            <w:pPr>
              <w:jc w:val="center"/>
              <w:rPr>
                <w:rFonts w:ascii="Tahoma" w:hAnsi="Tahoma" w:cs="Tahoma"/>
                <w:b/>
                <w:sz w:val="22"/>
                <w:szCs w:val="22"/>
              </w:rPr>
            </w:pPr>
            <w:r w:rsidRPr="00F15C37">
              <w:rPr>
                <w:rFonts w:ascii="Tahoma" w:hAnsi="Tahoma" w:cs="Tahoma"/>
                <w:b/>
                <w:sz w:val="22"/>
                <w:szCs w:val="22"/>
              </w:rPr>
              <w:t>Sem limite máximo definido</w:t>
            </w:r>
          </w:p>
        </w:tc>
      </w:tr>
    </w:tbl>
    <w:p w14:paraId="7BA5FFDF" w14:textId="77777777" w:rsidR="00F15C37" w:rsidRPr="00F15C37" w:rsidRDefault="00F15C37" w:rsidP="00F15C37">
      <w:pPr>
        <w:jc w:val="both"/>
        <w:rPr>
          <w:rFonts w:ascii="Tahoma" w:hAnsi="Tahoma" w:cs="Tahoma"/>
          <w:sz w:val="22"/>
          <w:szCs w:val="22"/>
        </w:rPr>
      </w:pPr>
    </w:p>
    <w:p w14:paraId="2A55FC4F" w14:textId="77777777" w:rsidR="00F15C37" w:rsidRPr="00F15C37" w:rsidRDefault="00F15C37" w:rsidP="00F15C37">
      <w:pPr>
        <w:jc w:val="center"/>
        <w:rPr>
          <w:rFonts w:ascii="Tahoma" w:hAnsi="Tahoma" w:cs="Tahoma"/>
          <w:b/>
          <w:sz w:val="22"/>
          <w:szCs w:val="22"/>
        </w:rPr>
      </w:pPr>
      <w:r w:rsidRPr="00F15C37">
        <w:rPr>
          <w:rFonts w:ascii="Tahoma" w:hAnsi="Tahoma" w:cs="Tahoma"/>
          <w:b/>
          <w:sz w:val="22"/>
          <w:szCs w:val="22"/>
        </w:rPr>
        <w:t>DAS OPERAÇÕES COM O ADMINISTRADOR, GESTOR E LIGADAS PELO FUNDO E/OU PELOS FUNDOS INVESTIDOS</w:t>
      </w:r>
    </w:p>
    <w:p w14:paraId="3FBD2490" w14:textId="77777777" w:rsidR="00F15C37" w:rsidRPr="00F15C37" w:rsidRDefault="00F15C37" w:rsidP="00F15C37">
      <w:pPr>
        <w:rPr>
          <w:rFonts w:ascii="Tahoma" w:hAnsi="Tahoma" w:cs="Tahoma"/>
          <w:sz w:val="22"/>
          <w:szCs w:val="22"/>
        </w:rPr>
      </w:pPr>
    </w:p>
    <w:tbl>
      <w:tblPr>
        <w:tblW w:w="10348" w:type="dxa"/>
        <w:tblInd w:w="-5" w:type="dxa"/>
        <w:tblCellMar>
          <w:left w:w="70" w:type="dxa"/>
          <w:right w:w="70" w:type="dxa"/>
        </w:tblCellMar>
        <w:tblLook w:val="04A0" w:firstRow="1" w:lastRow="0" w:firstColumn="1" w:lastColumn="0" w:noHBand="0" w:noVBand="1"/>
      </w:tblPr>
      <w:tblGrid>
        <w:gridCol w:w="7655"/>
        <w:gridCol w:w="1309"/>
        <w:gridCol w:w="1384"/>
      </w:tblGrid>
      <w:tr w:rsidR="00F15C37" w:rsidRPr="00F15C37" w14:paraId="07FAB6B5" w14:textId="77777777" w:rsidTr="00551EC5">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307530"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 xml:space="preserve">OPERAÇÕES COM O ADMINISTRADOR, GESTOR E LIGADAS </w:t>
            </w:r>
          </w:p>
        </w:tc>
        <w:tc>
          <w:tcPr>
            <w:tcW w:w="13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0C9A37"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Permitido / Vedado</w:t>
            </w:r>
          </w:p>
        </w:tc>
        <w:tc>
          <w:tcPr>
            <w:tcW w:w="138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84F969"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Limite aplicável</w:t>
            </w:r>
          </w:p>
          <w:p w14:paraId="4A610B48" w14:textId="77777777" w:rsidR="00F15C37" w:rsidRPr="00F15C37" w:rsidRDefault="00F15C37" w:rsidP="00F15C37">
            <w:pPr>
              <w:jc w:val="center"/>
              <w:rPr>
                <w:rFonts w:ascii="Tahoma" w:hAnsi="Tahoma" w:cs="Tahoma"/>
                <w:b/>
                <w:bCs/>
                <w:color w:val="000000"/>
                <w:sz w:val="22"/>
                <w:szCs w:val="22"/>
              </w:rPr>
            </w:pPr>
            <w:r w:rsidRPr="00F15C37">
              <w:rPr>
                <w:rFonts w:ascii="Tahoma" w:hAnsi="Tahoma" w:cs="Tahoma"/>
                <w:b/>
                <w:bCs/>
                <w:color w:val="000000"/>
                <w:sz w:val="22"/>
                <w:szCs w:val="22"/>
              </w:rPr>
              <w:t>(% do PL)</w:t>
            </w:r>
          </w:p>
        </w:tc>
      </w:tr>
      <w:tr w:rsidR="00F15C37" w:rsidRPr="00F15C37" w14:paraId="29F3B7E2" w14:textId="77777777" w:rsidTr="00551EC5">
        <w:trPr>
          <w:trHeight w:val="283"/>
        </w:trPr>
        <w:tc>
          <w:tcPr>
            <w:tcW w:w="7655" w:type="dxa"/>
            <w:tcBorders>
              <w:top w:val="single" w:sz="4" w:space="0" w:color="auto"/>
              <w:left w:val="single" w:sz="4" w:space="0" w:color="auto"/>
              <w:bottom w:val="single" w:sz="4" w:space="0" w:color="auto"/>
              <w:right w:val="single" w:sz="4" w:space="0" w:color="auto"/>
            </w:tcBorders>
            <w:vAlign w:val="center"/>
            <w:hideMark/>
          </w:tcPr>
          <w:p w14:paraId="383FE04C"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Títulos ou valores mobiliários de emissão do ADMINISTRADOR, do GESTOR ou de empresas a eles ligadas</w:t>
            </w:r>
            <w:r w:rsidRPr="00F15C37">
              <w:rPr>
                <w:rFonts w:ascii="Tahoma" w:hAnsi="Tahoma" w:cs="Tahoma"/>
                <w:sz w:val="22"/>
                <w:szCs w:val="22"/>
              </w:rPr>
              <w:t>, sendo vedada a aquisição de ações do ADMINISTRADOR,</w:t>
            </w:r>
            <w:r w:rsidRPr="00F15C37">
              <w:rPr>
                <w:rFonts w:ascii="Tahoma" w:hAnsi="Tahoma" w:cs="Tahoma"/>
                <w:color w:val="000000"/>
                <w:sz w:val="22"/>
                <w:szCs w:val="22"/>
              </w:rPr>
              <w:t xml:space="preserve"> </w:t>
            </w:r>
            <w:r w:rsidRPr="00F15C37">
              <w:rPr>
                <w:rFonts w:ascii="Tahoma" w:hAnsi="Tahoma" w:cs="Tahoma"/>
                <w:sz w:val="22"/>
                <w:szCs w:val="22"/>
              </w:rPr>
              <w:t>exceto nas hipóteses em que o Fundo Investido busque reproduzir índice de mercado do qual estas ações façam parte, exclusivamente na proporção desta participação</w:t>
            </w:r>
          </w:p>
        </w:tc>
        <w:tc>
          <w:tcPr>
            <w:tcW w:w="1309" w:type="dxa"/>
            <w:tcBorders>
              <w:top w:val="single" w:sz="4" w:space="0" w:color="auto"/>
              <w:left w:val="nil"/>
              <w:bottom w:val="single" w:sz="4" w:space="0" w:color="auto"/>
              <w:right w:val="single" w:sz="4" w:space="0" w:color="auto"/>
            </w:tcBorders>
            <w:vAlign w:val="center"/>
            <w:hideMark/>
          </w:tcPr>
          <w:p w14:paraId="058C9356" w14:textId="77777777" w:rsidR="00F15C37" w:rsidRPr="00F15C37" w:rsidRDefault="00F15C37" w:rsidP="00F15C37">
            <w:pPr>
              <w:jc w:val="center"/>
              <w:rPr>
                <w:rFonts w:ascii="Tahoma" w:hAnsi="Tahoma" w:cs="Tahoma"/>
                <w:sz w:val="22"/>
                <w:szCs w:val="22"/>
                <w:highlight w:val="cyan"/>
              </w:rPr>
            </w:pPr>
            <w:r w:rsidRPr="00F15C37">
              <w:rPr>
                <w:rFonts w:ascii="Tahoma" w:hAnsi="Tahoma" w:cs="Tahoma"/>
                <w:color w:val="000000"/>
                <w:sz w:val="22"/>
                <w:szCs w:val="22"/>
              </w:rPr>
              <w:t xml:space="preserve">Permitido </w:t>
            </w:r>
          </w:p>
        </w:tc>
        <w:tc>
          <w:tcPr>
            <w:tcW w:w="1384" w:type="dxa"/>
            <w:tcBorders>
              <w:top w:val="single" w:sz="4" w:space="0" w:color="auto"/>
              <w:left w:val="nil"/>
              <w:bottom w:val="single" w:sz="4" w:space="0" w:color="auto"/>
              <w:right w:val="single" w:sz="4" w:space="0" w:color="auto"/>
            </w:tcBorders>
            <w:noWrap/>
            <w:vAlign w:val="center"/>
            <w:hideMark/>
          </w:tcPr>
          <w:p w14:paraId="7CFD07E8"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FUNDO:</w:t>
            </w:r>
          </w:p>
          <w:p w14:paraId="12253BEE"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Até 5%</w:t>
            </w:r>
          </w:p>
          <w:p w14:paraId="3978DBA0"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Fundos Investidos:</w:t>
            </w:r>
          </w:p>
          <w:p w14:paraId="6C8E4B82"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Até 20%</w:t>
            </w:r>
          </w:p>
        </w:tc>
      </w:tr>
      <w:tr w:rsidR="00F15C37" w:rsidRPr="00F15C37" w14:paraId="67017A28" w14:textId="77777777" w:rsidTr="00551EC5">
        <w:trPr>
          <w:trHeight w:val="283"/>
        </w:trPr>
        <w:tc>
          <w:tcPr>
            <w:tcW w:w="7655" w:type="dxa"/>
            <w:tcBorders>
              <w:top w:val="nil"/>
              <w:left w:val="single" w:sz="4" w:space="0" w:color="auto"/>
              <w:bottom w:val="single" w:sz="4" w:space="0" w:color="auto"/>
              <w:right w:val="single" w:sz="4" w:space="0" w:color="auto"/>
            </w:tcBorders>
            <w:vAlign w:val="center"/>
            <w:hideMark/>
          </w:tcPr>
          <w:p w14:paraId="05E2241C"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Cotas de fundos de investimento administrados pelo ADMINISTRADOR, GESTOR ou empresas a eles ligadas</w:t>
            </w:r>
          </w:p>
        </w:tc>
        <w:tc>
          <w:tcPr>
            <w:tcW w:w="1309" w:type="dxa"/>
            <w:tcBorders>
              <w:top w:val="nil"/>
              <w:left w:val="nil"/>
              <w:bottom w:val="single" w:sz="4" w:space="0" w:color="auto"/>
              <w:right w:val="single" w:sz="4" w:space="0" w:color="auto"/>
            </w:tcBorders>
            <w:vAlign w:val="center"/>
            <w:hideMark/>
          </w:tcPr>
          <w:p w14:paraId="4F8FF2D4" w14:textId="77777777" w:rsidR="00F15C37" w:rsidRPr="00F15C37" w:rsidRDefault="00F15C37" w:rsidP="00F15C37">
            <w:pPr>
              <w:jc w:val="center"/>
              <w:rPr>
                <w:rFonts w:ascii="Tahoma" w:hAnsi="Tahoma" w:cs="Tahoma"/>
                <w:color w:val="000000"/>
                <w:sz w:val="22"/>
                <w:szCs w:val="22"/>
              </w:rPr>
            </w:pPr>
            <w:r w:rsidRPr="00F15C37">
              <w:rPr>
                <w:rFonts w:ascii="Tahoma" w:hAnsi="Tahoma" w:cs="Tahoma"/>
                <w:color w:val="000000"/>
                <w:sz w:val="22"/>
                <w:szCs w:val="22"/>
              </w:rPr>
              <w:t>Permitido</w:t>
            </w:r>
          </w:p>
        </w:tc>
        <w:tc>
          <w:tcPr>
            <w:tcW w:w="1384" w:type="dxa"/>
            <w:tcBorders>
              <w:top w:val="nil"/>
              <w:left w:val="nil"/>
              <w:bottom w:val="single" w:sz="4" w:space="0" w:color="auto"/>
              <w:right w:val="single" w:sz="4" w:space="0" w:color="auto"/>
            </w:tcBorders>
            <w:noWrap/>
            <w:vAlign w:val="center"/>
            <w:hideMark/>
          </w:tcPr>
          <w:p w14:paraId="606392BE"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Até 100%</w:t>
            </w:r>
          </w:p>
        </w:tc>
      </w:tr>
      <w:tr w:rsidR="00F15C37" w:rsidRPr="00F15C37" w14:paraId="2696FB67" w14:textId="77777777" w:rsidTr="00551EC5">
        <w:trPr>
          <w:trHeight w:val="283"/>
        </w:trPr>
        <w:tc>
          <w:tcPr>
            <w:tcW w:w="7655" w:type="dxa"/>
            <w:tcBorders>
              <w:top w:val="nil"/>
              <w:left w:val="single" w:sz="4" w:space="0" w:color="auto"/>
              <w:bottom w:val="single" w:sz="4" w:space="0" w:color="auto"/>
              <w:right w:val="single" w:sz="4" w:space="0" w:color="auto"/>
            </w:tcBorders>
            <w:vAlign w:val="center"/>
            <w:hideMark/>
          </w:tcPr>
          <w:p w14:paraId="3EB84964" w14:textId="77777777" w:rsidR="00F15C37" w:rsidRPr="00F15C37" w:rsidRDefault="00F15C37" w:rsidP="00F15C37">
            <w:pPr>
              <w:jc w:val="both"/>
              <w:rPr>
                <w:rFonts w:ascii="Tahoma" w:hAnsi="Tahoma" w:cs="Tahoma"/>
                <w:color w:val="000000"/>
                <w:sz w:val="22"/>
                <w:szCs w:val="22"/>
              </w:rPr>
            </w:pPr>
            <w:r w:rsidRPr="00F15C37">
              <w:rPr>
                <w:rFonts w:ascii="Tahoma" w:hAnsi="Tahoma" w:cs="Tahoma"/>
                <w:color w:val="000000"/>
                <w:sz w:val="22"/>
                <w:szCs w:val="22"/>
              </w:rPr>
              <w:t xml:space="preserve">Operações tendo como contraparte o ADMINISTRADOR, o GESTOR e empresas a eles ligadas, bem como fundos de investimento, clubes de </w:t>
            </w:r>
            <w:r w:rsidRPr="00F15C37">
              <w:rPr>
                <w:rFonts w:ascii="Tahoma" w:hAnsi="Tahoma" w:cs="Tahoma"/>
                <w:color w:val="000000"/>
                <w:sz w:val="22"/>
                <w:szCs w:val="22"/>
              </w:rPr>
              <w:lastRenderedPageBreak/>
              <w:t>investimento e/ou carteiras administradas pelo ADMINISTRADOR, pelo GESTOR ou por empresas a eles ligadas</w:t>
            </w:r>
          </w:p>
        </w:tc>
        <w:tc>
          <w:tcPr>
            <w:tcW w:w="1309" w:type="dxa"/>
            <w:tcBorders>
              <w:top w:val="nil"/>
              <w:left w:val="nil"/>
              <w:bottom w:val="single" w:sz="4" w:space="0" w:color="auto"/>
              <w:right w:val="single" w:sz="4" w:space="0" w:color="auto"/>
            </w:tcBorders>
            <w:vAlign w:val="center"/>
            <w:hideMark/>
          </w:tcPr>
          <w:p w14:paraId="3EE45AA5" w14:textId="77777777" w:rsidR="00F15C37" w:rsidRPr="00F15C37" w:rsidRDefault="00F15C37" w:rsidP="00F15C37">
            <w:pPr>
              <w:jc w:val="center"/>
              <w:rPr>
                <w:rFonts w:ascii="Tahoma" w:hAnsi="Tahoma" w:cs="Tahoma"/>
                <w:color w:val="000000"/>
                <w:sz w:val="22"/>
                <w:szCs w:val="22"/>
              </w:rPr>
            </w:pPr>
            <w:r w:rsidRPr="00F15C37">
              <w:rPr>
                <w:rFonts w:ascii="Tahoma" w:hAnsi="Tahoma" w:cs="Tahoma"/>
                <w:color w:val="000000"/>
                <w:sz w:val="22"/>
                <w:szCs w:val="22"/>
              </w:rPr>
              <w:lastRenderedPageBreak/>
              <w:t>Permitido</w:t>
            </w:r>
          </w:p>
        </w:tc>
        <w:tc>
          <w:tcPr>
            <w:tcW w:w="1384" w:type="dxa"/>
            <w:tcBorders>
              <w:top w:val="nil"/>
              <w:left w:val="nil"/>
              <w:bottom w:val="single" w:sz="4" w:space="0" w:color="auto"/>
              <w:right w:val="single" w:sz="4" w:space="0" w:color="auto"/>
            </w:tcBorders>
            <w:noWrap/>
            <w:vAlign w:val="center"/>
            <w:hideMark/>
          </w:tcPr>
          <w:p w14:paraId="59763332" w14:textId="77777777" w:rsidR="00F15C37" w:rsidRPr="00F15C37" w:rsidRDefault="00F15C37" w:rsidP="00F15C37">
            <w:pPr>
              <w:jc w:val="center"/>
              <w:rPr>
                <w:rFonts w:ascii="Tahoma" w:hAnsi="Tahoma" w:cs="Tahoma"/>
                <w:b/>
                <w:color w:val="000000"/>
                <w:sz w:val="22"/>
                <w:szCs w:val="22"/>
              </w:rPr>
            </w:pPr>
            <w:r w:rsidRPr="00F15C37">
              <w:rPr>
                <w:rFonts w:ascii="Tahoma" w:hAnsi="Tahoma" w:cs="Tahoma"/>
                <w:b/>
                <w:color w:val="000000"/>
                <w:sz w:val="22"/>
                <w:szCs w:val="22"/>
              </w:rPr>
              <w:t>Até 100%</w:t>
            </w:r>
          </w:p>
        </w:tc>
      </w:tr>
    </w:tbl>
    <w:p w14:paraId="09376A06" w14:textId="77777777" w:rsidR="00F15C37" w:rsidRPr="00F15C37" w:rsidRDefault="00F15C37" w:rsidP="00F15C37">
      <w:pPr>
        <w:jc w:val="both"/>
        <w:rPr>
          <w:rFonts w:ascii="Tahoma" w:hAnsi="Tahoma" w:cs="Tahoma"/>
          <w:sz w:val="22"/>
          <w:szCs w:val="22"/>
        </w:rPr>
      </w:pPr>
    </w:p>
    <w:p w14:paraId="2DEB263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3.3. O FUNDO poderá concentrar a totalidade de suas aplicações em cotas de um mesmo fundo de investimento, inclusive em fundos de investimento administrados pelo ADMINISTRADOR ou empresas a ele ligadas.</w:t>
      </w:r>
    </w:p>
    <w:p w14:paraId="31261B78" w14:textId="77777777" w:rsidR="00F15C37" w:rsidRPr="00F15C37" w:rsidRDefault="00F15C37" w:rsidP="00F15C37">
      <w:pPr>
        <w:jc w:val="both"/>
        <w:rPr>
          <w:rFonts w:ascii="Tahoma" w:hAnsi="Tahoma" w:cs="Tahoma"/>
          <w:sz w:val="22"/>
          <w:szCs w:val="22"/>
        </w:rPr>
      </w:pPr>
    </w:p>
    <w:p w14:paraId="1DF89E5E"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3.4. Os limites indicados nos quadros acima serão considerados em conjunto e cumulativamente.</w:t>
      </w:r>
    </w:p>
    <w:p w14:paraId="65E03278" w14:textId="77777777" w:rsidR="00F15C37" w:rsidRPr="00F15C37" w:rsidRDefault="00F15C37" w:rsidP="00F15C37">
      <w:pPr>
        <w:jc w:val="both"/>
        <w:rPr>
          <w:rFonts w:ascii="Tahoma" w:hAnsi="Tahoma" w:cs="Tahoma"/>
          <w:sz w:val="22"/>
          <w:szCs w:val="22"/>
        </w:rPr>
      </w:pPr>
    </w:p>
    <w:p w14:paraId="64FD19E1"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3.5. Observado o disposto nos quadros acima, cada Fundo Investido observará os limites por emissor e por modalidade de ativo previstos na regulamentação aplicável.</w:t>
      </w:r>
    </w:p>
    <w:p w14:paraId="5CD6C958" w14:textId="77777777" w:rsidR="00F15C37" w:rsidRPr="00F15C37" w:rsidRDefault="00F15C37" w:rsidP="00F15C37">
      <w:pPr>
        <w:jc w:val="both"/>
        <w:rPr>
          <w:rFonts w:ascii="Tahoma" w:hAnsi="Tahoma" w:cs="Tahoma"/>
          <w:sz w:val="22"/>
          <w:szCs w:val="22"/>
        </w:rPr>
      </w:pPr>
    </w:p>
    <w:p w14:paraId="36F7116E"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3.6.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 </w:t>
      </w:r>
    </w:p>
    <w:p w14:paraId="3F648858" w14:textId="77777777" w:rsidR="00F15C37" w:rsidRPr="00F15C37" w:rsidRDefault="00F15C37" w:rsidP="00F15C37">
      <w:pPr>
        <w:jc w:val="both"/>
        <w:rPr>
          <w:rFonts w:ascii="Tahoma" w:hAnsi="Tahoma" w:cs="Tahoma"/>
          <w:sz w:val="22"/>
          <w:szCs w:val="22"/>
        </w:rPr>
      </w:pPr>
    </w:p>
    <w:p w14:paraId="0ECF7A94"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489E34BD" w14:textId="77777777" w:rsidR="00F15C37" w:rsidRPr="00F15C37" w:rsidRDefault="00F15C37" w:rsidP="00F15C37">
      <w:pPr>
        <w:jc w:val="both"/>
        <w:rPr>
          <w:rFonts w:ascii="Tahoma" w:hAnsi="Tahoma" w:cs="Tahoma"/>
          <w:sz w:val="22"/>
          <w:szCs w:val="22"/>
        </w:rPr>
      </w:pPr>
    </w:p>
    <w:p w14:paraId="785A209B"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34A1D45E" w14:textId="77777777" w:rsidR="00F15C37" w:rsidRPr="00F15C37" w:rsidRDefault="00F15C37" w:rsidP="00F15C37">
      <w:pPr>
        <w:jc w:val="both"/>
        <w:rPr>
          <w:rFonts w:ascii="Tahoma" w:hAnsi="Tahoma" w:cs="Tahoma"/>
          <w:sz w:val="22"/>
          <w:szCs w:val="22"/>
        </w:rPr>
      </w:pPr>
    </w:p>
    <w:p w14:paraId="3F5CEFF1"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3.9. Ficam vedadas as aplicações pelo FUNDO em cotas de fundos de investimento que invistam diretamente no FUNDO.</w:t>
      </w:r>
    </w:p>
    <w:p w14:paraId="6B6DC990" w14:textId="77777777" w:rsidR="00F15C37" w:rsidRPr="00F15C37" w:rsidRDefault="00F15C37" w:rsidP="00F15C37">
      <w:pPr>
        <w:jc w:val="both"/>
        <w:rPr>
          <w:rFonts w:ascii="Tahoma" w:hAnsi="Tahoma" w:cs="Tahoma"/>
          <w:sz w:val="22"/>
          <w:szCs w:val="22"/>
        </w:rPr>
      </w:pPr>
    </w:p>
    <w:p w14:paraId="6DDA916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3.10. O ADMINISTRADOR, o GESTOR e qualquer empresa pertencente ao mesmo conglomerado financeiro, bem como diretores, gerentes e funcionários dessas empresas poderão ter posições </w:t>
      </w:r>
      <w:proofErr w:type="gramStart"/>
      <w:r w:rsidRPr="00F15C37">
        <w:rPr>
          <w:rFonts w:ascii="Tahoma" w:hAnsi="Tahoma" w:cs="Tahoma"/>
          <w:sz w:val="22"/>
          <w:szCs w:val="22"/>
        </w:rPr>
        <w:t>em, subscrever ou operar</w:t>
      </w:r>
      <w:proofErr w:type="gramEnd"/>
      <w:r w:rsidRPr="00F15C37">
        <w:rPr>
          <w:rFonts w:ascii="Tahoma" w:hAnsi="Tahoma" w:cs="Tahoma"/>
          <w:sz w:val="22"/>
          <w:szCs w:val="22"/>
        </w:rPr>
        <w:t xml:space="preserve"> com ativos financeiros que integrem ou venham a integrar a CARTEIRA do FUNDO e/ou a carteira dos Fundos Investidos.</w:t>
      </w:r>
    </w:p>
    <w:p w14:paraId="7509BCAA" w14:textId="77777777" w:rsidR="00F15C37" w:rsidRPr="00F15C37" w:rsidRDefault="00F15C37" w:rsidP="00F15C37">
      <w:pPr>
        <w:jc w:val="both"/>
        <w:rPr>
          <w:rFonts w:ascii="Tahoma" w:hAnsi="Tahoma" w:cs="Tahoma"/>
          <w:sz w:val="22"/>
          <w:szCs w:val="22"/>
        </w:rPr>
      </w:pPr>
    </w:p>
    <w:p w14:paraId="1197BD46"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0544CF1F" w14:textId="77777777" w:rsidR="00F15C37" w:rsidRPr="00F15C37" w:rsidRDefault="00F15C37" w:rsidP="00F15C37">
      <w:pPr>
        <w:jc w:val="both"/>
        <w:rPr>
          <w:rFonts w:ascii="Tahoma" w:hAnsi="Tahoma" w:cs="Tahoma"/>
          <w:sz w:val="22"/>
          <w:szCs w:val="22"/>
        </w:rPr>
      </w:pPr>
    </w:p>
    <w:p w14:paraId="3BCA7D94"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 xml:space="preserve">CLÁUSULA QUARTA – DOS RISCOS </w:t>
      </w:r>
    </w:p>
    <w:p w14:paraId="62405BC6" w14:textId="77777777" w:rsidR="00F15C37" w:rsidRPr="00F15C37" w:rsidRDefault="00F15C37" w:rsidP="00F15C37">
      <w:pPr>
        <w:jc w:val="both"/>
        <w:rPr>
          <w:rFonts w:ascii="Tahoma" w:hAnsi="Tahoma" w:cs="Tahoma"/>
          <w:sz w:val="22"/>
          <w:szCs w:val="22"/>
        </w:rPr>
      </w:pPr>
    </w:p>
    <w:p w14:paraId="5A0D9FEF" w14:textId="77777777" w:rsidR="00F15C37" w:rsidRPr="00F15C37" w:rsidRDefault="00F15C37" w:rsidP="00F15C37">
      <w:pPr>
        <w:jc w:val="both"/>
        <w:rPr>
          <w:rFonts w:ascii="Tahoma" w:hAnsi="Tahoma" w:cs="Tahoma"/>
          <w:color w:val="000000"/>
          <w:sz w:val="22"/>
          <w:szCs w:val="22"/>
        </w:rPr>
      </w:pPr>
      <w:r w:rsidRPr="00F15C37">
        <w:rPr>
          <w:rFonts w:ascii="Tahoma" w:hAnsi="Tahoma" w:cs="Tahoma"/>
          <w:sz w:val="22"/>
          <w:szCs w:val="22"/>
        </w:rPr>
        <w:t xml:space="preserve">4.1. </w:t>
      </w:r>
      <w:r w:rsidRPr="00F15C37">
        <w:rPr>
          <w:rFonts w:ascii="Tahoma" w:hAnsi="Tahoma" w:cs="Tahoma"/>
          <w:color w:val="000000"/>
          <w:sz w:val="22"/>
          <w:szCs w:val="22"/>
        </w:rPr>
        <w:t>O FUNDO e seus Cotistas estão sujeitos, principalmente, aos seguintes riscos:</w:t>
      </w:r>
    </w:p>
    <w:p w14:paraId="57BD67F8" w14:textId="77777777" w:rsidR="00F15C37" w:rsidRPr="00F15C37" w:rsidRDefault="00F15C37" w:rsidP="00F15C37">
      <w:pPr>
        <w:jc w:val="both"/>
        <w:rPr>
          <w:rFonts w:ascii="Tahoma" w:hAnsi="Tahoma" w:cs="Tahoma"/>
          <w:color w:val="000000"/>
          <w:sz w:val="22"/>
          <w:szCs w:val="22"/>
        </w:rPr>
      </w:pPr>
    </w:p>
    <w:p w14:paraId="184A6E43" w14:textId="77777777" w:rsidR="00F15C37" w:rsidRPr="00F15C37" w:rsidRDefault="00F15C37" w:rsidP="00F15C37">
      <w:pPr>
        <w:jc w:val="both"/>
        <w:rPr>
          <w:rFonts w:ascii="Tahoma" w:hAnsi="Tahoma" w:cs="Tahoma"/>
          <w:b/>
          <w:bCs/>
          <w:color w:val="000000"/>
          <w:sz w:val="22"/>
          <w:szCs w:val="22"/>
        </w:rPr>
      </w:pPr>
      <w:r w:rsidRPr="00F15C37">
        <w:rPr>
          <w:rFonts w:ascii="Tahoma" w:hAnsi="Tahoma" w:cs="Tahoma"/>
          <w:b/>
          <w:bCs/>
          <w:color w:val="000000"/>
          <w:sz w:val="22"/>
          <w:szCs w:val="22"/>
        </w:rPr>
        <w:t>Risco de Mercado:</w:t>
      </w:r>
      <w:r w:rsidRPr="00F15C37">
        <w:rPr>
          <w:rFonts w:ascii="Tahoma" w:hAnsi="Tahoma" w:cs="Tahoma"/>
          <w:color w:val="000000"/>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7A74B9A8" w14:textId="77777777" w:rsidR="00F15C37" w:rsidRPr="00F15C37" w:rsidRDefault="00F15C37" w:rsidP="00F15C37">
      <w:pPr>
        <w:jc w:val="both"/>
        <w:rPr>
          <w:rFonts w:ascii="Tahoma" w:hAnsi="Tahoma" w:cs="Tahoma"/>
          <w:color w:val="000000"/>
          <w:sz w:val="22"/>
          <w:szCs w:val="22"/>
        </w:rPr>
      </w:pPr>
    </w:p>
    <w:p w14:paraId="6B036082" w14:textId="77777777" w:rsidR="00F15C37" w:rsidRPr="00F15C37" w:rsidRDefault="00F15C37" w:rsidP="00F15C37">
      <w:pPr>
        <w:jc w:val="both"/>
        <w:rPr>
          <w:rFonts w:ascii="Tahoma" w:hAnsi="Tahoma" w:cs="Tahoma"/>
          <w:color w:val="000000"/>
          <w:sz w:val="22"/>
          <w:szCs w:val="22"/>
        </w:rPr>
      </w:pPr>
      <w:r w:rsidRPr="00F15C37">
        <w:rPr>
          <w:rFonts w:ascii="Tahoma" w:hAnsi="Tahoma" w:cs="Tahoma"/>
          <w:b/>
          <w:bCs/>
          <w:color w:val="000000"/>
          <w:sz w:val="22"/>
          <w:szCs w:val="22"/>
        </w:rPr>
        <w:t>Risco de Liquidez:</w:t>
      </w:r>
      <w:r w:rsidRPr="00F15C37">
        <w:rPr>
          <w:rFonts w:ascii="Tahoma" w:hAnsi="Tahoma" w:cs="Tahoma"/>
          <w:color w:val="000000"/>
          <w:sz w:val="22"/>
          <w:szCs w:val="22"/>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7B9A4C71" w14:textId="77777777" w:rsidR="00F15C37" w:rsidRPr="00F15C37" w:rsidRDefault="00F15C37" w:rsidP="00F15C37">
      <w:pPr>
        <w:jc w:val="both"/>
        <w:rPr>
          <w:rFonts w:ascii="Tahoma" w:hAnsi="Tahoma" w:cs="Tahoma"/>
          <w:color w:val="000000"/>
          <w:sz w:val="22"/>
          <w:szCs w:val="22"/>
        </w:rPr>
      </w:pPr>
    </w:p>
    <w:p w14:paraId="69737692" w14:textId="77777777" w:rsidR="00F15C37" w:rsidRPr="00F15C37" w:rsidRDefault="00F15C37" w:rsidP="00F15C37">
      <w:pPr>
        <w:jc w:val="both"/>
        <w:rPr>
          <w:rFonts w:ascii="Tahoma" w:hAnsi="Tahoma" w:cs="Tahoma"/>
          <w:color w:val="000000"/>
          <w:sz w:val="22"/>
          <w:szCs w:val="22"/>
        </w:rPr>
      </w:pPr>
      <w:r w:rsidRPr="00F15C37">
        <w:rPr>
          <w:rFonts w:ascii="Tahoma" w:hAnsi="Tahoma" w:cs="Tahoma"/>
          <w:b/>
          <w:bCs/>
          <w:color w:val="000000"/>
          <w:sz w:val="22"/>
          <w:szCs w:val="22"/>
        </w:rPr>
        <w:t>Risco de Concentração:</w:t>
      </w:r>
      <w:r w:rsidRPr="00F15C37">
        <w:rPr>
          <w:rFonts w:ascii="Tahoma" w:hAnsi="Tahoma" w:cs="Tahoma"/>
          <w:color w:val="000000"/>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0D98B20F" w14:textId="77777777" w:rsidR="00F15C37" w:rsidRPr="00F15C37" w:rsidRDefault="00F15C37" w:rsidP="00F15C37">
      <w:pPr>
        <w:jc w:val="both"/>
        <w:rPr>
          <w:rFonts w:ascii="Tahoma" w:hAnsi="Tahoma" w:cs="Tahoma"/>
          <w:color w:val="000000"/>
          <w:sz w:val="22"/>
          <w:szCs w:val="22"/>
        </w:rPr>
      </w:pPr>
    </w:p>
    <w:p w14:paraId="35F395F5" w14:textId="77777777" w:rsidR="00F15C37" w:rsidRPr="00F15C37" w:rsidRDefault="00F15C37" w:rsidP="00F15C37">
      <w:pPr>
        <w:jc w:val="both"/>
        <w:rPr>
          <w:rFonts w:ascii="Tahoma" w:hAnsi="Tahoma" w:cs="Tahoma"/>
          <w:b/>
          <w:bCs/>
          <w:color w:val="000000"/>
          <w:sz w:val="22"/>
          <w:szCs w:val="22"/>
        </w:rPr>
      </w:pPr>
      <w:r w:rsidRPr="00F15C37">
        <w:rPr>
          <w:rFonts w:ascii="Tahoma" w:hAnsi="Tahoma" w:cs="Tahoma"/>
          <w:b/>
          <w:bCs/>
          <w:color w:val="000000"/>
          <w:sz w:val="22"/>
          <w:szCs w:val="22"/>
        </w:rPr>
        <w:t>Risco de Perdas Patrimoniais</w:t>
      </w:r>
      <w:r w:rsidRPr="00F15C37">
        <w:rPr>
          <w:rFonts w:ascii="Tahoma" w:hAnsi="Tahoma" w:cs="Tahoma"/>
          <w:color w:val="000000"/>
          <w:sz w:val="22"/>
          <w:szCs w:val="22"/>
        </w:rPr>
        <w:t>: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5CCCADCC" w14:textId="77777777" w:rsidR="00F15C37" w:rsidRPr="00F15C37" w:rsidRDefault="00F15C37" w:rsidP="00F15C37">
      <w:pPr>
        <w:jc w:val="both"/>
        <w:rPr>
          <w:rFonts w:ascii="Tahoma" w:hAnsi="Tahoma" w:cs="Tahoma"/>
          <w:color w:val="000000"/>
          <w:sz w:val="22"/>
          <w:szCs w:val="22"/>
        </w:rPr>
      </w:pPr>
    </w:p>
    <w:p w14:paraId="33344420" w14:textId="77777777" w:rsidR="00F15C37" w:rsidRPr="00F15C37" w:rsidRDefault="00F15C37" w:rsidP="00F15C37">
      <w:pPr>
        <w:jc w:val="both"/>
        <w:rPr>
          <w:rFonts w:ascii="Tahoma" w:hAnsi="Tahoma" w:cs="Tahoma"/>
          <w:b/>
          <w:bCs/>
          <w:color w:val="000000"/>
          <w:sz w:val="22"/>
          <w:szCs w:val="22"/>
        </w:rPr>
      </w:pPr>
      <w:r w:rsidRPr="00F15C37">
        <w:rPr>
          <w:rFonts w:ascii="Tahoma" w:hAnsi="Tahoma" w:cs="Tahoma"/>
          <w:b/>
          <w:bCs/>
          <w:color w:val="000000"/>
          <w:sz w:val="22"/>
          <w:szCs w:val="22"/>
        </w:rPr>
        <w:t>Risco de Mercado Externo</w:t>
      </w:r>
      <w:r w:rsidRPr="00F15C37">
        <w:rPr>
          <w:rFonts w:ascii="Tahoma" w:hAnsi="Tahoma" w:cs="Tahoma"/>
          <w:color w:val="000000"/>
          <w:sz w:val="22"/>
          <w:szCs w:val="22"/>
        </w:rPr>
        <w:t>: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7726515E" w14:textId="77777777" w:rsidR="00F15C37" w:rsidRPr="00F15C37" w:rsidRDefault="00F15C37" w:rsidP="00F15C37">
      <w:pPr>
        <w:jc w:val="both"/>
        <w:rPr>
          <w:rFonts w:ascii="Tahoma" w:hAnsi="Tahoma" w:cs="Tahoma"/>
          <w:color w:val="000000"/>
          <w:sz w:val="22"/>
          <w:szCs w:val="22"/>
        </w:rPr>
      </w:pPr>
    </w:p>
    <w:p w14:paraId="140C89DF" w14:textId="77777777" w:rsidR="00F15C37" w:rsidRPr="00F15C37" w:rsidRDefault="00F15C37" w:rsidP="00F15C37">
      <w:pPr>
        <w:jc w:val="both"/>
        <w:rPr>
          <w:rFonts w:ascii="Tahoma" w:hAnsi="Tahoma" w:cs="Tahoma"/>
          <w:b/>
          <w:bCs/>
          <w:color w:val="000000"/>
          <w:sz w:val="22"/>
          <w:szCs w:val="22"/>
        </w:rPr>
      </w:pPr>
      <w:r w:rsidRPr="00F15C37">
        <w:rPr>
          <w:rFonts w:ascii="Tahoma" w:hAnsi="Tahoma" w:cs="Tahoma"/>
          <w:b/>
          <w:bCs/>
          <w:color w:val="000000"/>
          <w:sz w:val="22"/>
          <w:szCs w:val="22"/>
        </w:rPr>
        <w:t>Risco Decorrente da Precificação dos Ativos</w:t>
      </w:r>
      <w:r w:rsidRPr="00F15C37">
        <w:rPr>
          <w:rFonts w:ascii="Tahoma" w:hAnsi="Tahoma" w:cs="Tahoma"/>
          <w:color w:val="000000"/>
          <w:sz w:val="22"/>
          <w:szCs w:val="22"/>
        </w:rPr>
        <w:t xml:space="preserve"> </w:t>
      </w:r>
      <w:r w:rsidRPr="00F15C37">
        <w:rPr>
          <w:rFonts w:ascii="Tahoma" w:hAnsi="Tahoma" w:cs="Tahoma"/>
          <w:b/>
          <w:bCs/>
          <w:color w:val="000000"/>
          <w:sz w:val="22"/>
          <w:szCs w:val="22"/>
        </w:rPr>
        <w:t>Financeiros:</w:t>
      </w:r>
      <w:r w:rsidRPr="00F15C37">
        <w:rPr>
          <w:rFonts w:ascii="Tahoma" w:hAnsi="Tahoma" w:cs="Tahoma"/>
          <w:color w:val="000000"/>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4011FA44" w14:textId="77777777" w:rsidR="00F15C37" w:rsidRPr="00F15C37" w:rsidRDefault="00F15C37" w:rsidP="00F15C37">
      <w:pPr>
        <w:jc w:val="both"/>
        <w:rPr>
          <w:rFonts w:ascii="Tahoma" w:hAnsi="Tahoma" w:cs="Tahoma"/>
          <w:color w:val="000000"/>
          <w:sz w:val="22"/>
          <w:szCs w:val="22"/>
        </w:rPr>
      </w:pPr>
    </w:p>
    <w:p w14:paraId="0CBADCC5" w14:textId="77777777" w:rsidR="00F15C37" w:rsidRPr="00F15C37" w:rsidRDefault="00F15C37" w:rsidP="00F15C37">
      <w:pPr>
        <w:jc w:val="both"/>
        <w:rPr>
          <w:rFonts w:ascii="Tahoma" w:hAnsi="Tahoma" w:cs="Tahoma"/>
          <w:b/>
          <w:bCs/>
          <w:color w:val="000000"/>
          <w:sz w:val="22"/>
          <w:szCs w:val="22"/>
        </w:rPr>
      </w:pPr>
      <w:r w:rsidRPr="00F15C37">
        <w:rPr>
          <w:rFonts w:ascii="Tahoma" w:hAnsi="Tahoma" w:cs="Tahoma"/>
          <w:b/>
          <w:bCs/>
          <w:color w:val="000000"/>
          <w:sz w:val="22"/>
          <w:szCs w:val="22"/>
        </w:rPr>
        <w:t>Risco de Crédito:</w:t>
      </w:r>
      <w:r w:rsidRPr="00F15C37">
        <w:rPr>
          <w:rFonts w:ascii="Tahoma" w:hAnsi="Tahoma" w:cs="Tahoma"/>
          <w:color w:val="000000"/>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7B431C7" w14:textId="77777777" w:rsidR="00F15C37" w:rsidRPr="00F15C37" w:rsidRDefault="00F15C37" w:rsidP="00F15C37">
      <w:pPr>
        <w:jc w:val="both"/>
        <w:rPr>
          <w:rFonts w:ascii="Tahoma" w:hAnsi="Tahoma" w:cs="Tahoma"/>
          <w:color w:val="000000"/>
          <w:sz w:val="22"/>
          <w:szCs w:val="22"/>
        </w:rPr>
      </w:pPr>
    </w:p>
    <w:p w14:paraId="56E692AE" w14:textId="77777777" w:rsidR="00F15C37" w:rsidRPr="00F15C37" w:rsidRDefault="00F15C37" w:rsidP="00F15C37">
      <w:pPr>
        <w:jc w:val="both"/>
        <w:rPr>
          <w:rFonts w:ascii="Tahoma" w:hAnsi="Tahoma" w:cs="Tahoma"/>
          <w:b/>
          <w:bCs/>
          <w:color w:val="000000"/>
          <w:sz w:val="22"/>
          <w:szCs w:val="22"/>
        </w:rPr>
      </w:pPr>
      <w:r w:rsidRPr="00F15C37">
        <w:rPr>
          <w:rFonts w:ascii="Tahoma" w:hAnsi="Tahoma" w:cs="Tahoma"/>
          <w:b/>
          <w:bCs/>
          <w:color w:val="000000"/>
          <w:sz w:val="22"/>
          <w:szCs w:val="22"/>
        </w:rPr>
        <w:t>Risco de Concentração em Créditos Privados</w:t>
      </w:r>
      <w:r w:rsidRPr="00F15C37">
        <w:rPr>
          <w:rFonts w:ascii="Tahoma" w:hAnsi="Tahoma" w:cs="Tahoma"/>
          <w:color w:val="000000"/>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669612EC" w14:textId="77777777" w:rsidR="00F15C37" w:rsidRPr="00F15C37" w:rsidRDefault="00F15C37" w:rsidP="00F15C37">
      <w:pPr>
        <w:jc w:val="both"/>
        <w:rPr>
          <w:rFonts w:ascii="Tahoma" w:hAnsi="Tahoma" w:cs="Tahoma"/>
          <w:color w:val="000000"/>
          <w:sz w:val="22"/>
          <w:szCs w:val="22"/>
        </w:rPr>
      </w:pPr>
    </w:p>
    <w:p w14:paraId="2660CF4A" w14:textId="77777777" w:rsidR="00F15C37" w:rsidRPr="00F15C37" w:rsidRDefault="00F15C37" w:rsidP="00F15C37">
      <w:pPr>
        <w:jc w:val="both"/>
        <w:rPr>
          <w:rFonts w:ascii="Tahoma" w:hAnsi="Tahoma" w:cs="Tahoma"/>
          <w:b/>
          <w:bCs/>
          <w:color w:val="000000"/>
          <w:sz w:val="22"/>
          <w:szCs w:val="22"/>
        </w:rPr>
      </w:pPr>
      <w:r w:rsidRPr="00F15C37">
        <w:rPr>
          <w:rFonts w:ascii="Tahoma" w:hAnsi="Tahoma" w:cs="Tahoma"/>
          <w:b/>
          <w:bCs/>
          <w:color w:val="000000"/>
          <w:sz w:val="22"/>
          <w:szCs w:val="22"/>
        </w:rPr>
        <w:t>Risco Regulatório:</w:t>
      </w:r>
      <w:r w:rsidRPr="00F15C37">
        <w:rPr>
          <w:rFonts w:ascii="Tahoma" w:hAnsi="Tahoma" w:cs="Tahoma"/>
          <w:color w:val="000000"/>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6AFCFE68" w14:textId="77777777" w:rsidR="00F15C37" w:rsidRPr="00F15C37" w:rsidRDefault="00F15C37" w:rsidP="00F15C37">
      <w:pPr>
        <w:jc w:val="both"/>
        <w:rPr>
          <w:rFonts w:ascii="Tahoma" w:hAnsi="Tahoma" w:cs="Tahoma"/>
          <w:color w:val="000000"/>
          <w:sz w:val="22"/>
          <w:szCs w:val="22"/>
        </w:rPr>
      </w:pPr>
    </w:p>
    <w:p w14:paraId="06B8C24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w:t>
      </w:r>
      <w:r w:rsidRPr="00F15C37">
        <w:rPr>
          <w:rFonts w:ascii="Tahoma" w:hAnsi="Tahoma" w:cs="Tahoma"/>
          <w:sz w:val="22"/>
          <w:szCs w:val="22"/>
        </w:rPr>
        <w:lastRenderedPageBreak/>
        <w:t>características aplicáveis aos ativos financeiros integrantes da CARTEIRA ou mesmo resgates excessivos no FUNDO, poderá ocorrer redução no valor das cotas ou mesmo perda do capital investido pelos Cotistas.</w:t>
      </w:r>
    </w:p>
    <w:p w14:paraId="79023093" w14:textId="77777777" w:rsidR="00F15C37" w:rsidRPr="00F15C37" w:rsidRDefault="00F15C37" w:rsidP="00F15C37">
      <w:pPr>
        <w:jc w:val="both"/>
        <w:rPr>
          <w:rFonts w:ascii="Tahoma" w:hAnsi="Tahoma" w:cs="Tahoma"/>
          <w:sz w:val="22"/>
          <w:szCs w:val="22"/>
        </w:rPr>
      </w:pPr>
    </w:p>
    <w:p w14:paraId="640E713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191AF220" w14:textId="77777777" w:rsidR="00F15C37" w:rsidRPr="00F15C37" w:rsidRDefault="00F15C37" w:rsidP="00F15C37">
      <w:pPr>
        <w:jc w:val="both"/>
        <w:rPr>
          <w:rFonts w:ascii="Tahoma" w:hAnsi="Tahoma" w:cs="Tahoma"/>
          <w:sz w:val="22"/>
          <w:szCs w:val="22"/>
        </w:rPr>
      </w:pPr>
    </w:p>
    <w:p w14:paraId="39C77B9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34DDDC2D" w14:textId="77777777" w:rsidR="00F15C37" w:rsidRPr="00F15C37" w:rsidRDefault="00F15C37" w:rsidP="00F15C37">
      <w:pPr>
        <w:jc w:val="both"/>
        <w:rPr>
          <w:rFonts w:ascii="Tahoma" w:hAnsi="Tahoma" w:cs="Tahoma"/>
          <w:sz w:val="22"/>
          <w:szCs w:val="22"/>
        </w:rPr>
      </w:pPr>
    </w:p>
    <w:p w14:paraId="3E546F48"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QUINTA – DA ADMINISTRAÇÃO E DOS PRESTADORES DE SERVIÇOS</w:t>
      </w:r>
    </w:p>
    <w:p w14:paraId="483DFB31" w14:textId="77777777" w:rsidR="00F15C37" w:rsidRPr="00F15C37" w:rsidRDefault="00F15C37" w:rsidP="00F15C37">
      <w:pPr>
        <w:jc w:val="both"/>
        <w:rPr>
          <w:rFonts w:ascii="Tahoma" w:hAnsi="Tahoma" w:cs="Tahoma"/>
          <w:sz w:val="22"/>
          <w:szCs w:val="22"/>
        </w:rPr>
      </w:pPr>
    </w:p>
    <w:p w14:paraId="0CDA5F12"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5.1. O FUNDO é administrado e gerido pela </w:t>
      </w:r>
      <w:bookmarkStart w:id="4" w:name="_Hlk128558406"/>
      <w:r w:rsidRPr="00F15C37">
        <w:rPr>
          <w:rFonts w:ascii="Tahoma" w:hAnsi="Tahoma" w:cs="Tahoma"/>
          <w:b/>
          <w:bCs/>
          <w:sz w:val="22"/>
          <w:szCs w:val="22"/>
        </w:rPr>
        <w:t>SANTANDER DISTRIBUIDORA DE TÍTULOS E VALORES MOBILIÁRIOS S.A</w:t>
      </w:r>
      <w:bookmarkEnd w:id="4"/>
      <w:r w:rsidRPr="00F15C37">
        <w:rPr>
          <w:rFonts w:ascii="Tahoma" w:hAnsi="Tahoma" w:cs="Tahoma"/>
          <w:b/>
          <w:bCs/>
          <w:sz w:val="22"/>
          <w:szCs w:val="22"/>
        </w:rPr>
        <w:t>.</w:t>
      </w:r>
      <w:r w:rsidRPr="00F15C37">
        <w:rPr>
          <w:rFonts w:ascii="Tahoma" w:hAnsi="Tahoma" w:cs="Tahoma"/>
          <w:sz w:val="22"/>
          <w:szCs w:val="22"/>
        </w:rPr>
        <w:t xml:space="preserve">, com sede na Rua João </w:t>
      </w:r>
      <w:proofErr w:type="spellStart"/>
      <w:r w:rsidRPr="00F15C37">
        <w:rPr>
          <w:rFonts w:ascii="Tahoma" w:hAnsi="Tahoma" w:cs="Tahoma"/>
          <w:sz w:val="22"/>
          <w:szCs w:val="22"/>
        </w:rPr>
        <w:t>Brícola</w:t>
      </w:r>
      <w:proofErr w:type="spellEnd"/>
      <w:r w:rsidRPr="00F15C37">
        <w:rPr>
          <w:rFonts w:ascii="Tahoma" w:hAnsi="Tahoma" w:cs="Tahoma"/>
          <w:sz w:val="22"/>
          <w:szCs w:val="22"/>
        </w:rPr>
        <w:t>, 24 – 16º e 17º andares – Centro Histórico, São Paulo/SP, inscrita no CNPJ sob nº 03.502.968/0001-04 e credenciada na CVM para a administração de carteiras conforme Ato Declaratório CVM nº 20006, de 28/07/2022 (“ADMINISTRADOR” e “GESTOR”).</w:t>
      </w:r>
    </w:p>
    <w:p w14:paraId="307DE7F8" w14:textId="77777777" w:rsidR="00F15C37" w:rsidRPr="00F15C37" w:rsidRDefault="00F15C37" w:rsidP="00F15C37">
      <w:pPr>
        <w:jc w:val="both"/>
        <w:rPr>
          <w:rFonts w:ascii="Tahoma" w:hAnsi="Tahoma" w:cs="Tahoma"/>
          <w:sz w:val="22"/>
          <w:szCs w:val="22"/>
        </w:rPr>
      </w:pPr>
    </w:p>
    <w:p w14:paraId="6938D1EF"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5.2. Os serviços de custódia, tesouraria, controladoria e processamento dos ativos financeiros</w:t>
      </w:r>
      <w:r w:rsidRPr="00F15C37" w:rsidDel="00FA248C">
        <w:rPr>
          <w:rFonts w:ascii="Tahoma" w:hAnsi="Tahoma" w:cs="Tahoma"/>
          <w:sz w:val="22"/>
          <w:szCs w:val="22"/>
        </w:rPr>
        <w:t xml:space="preserve"> </w:t>
      </w:r>
      <w:r w:rsidRPr="00F15C37">
        <w:rPr>
          <w:rFonts w:ascii="Tahoma" w:hAnsi="Tahoma" w:cs="Tahoma"/>
          <w:sz w:val="22"/>
          <w:szCs w:val="22"/>
        </w:rPr>
        <w:t xml:space="preserve">integrantes da carteira do FUNDO serão realizados pela </w:t>
      </w:r>
      <w:r w:rsidRPr="00F15C37">
        <w:rPr>
          <w:rFonts w:ascii="Tahoma" w:hAnsi="Tahoma" w:cs="Tahoma"/>
          <w:b/>
          <w:sz w:val="22"/>
          <w:szCs w:val="22"/>
        </w:rPr>
        <w:t>S3 CACEIS BRASIL DISTRIBUIDORA DE TÍTULOS E VALORES MOBILIÁRIOS S.A.</w:t>
      </w:r>
      <w:r w:rsidRPr="00F15C37">
        <w:rPr>
          <w:rFonts w:ascii="Tahoma" w:hAnsi="Tahoma" w:cs="Tahoma"/>
          <w:sz w:val="22"/>
          <w:szCs w:val="22"/>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43DAAA8C" w14:textId="77777777" w:rsidR="00F15C37" w:rsidRPr="00F15C37" w:rsidRDefault="00F15C37" w:rsidP="00F15C37">
      <w:pPr>
        <w:jc w:val="both"/>
        <w:rPr>
          <w:rFonts w:ascii="Tahoma" w:hAnsi="Tahoma" w:cs="Tahoma"/>
          <w:sz w:val="22"/>
          <w:szCs w:val="22"/>
        </w:rPr>
      </w:pPr>
    </w:p>
    <w:p w14:paraId="36CD85D7"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5.3. </w:t>
      </w:r>
      <w:bookmarkStart w:id="5" w:name="_Hlk114240487"/>
      <w:r w:rsidRPr="00F15C37">
        <w:rPr>
          <w:rFonts w:ascii="Tahoma" w:hAnsi="Tahoma" w:cs="Tahoma"/>
          <w:sz w:val="22"/>
          <w:szCs w:val="22"/>
        </w:rPr>
        <w:t>As informações sobre os prestadores de serviços de distribuição das cotas do FUNDO e de controladoria e processamento do passivo do FUNDO (escrituração de cotas) ficarão disponíveis para consulta, no site da CVM.</w:t>
      </w:r>
      <w:bookmarkEnd w:id="5"/>
    </w:p>
    <w:p w14:paraId="05945FCD" w14:textId="77777777" w:rsidR="00F15C37" w:rsidRPr="00F15C37" w:rsidRDefault="00F15C37" w:rsidP="00F15C37">
      <w:pPr>
        <w:jc w:val="both"/>
        <w:rPr>
          <w:rFonts w:ascii="Tahoma" w:hAnsi="Tahoma" w:cs="Tahoma"/>
          <w:sz w:val="22"/>
          <w:szCs w:val="22"/>
        </w:rPr>
      </w:pPr>
    </w:p>
    <w:p w14:paraId="282BF505"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5.4. O ADMINISTRADOR poderá contratar terceiros, em nome do FUNDO, para prestação de demais serviços. </w:t>
      </w:r>
    </w:p>
    <w:p w14:paraId="39638779" w14:textId="77777777" w:rsidR="00F15C37" w:rsidRPr="00F15C37" w:rsidRDefault="00F15C37" w:rsidP="00F15C37">
      <w:pPr>
        <w:jc w:val="both"/>
        <w:rPr>
          <w:rFonts w:ascii="Tahoma" w:hAnsi="Tahoma" w:cs="Tahoma"/>
          <w:sz w:val="22"/>
          <w:szCs w:val="22"/>
        </w:rPr>
      </w:pPr>
    </w:p>
    <w:p w14:paraId="3A5111D0"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SEXTA – DA REMUNERAÇÃO E DEMAIS ENCARGOS</w:t>
      </w:r>
    </w:p>
    <w:p w14:paraId="53251EC5" w14:textId="77777777" w:rsidR="00F15C37" w:rsidRPr="00F15C37" w:rsidRDefault="00F15C37" w:rsidP="00F15C37">
      <w:pPr>
        <w:jc w:val="both"/>
        <w:rPr>
          <w:rFonts w:ascii="Tahoma" w:hAnsi="Tahoma" w:cs="Tahoma"/>
          <w:sz w:val="22"/>
          <w:szCs w:val="22"/>
        </w:rPr>
      </w:pPr>
    </w:p>
    <w:p w14:paraId="521A4CF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607CB64" w14:textId="77777777" w:rsidR="00F15C37" w:rsidRPr="00F15C37" w:rsidRDefault="00F15C37" w:rsidP="00F15C37">
      <w:pPr>
        <w:jc w:val="both"/>
        <w:rPr>
          <w:rFonts w:ascii="Tahoma" w:hAnsi="Tahoma" w:cs="Tahoma"/>
          <w:sz w:val="22"/>
          <w:szCs w:val="22"/>
        </w:rPr>
      </w:pPr>
    </w:p>
    <w:p w14:paraId="04129A7E" w14:textId="77777777" w:rsidR="00F15C37" w:rsidRPr="00F15C37" w:rsidRDefault="00F15C37" w:rsidP="00F15C37">
      <w:pPr>
        <w:jc w:val="both"/>
        <w:rPr>
          <w:rFonts w:ascii="Tahoma" w:hAnsi="Tahoma" w:cs="Tahoma"/>
          <w:sz w:val="22"/>
          <w:szCs w:val="22"/>
        </w:rPr>
      </w:pPr>
      <w:r w:rsidRPr="00F15C37">
        <w:rPr>
          <w:rFonts w:ascii="Tahoma" w:hAnsi="Tahoma" w:cs="Tahoma"/>
          <w:b/>
          <w:sz w:val="22"/>
          <w:szCs w:val="22"/>
        </w:rPr>
        <w:t>Taxa de Administração Mínima</w:t>
      </w:r>
      <w:r w:rsidRPr="00F15C37">
        <w:rPr>
          <w:rFonts w:ascii="Tahoma" w:hAnsi="Tahoma" w:cs="Tahoma"/>
          <w:sz w:val="22"/>
          <w:szCs w:val="22"/>
        </w:rPr>
        <w:t xml:space="preserve">: 1,00% ao ano sobre o valor do patrimônio líquido do FUNDO. </w:t>
      </w:r>
    </w:p>
    <w:p w14:paraId="58BD7B1C" w14:textId="77777777" w:rsidR="00F15C37" w:rsidRPr="00F15C37" w:rsidRDefault="00F15C37" w:rsidP="00F15C37">
      <w:pPr>
        <w:jc w:val="both"/>
        <w:rPr>
          <w:rFonts w:ascii="Tahoma" w:hAnsi="Tahoma" w:cs="Tahoma"/>
          <w:sz w:val="22"/>
          <w:szCs w:val="22"/>
        </w:rPr>
      </w:pPr>
    </w:p>
    <w:p w14:paraId="7828C8DF" w14:textId="77777777" w:rsidR="00F15C37" w:rsidRPr="00F15C37" w:rsidRDefault="00F15C37" w:rsidP="00F15C37">
      <w:pPr>
        <w:jc w:val="both"/>
        <w:rPr>
          <w:rFonts w:ascii="Tahoma" w:hAnsi="Tahoma" w:cs="Tahoma"/>
          <w:sz w:val="22"/>
          <w:szCs w:val="22"/>
        </w:rPr>
      </w:pPr>
      <w:r w:rsidRPr="00F15C37">
        <w:rPr>
          <w:rFonts w:ascii="Tahoma" w:hAnsi="Tahoma" w:cs="Tahoma"/>
          <w:b/>
          <w:sz w:val="22"/>
          <w:szCs w:val="22"/>
        </w:rPr>
        <w:t>Taxa de Administração Máxima</w:t>
      </w:r>
      <w:r w:rsidRPr="00F15C37">
        <w:rPr>
          <w:rFonts w:ascii="Tahoma" w:hAnsi="Tahoma" w:cs="Tahoma"/>
          <w:sz w:val="22"/>
          <w:szCs w:val="22"/>
        </w:rPr>
        <w:t>:</w:t>
      </w:r>
      <w:r w:rsidRPr="00F15C37" w:rsidDel="00B03ECA">
        <w:rPr>
          <w:rFonts w:ascii="Tahoma" w:hAnsi="Tahoma" w:cs="Tahoma"/>
          <w:sz w:val="22"/>
          <w:szCs w:val="22"/>
        </w:rPr>
        <w:t xml:space="preserve"> </w:t>
      </w:r>
      <w:r w:rsidRPr="00F15C37">
        <w:rPr>
          <w:rFonts w:ascii="Tahoma" w:hAnsi="Tahoma" w:cs="Tahoma"/>
          <w:sz w:val="22"/>
          <w:szCs w:val="22"/>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4FAEFBD6" w14:textId="77777777" w:rsidR="00F15C37" w:rsidRPr="00F15C37" w:rsidRDefault="00F15C37" w:rsidP="00F15C37">
      <w:pPr>
        <w:jc w:val="both"/>
        <w:rPr>
          <w:rFonts w:ascii="Tahoma" w:hAnsi="Tahoma" w:cs="Tahoma"/>
          <w:sz w:val="22"/>
          <w:szCs w:val="22"/>
        </w:rPr>
      </w:pPr>
    </w:p>
    <w:p w14:paraId="07001F15"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2AB5100B" w14:textId="77777777" w:rsidR="00F15C37" w:rsidRPr="00F15C37" w:rsidRDefault="00F15C37" w:rsidP="00F15C37">
      <w:pPr>
        <w:jc w:val="both"/>
        <w:rPr>
          <w:rFonts w:ascii="Tahoma" w:hAnsi="Tahoma" w:cs="Tahoma"/>
          <w:sz w:val="22"/>
          <w:szCs w:val="22"/>
        </w:rPr>
      </w:pPr>
    </w:p>
    <w:p w14:paraId="7F353E4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6.1.2. O FUNDO poderá também aplicar seus recursos em fundos de investimento que cobrem taxa de performance, ingresso e saída.</w:t>
      </w:r>
    </w:p>
    <w:p w14:paraId="38A3F4AD" w14:textId="77777777" w:rsidR="00F15C37" w:rsidRPr="00F15C37" w:rsidRDefault="00F15C37" w:rsidP="00F15C37">
      <w:pPr>
        <w:jc w:val="both"/>
        <w:rPr>
          <w:rFonts w:ascii="Tahoma" w:hAnsi="Tahoma" w:cs="Tahoma"/>
          <w:sz w:val="22"/>
          <w:szCs w:val="22"/>
        </w:rPr>
      </w:pPr>
    </w:p>
    <w:p w14:paraId="04EE6F7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lastRenderedPageBreak/>
        <w:t>6.2. A taxa máxima de custódia paga pelo FUNDO ao CUSTODIANTE será de 0,015% ao ano sobre o patrimônio líquido do FUNDO.</w:t>
      </w:r>
    </w:p>
    <w:p w14:paraId="4A37AB55" w14:textId="77777777" w:rsidR="00F15C37" w:rsidRPr="00F15C37" w:rsidRDefault="00F15C37" w:rsidP="00F15C37">
      <w:pPr>
        <w:jc w:val="both"/>
        <w:rPr>
          <w:rFonts w:ascii="Tahoma" w:eastAsia="Tahoma" w:hAnsi="Tahoma" w:cs="Tahoma"/>
          <w:sz w:val="22"/>
          <w:szCs w:val="22"/>
        </w:rPr>
      </w:pPr>
    </w:p>
    <w:p w14:paraId="54B4BA10" w14:textId="77777777" w:rsidR="00F15C37" w:rsidRPr="00F15C37" w:rsidRDefault="00F15C37" w:rsidP="00F15C37">
      <w:pPr>
        <w:jc w:val="both"/>
        <w:rPr>
          <w:rFonts w:ascii="Tahoma" w:eastAsia="Tahoma" w:hAnsi="Tahoma" w:cs="Tahoma"/>
          <w:sz w:val="22"/>
          <w:szCs w:val="22"/>
        </w:rPr>
      </w:pPr>
      <w:r w:rsidRPr="00F15C37">
        <w:rPr>
          <w:rFonts w:ascii="Tahoma" w:eastAsia="Tahoma" w:hAnsi="Tahoma" w:cs="Tahoma"/>
          <w:sz w:val="22"/>
          <w:szCs w:val="22"/>
        </w:rPr>
        <w:t xml:space="preserve">6.3. Será cobrada do FUNDO uma Taxa de Performance correspondente a 10% aplicável sobre a valorização da Cota do FUNDO, que exceder 100% da variação diária do </w:t>
      </w:r>
      <w:r w:rsidRPr="00F15C37">
        <w:rPr>
          <w:rFonts w:ascii="Tahoma" w:eastAsia="Calibri" w:hAnsi="Tahoma" w:cs="Tahoma"/>
          <w:sz w:val="22"/>
          <w:szCs w:val="22"/>
        </w:rPr>
        <w:t xml:space="preserve">Ibovespa </w:t>
      </w:r>
      <w:r w:rsidRPr="00F15C37">
        <w:rPr>
          <w:rFonts w:ascii="Tahoma" w:eastAsia="Tahoma" w:hAnsi="Tahoma" w:cs="Tahoma"/>
          <w:sz w:val="22"/>
          <w:szCs w:val="22"/>
        </w:rPr>
        <w:t>(“Índice de Referência”), deduzidos todos os demais custos e despesas do Fundo, inclusive a Taxa de Administração.</w:t>
      </w:r>
    </w:p>
    <w:p w14:paraId="3452DE04" w14:textId="77777777" w:rsidR="00F15C37" w:rsidRPr="00F15C37" w:rsidRDefault="00F15C37" w:rsidP="00F15C37">
      <w:pPr>
        <w:jc w:val="both"/>
        <w:rPr>
          <w:rFonts w:ascii="Tahoma" w:eastAsia="Tahoma" w:hAnsi="Tahoma" w:cs="Tahoma"/>
          <w:sz w:val="22"/>
          <w:szCs w:val="22"/>
        </w:rPr>
      </w:pPr>
    </w:p>
    <w:p w14:paraId="6A1C1000" w14:textId="77777777" w:rsidR="00F15C37" w:rsidRPr="00F15C37" w:rsidRDefault="00F15C37" w:rsidP="00F15C37">
      <w:pPr>
        <w:jc w:val="both"/>
        <w:rPr>
          <w:rFonts w:ascii="Tahoma" w:eastAsia="Tahoma" w:hAnsi="Tahoma" w:cs="Tahoma"/>
          <w:sz w:val="22"/>
          <w:szCs w:val="22"/>
        </w:rPr>
      </w:pPr>
      <w:r w:rsidRPr="00F15C37">
        <w:rPr>
          <w:rFonts w:ascii="Tahoma" w:eastAsia="Tahoma" w:hAnsi="Tahoma" w:cs="Tahoma"/>
          <w:sz w:val="22"/>
          <w:szCs w:val="22"/>
        </w:rPr>
        <w:t>6.3.1. A Taxa de Performance será calculada individualmente sobre o resultado de cada aplicação realizada pelo Cotista (</w:t>
      </w:r>
      <w:r w:rsidRPr="00F15C37">
        <w:rPr>
          <w:rFonts w:ascii="Tahoma" w:eastAsia="Tahoma" w:hAnsi="Tahoma" w:cs="Tahoma"/>
          <w:b/>
          <w:sz w:val="22"/>
          <w:szCs w:val="22"/>
        </w:rPr>
        <w:t>método do passivo</w:t>
      </w:r>
      <w:r w:rsidRPr="00F15C37">
        <w:rPr>
          <w:rFonts w:ascii="Tahoma" w:eastAsia="Tahoma" w:hAnsi="Tahoma" w:cs="Tahoma"/>
          <w:sz w:val="22"/>
          <w:szCs w:val="22"/>
        </w:rPr>
        <w:t xml:space="preserve">), </w:t>
      </w:r>
      <w:r w:rsidRPr="00F15C37">
        <w:rPr>
          <w:rFonts w:ascii="Tahoma" w:hAnsi="Tahoma" w:cs="Tahoma"/>
          <w:sz w:val="22"/>
          <w:szCs w:val="22"/>
        </w:rPr>
        <w:t xml:space="preserve">acumulado na forma de capitalização composta em cada período de avaliação, </w:t>
      </w:r>
      <w:r w:rsidRPr="00F15C37">
        <w:rPr>
          <w:rFonts w:ascii="Tahoma" w:eastAsia="Tahoma" w:hAnsi="Tahoma" w:cs="Tahoma"/>
          <w:sz w:val="22"/>
          <w:szCs w:val="22"/>
        </w:rPr>
        <w:t xml:space="preserve">conforme segue: </w:t>
      </w:r>
    </w:p>
    <w:p w14:paraId="519EB3F4" w14:textId="77777777" w:rsidR="00F15C37" w:rsidRPr="00F15C37" w:rsidRDefault="00F15C37" w:rsidP="00F15C37">
      <w:pPr>
        <w:jc w:val="both"/>
        <w:rPr>
          <w:rFonts w:ascii="Tahoma" w:eastAsia="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F15C37" w:rsidRPr="00F15C37" w14:paraId="205678ED" w14:textId="77777777" w:rsidTr="00551EC5">
        <w:trPr>
          <w:trHeight w:val="333"/>
          <w:jc w:val="center"/>
        </w:trPr>
        <w:tc>
          <w:tcPr>
            <w:tcW w:w="9639" w:type="dxa"/>
            <w:tcBorders>
              <w:top w:val="single" w:sz="4" w:space="0" w:color="auto"/>
              <w:left w:val="single" w:sz="8" w:space="0" w:color="auto"/>
              <w:bottom w:val="single" w:sz="12" w:space="0" w:color="auto"/>
              <w:right w:val="single" w:sz="8" w:space="0" w:color="auto"/>
            </w:tcBorders>
            <w:shd w:val="clear" w:color="auto" w:fill="auto"/>
          </w:tcPr>
          <w:p w14:paraId="506A7D51" w14:textId="77777777" w:rsidR="00F15C37" w:rsidRPr="00F15C37" w:rsidRDefault="00F15C37" w:rsidP="00F15C37">
            <w:pPr>
              <w:keepNext/>
              <w:jc w:val="center"/>
              <w:rPr>
                <w:rFonts w:ascii="Tahoma" w:eastAsia="Tahoma" w:hAnsi="Tahoma" w:cs="Tahoma"/>
                <w:sz w:val="22"/>
                <w:szCs w:val="22"/>
              </w:rPr>
            </w:pPr>
            <w:r w:rsidRPr="00F15C37">
              <w:rPr>
                <w:rFonts w:ascii="Tahoma" w:eastAsia="Tahoma" w:hAnsi="Tahoma" w:cs="Tahoma"/>
                <w:color w:val="000000"/>
                <w:sz w:val="22"/>
                <w:szCs w:val="22"/>
              </w:rPr>
              <w:t>Taxa de Performance = 10% * (Valor da Cota de Apuração – Cota Índice)</w:t>
            </w:r>
          </w:p>
        </w:tc>
      </w:tr>
      <w:tr w:rsidR="00F15C37" w:rsidRPr="00F15C37" w14:paraId="1A239CF3" w14:textId="77777777" w:rsidTr="00551EC5">
        <w:trPr>
          <w:jc w:val="center"/>
        </w:trPr>
        <w:tc>
          <w:tcPr>
            <w:tcW w:w="9639" w:type="dxa"/>
            <w:tcBorders>
              <w:top w:val="single" w:sz="12" w:space="0" w:color="auto"/>
            </w:tcBorders>
            <w:shd w:val="clear" w:color="auto" w:fill="auto"/>
          </w:tcPr>
          <w:p w14:paraId="3069D02D" w14:textId="77777777" w:rsidR="00F15C37" w:rsidRPr="00F15C37" w:rsidRDefault="00F15C37" w:rsidP="00F15C37">
            <w:pPr>
              <w:keepNext/>
              <w:jc w:val="both"/>
              <w:rPr>
                <w:rFonts w:ascii="Tahoma" w:eastAsia="Tahoma" w:hAnsi="Tahoma" w:cs="Tahoma"/>
                <w:color w:val="000000"/>
                <w:sz w:val="22"/>
                <w:szCs w:val="22"/>
              </w:rPr>
            </w:pPr>
            <w:r w:rsidRPr="00F15C37">
              <w:rPr>
                <w:rFonts w:ascii="Tahoma" w:eastAsia="Tahoma" w:hAnsi="Tahoma" w:cs="Tahoma"/>
                <w:color w:val="000000"/>
                <w:sz w:val="22"/>
                <w:szCs w:val="22"/>
              </w:rPr>
              <w:t>Onde:</w:t>
            </w:r>
          </w:p>
          <w:p w14:paraId="66640B0A" w14:textId="77777777" w:rsidR="00F15C37" w:rsidRPr="00F15C37" w:rsidRDefault="00F15C37" w:rsidP="00F15C37">
            <w:pPr>
              <w:keepNext/>
              <w:jc w:val="both"/>
              <w:rPr>
                <w:rFonts w:ascii="Tahoma" w:eastAsia="Tahoma" w:hAnsi="Tahoma" w:cs="Tahoma"/>
                <w:sz w:val="22"/>
                <w:szCs w:val="22"/>
              </w:rPr>
            </w:pPr>
          </w:p>
          <w:p w14:paraId="27085D6B" w14:textId="77777777" w:rsidR="00F15C37" w:rsidRPr="00F15C37" w:rsidRDefault="00F15C37" w:rsidP="00F15C37">
            <w:pPr>
              <w:keepNext/>
              <w:jc w:val="both"/>
              <w:rPr>
                <w:rFonts w:ascii="Tahoma" w:eastAsia="Tahoma" w:hAnsi="Tahoma" w:cs="Tahoma"/>
                <w:sz w:val="22"/>
                <w:szCs w:val="22"/>
              </w:rPr>
            </w:pPr>
            <w:r w:rsidRPr="00F15C37">
              <w:rPr>
                <w:rFonts w:ascii="Tahoma" w:eastAsia="Tahoma" w:hAnsi="Tahoma" w:cs="Tahoma"/>
                <w:sz w:val="22"/>
                <w:szCs w:val="22"/>
              </w:rPr>
              <w:t>“Valor da Cota de Apuração” = Valor da Cota do FUNDO antes de descontada a provisão para o pagamento da Taxa de Performance</w:t>
            </w:r>
            <w:r w:rsidRPr="00F15C37" w:rsidDel="003B60F1">
              <w:rPr>
                <w:rFonts w:ascii="Tahoma" w:eastAsia="Tahoma" w:hAnsi="Tahoma" w:cs="Tahoma"/>
                <w:sz w:val="22"/>
                <w:szCs w:val="22"/>
              </w:rPr>
              <w:t xml:space="preserve"> </w:t>
            </w:r>
            <w:r w:rsidRPr="00F15C37">
              <w:rPr>
                <w:rFonts w:ascii="Tahoma" w:eastAsia="Tahoma" w:hAnsi="Tahoma" w:cs="Tahoma"/>
                <w:sz w:val="22"/>
                <w:szCs w:val="22"/>
              </w:rPr>
              <w:t>na Data de Apuração (conforme abaixo definido).</w:t>
            </w:r>
          </w:p>
          <w:p w14:paraId="06F4A319" w14:textId="77777777" w:rsidR="00F15C37" w:rsidRPr="00F15C37" w:rsidRDefault="00F15C37" w:rsidP="00F15C37">
            <w:pPr>
              <w:keepNext/>
              <w:jc w:val="both"/>
              <w:rPr>
                <w:rFonts w:ascii="Tahoma" w:eastAsia="Tahoma" w:hAnsi="Tahoma" w:cs="Tahoma"/>
                <w:sz w:val="22"/>
                <w:szCs w:val="22"/>
              </w:rPr>
            </w:pPr>
          </w:p>
          <w:p w14:paraId="7221A5A9" w14:textId="77777777" w:rsidR="00F15C37" w:rsidRPr="00F15C37" w:rsidRDefault="00F15C37" w:rsidP="00F15C37">
            <w:pPr>
              <w:keepNext/>
              <w:jc w:val="both"/>
              <w:rPr>
                <w:rFonts w:ascii="Tahoma" w:eastAsia="Tahoma" w:hAnsi="Tahoma" w:cs="Tahoma"/>
                <w:sz w:val="22"/>
                <w:szCs w:val="22"/>
              </w:rPr>
            </w:pPr>
            <w:r w:rsidRPr="00F15C37">
              <w:rPr>
                <w:rFonts w:ascii="Tahoma" w:eastAsia="Tahoma" w:hAnsi="Tahoma" w:cs="Tahoma"/>
                <w:sz w:val="22"/>
                <w:szCs w:val="22"/>
              </w:rPr>
              <w:t>“Cota Índice” = a Cota Base (conforme abaixo definido) atualizada pelo Índice de Referência desde a Data-Base (conforme abaixo definido) até a Data de Apuração (conforme abaixo definido).</w:t>
            </w:r>
          </w:p>
          <w:p w14:paraId="0FDD2B59" w14:textId="77777777" w:rsidR="00F15C37" w:rsidRPr="00F15C37" w:rsidRDefault="00F15C37" w:rsidP="00F15C37">
            <w:pPr>
              <w:keepNext/>
              <w:jc w:val="both"/>
              <w:rPr>
                <w:rFonts w:ascii="Tahoma" w:eastAsia="Tahoma" w:hAnsi="Tahoma" w:cs="Tahoma"/>
                <w:sz w:val="22"/>
                <w:szCs w:val="22"/>
              </w:rPr>
            </w:pPr>
          </w:p>
          <w:p w14:paraId="32D4BEFD" w14:textId="77777777" w:rsidR="00F15C37" w:rsidRPr="00F15C37" w:rsidRDefault="00F15C37" w:rsidP="00F15C37">
            <w:pPr>
              <w:keepNext/>
              <w:jc w:val="both"/>
              <w:rPr>
                <w:rFonts w:ascii="Tahoma" w:eastAsia="Tahoma" w:hAnsi="Tahoma" w:cs="Tahoma"/>
                <w:sz w:val="22"/>
                <w:szCs w:val="22"/>
              </w:rPr>
            </w:pPr>
            <w:r w:rsidRPr="00F15C37">
              <w:rPr>
                <w:rFonts w:ascii="Tahoma" w:eastAsia="Tahoma" w:hAnsi="Tahoma" w:cs="Tahoma"/>
                <w:sz w:val="22"/>
                <w:szCs w:val="22"/>
              </w:rPr>
              <w:t>“Cota Base” = o mais recente entre (i) o valor da Cota logo após a última cobrança de Taxa de Performance efetuada, ou (</w:t>
            </w:r>
            <w:proofErr w:type="spellStart"/>
            <w:r w:rsidRPr="00F15C37">
              <w:rPr>
                <w:rFonts w:ascii="Tahoma" w:eastAsia="Tahoma" w:hAnsi="Tahoma" w:cs="Tahoma"/>
                <w:sz w:val="22"/>
                <w:szCs w:val="22"/>
              </w:rPr>
              <w:t>ii</w:t>
            </w:r>
            <w:proofErr w:type="spellEnd"/>
            <w:r w:rsidRPr="00F15C37">
              <w:rPr>
                <w:rFonts w:ascii="Tahoma" w:eastAsia="Tahoma" w:hAnsi="Tahoma" w:cs="Tahoma"/>
                <w:sz w:val="22"/>
                <w:szCs w:val="22"/>
              </w:rPr>
              <w:t>) o valor da Cota na data de conversão da aplicação pelo respectivo Cotista.</w:t>
            </w:r>
          </w:p>
          <w:p w14:paraId="26AFB898" w14:textId="77777777" w:rsidR="00F15C37" w:rsidRPr="00F15C37" w:rsidRDefault="00F15C37" w:rsidP="00F15C37">
            <w:pPr>
              <w:keepNext/>
              <w:jc w:val="both"/>
              <w:rPr>
                <w:rFonts w:ascii="Tahoma" w:eastAsia="Tahoma" w:hAnsi="Tahoma" w:cs="Tahoma"/>
                <w:sz w:val="22"/>
                <w:szCs w:val="22"/>
              </w:rPr>
            </w:pPr>
          </w:p>
          <w:p w14:paraId="3E495A0A" w14:textId="77777777" w:rsidR="00F15C37" w:rsidRPr="00F15C37" w:rsidRDefault="00F15C37" w:rsidP="00F15C37">
            <w:pPr>
              <w:keepNext/>
              <w:jc w:val="both"/>
              <w:rPr>
                <w:rFonts w:ascii="Tahoma" w:eastAsia="Tahoma" w:hAnsi="Tahoma" w:cs="Tahoma"/>
                <w:sz w:val="22"/>
                <w:szCs w:val="22"/>
              </w:rPr>
            </w:pPr>
            <w:r w:rsidRPr="00F15C37">
              <w:rPr>
                <w:rFonts w:ascii="Tahoma" w:eastAsia="Tahoma" w:hAnsi="Tahoma" w:cs="Tahoma"/>
                <w:sz w:val="22"/>
                <w:szCs w:val="22"/>
              </w:rPr>
              <w:t>“Data-Base” = Data para início do período de apuração da Taxa de Performance, sendo que tal dia será o de apuração da Cota Base.</w:t>
            </w:r>
          </w:p>
          <w:p w14:paraId="1F0FFBAA" w14:textId="77777777" w:rsidR="00F15C37" w:rsidRPr="00F15C37" w:rsidRDefault="00F15C37" w:rsidP="00F15C37">
            <w:pPr>
              <w:keepNext/>
              <w:jc w:val="both"/>
              <w:rPr>
                <w:rFonts w:ascii="Tahoma" w:eastAsia="Tahoma" w:hAnsi="Tahoma" w:cs="Tahoma"/>
                <w:sz w:val="22"/>
                <w:szCs w:val="22"/>
              </w:rPr>
            </w:pPr>
          </w:p>
          <w:p w14:paraId="43366DEB" w14:textId="77777777" w:rsidR="00F15C37" w:rsidRPr="00F15C37" w:rsidRDefault="00F15C37" w:rsidP="00F15C37">
            <w:pPr>
              <w:keepNext/>
              <w:jc w:val="both"/>
              <w:rPr>
                <w:rFonts w:ascii="Tahoma" w:eastAsia="Tahoma" w:hAnsi="Tahoma" w:cs="Tahoma"/>
                <w:sz w:val="22"/>
                <w:szCs w:val="22"/>
              </w:rPr>
            </w:pPr>
          </w:p>
        </w:tc>
      </w:tr>
    </w:tbl>
    <w:p w14:paraId="6348E22E" w14:textId="77777777" w:rsidR="00F15C37" w:rsidRPr="00F15C37" w:rsidRDefault="00F15C37" w:rsidP="00F15C37">
      <w:pPr>
        <w:jc w:val="both"/>
        <w:rPr>
          <w:rFonts w:ascii="Tahoma" w:eastAsia="Tahoma" w:hAnsi="Tahoma" w:cs="Tahoma"/>
          <w:sz w:val="22"/>
          <w:szCs w:val="22"/>
        </w:rPr>
      </w:pPr>
    </w:p>
    <w:p w14:paraId="7E19D89F" w14:textId="77777777" w:rsidR="00F15C37" w:rsidRPr="00F15C37" w:rsidRDefault="00F15C37" w:rsidP="00F15C37">
      <w:pPr>
        <w:jc w:val="both"/>
        <w:rPr>
          <w:rFonts w:ascii="Tahoma" w:eastAsia="Tahoma" w:hAnsi="Tahoma" w:cs="Tahoma"/>
          <w:sz w:val="22"/>
          <w:szCs w:val="22"/>
        </w:rPr>
      </w:pPr>
      <w:r w:rsidRPr="00F15C37">
        <w:rPr>
          <w:rFonts w:ascii="Tahoma" w:eastAsia="Tahoma" w:hAnsi="Tahoma" w:cs="Tahoma"/>
          <w:sz w:val="22"/>
          <w:szCs w:val="22"/>
        </w:rPr>
        <w:t xml:space="preserve">6.3.2. </w:t>
      </w:r>
      <w:r w:rsidRPr="00F15C37">
        <w:rPr>
          <w:rFonts w:ascii="Tahoma" w:hAnsi="Tahoma" w:cs="Tahoma"/>
          <w:sz w:val="22"/>
          <w:szCs w:val="22"/>
        </w:rPr>
        <w:t xml:space="preserve">A Taxa de Performance prevista acima será provisionada diariamente, com base nos dias úteis do ano, para que seus efeitos reflitam no valor da apuração diária da cota do FUNDO e, consequentemente, nos resgates realizados ao longo dos períodos de apuração, sendo certo que </w:t>
      </w:r>
      <w:r w:rsidRPr="00F15C37">
        <w:rPr>
          <w:rFonts w:ascii="Tahoma" w:eastAsia="Tahoma" w:hAnsi="Tahoma" w:cs="Tahoma"/>
          <w:sz w:val="22"/>
          <w:szCs w:val="22"/>
        </w:rPr>
        <w:t>o número de Cotas de cada Cotista não será alterado.</w:t>
      </w:r>
    </w:p>
    <w:p w14:paraId="40984AC4" w14:textId="77777777" w:rsidR="00F15C37" w:rsidRPr="00F15C37" w:rsidRDefault="00F15C37" w:rsidP="00F15C37">
      <w:pPr>
        <w:jc w:val="both"/>
        <w:rPr>
          <w:rFonts w:ascii="Tahoma" w:eastAsia="Tahoma" w:hAnsi="Tahoma" w:cs="Tahoma"/>
          <w:sz w:val="22"/>
          <w:szCs w:val="22"/>
        </w:rPr>
      </w:pPr>
    </w:p>
    <w:p w14:paraId="2D79168C" w14:textId="77777777" w:rsidR="00F15C37" w:rsidRPr="00F15C37" w:rsidRDefault="00F15C37" w:rsidP="00F15C37">
      <w:pPr>
        <w:jc w:val="both"/>
        <w:rPr>
          <w:rFonts w:ascii="Tahoma" w:eastAsia="Tahoma" w:hAnsi="Tahoma" w:cs="Tahoma"/>
          <w:sz w:val="22"/>
          <w:szCs w:val="22"/>
        </w:rPr>
      </w:pPr>
      <w:r w:rsidRPr="00F15C37">
        <w:rPr>
          <w:rFonts w:ascii="Tahoma" w:eastAsia="Tahoma" w:hAnsi="Tahoma" w:cs="Tahoma"/>
          <w:sz w:val="22"/>
          <w:szCs w:val="22"/>
        </w:rPr>
        <w:t>6.3.3. A Taxa de Performance será paga ao GESTOR observados os seguintes procedimentos:</w:t>
      </w:r>
    </w:p>
    <w:p w14:paraId="1962CE6E" w14:textId="77777777" w:rsidR="00F15C37" w:rsidRPr="00F15C37" w:rsidRDefault="00F15C37" w:rsidP="00F15C37">
      <w:pPr>
        <w:jc w:val="both"/>
        <w:rPr>
          <w:rFonts w:ascii="Tahoma" w:eastAsia="Tahoma" w:hAnsi="Tahoma" w:cs="Tahoma"/>
          <w:sz w:val="22"/>
          <w:szCs w:val="22"/>
        </w:rPr>
      </w:pPr>
    </w:p>
    <w:p w14:paraId="7E961611" w14:textId="77777777" w:rsidR="00F15C37" w:rsidRPr="00F15C37" w:rsidRDefault="00F15C37" w:rsidP="00665FC6">
      <w:pPr>
        <w:numPr>
          <w:ilvl w:val="0"/>
          <w:numId w:val="3"/>
        </w:numPr>
        <w:jc w:val="both"/>
        <w:rPr>
          <w:rFonts w:ascii="Tahoma" w:eastAsia="Tahoma" w:hAnsi="Tahoma" w:cs="Tahoma"/>
          <w:sz w:val="22"/>
          <w:szCs w:val="22"/>
        </w:rPr>
      </w:pPr>
      <w:r w:rsidRPr="00F15C37">
        <w:rPr>
          <w:rFonts w:ascii="Tahoma" w:eastAsia="Tahoma" w:hAnsi="Tahoma" w:cs="Tahoma"/>
          <w:sz w:val="22"/>
          <w:szCs w:val="22"/>
        </w:rPr>
        <w:t>o período de apuração da Taxa de Performance será semestral, e ocorrerá ao final do semestre civil de cada ano, ressalvado o 1º período de apuração, que se iniciará na data do 1º aporte no FUNDO e terminará em dezembro do mesmo ano (“Data de Apuração”). e</w:t>
      </w:r>
    </w:p>
    <w:p w14:paraId="5ED98EA6" w14:textId="77777777" w:rsidR="00F15C37" w:rsidRPr="00F15C37" w:rsidRDefault="00F15C37" w:rsidP="00F15C37">
      <w:pPr>
        <w:ind w:left="1440"/>
        <w:jc w:val="both"/>
        <w:rPr>
          <w:rFonts w:ascii="Tahoma" w:eastAsia="Tahoma" w:hAnsi="Tahoma" w:cs="Tahoma"/>
          <w:sz w:val="22"/>
          <w:szCs w:val="22"/>
        </w:rPr>
      </w:pPr>
    </w:p>
    <w:p w14:paraId="5B42558A" w14:textId="77777777" w:rsidR="00F15C37" w:rsidRPr="00F15C37" w:rsidRDefault="00F15C37" w:rsidP="00665FC6">
      <w:pPr>
        <w:numPr>
          <w:ilvl w:val="0"/>
          <w:numId w:val="3"/>
        </w:numPr>
        <w:jc w:val="both"/>
        <w:rPr>
          <w:rFonts w:ascii="Tahoma" w:eastAsia="Tahoma" w:hAnsi="Tahoma" w:cs="Tahoma"/>
          <w:sz w:val="22"/>
          <w:szCs w:val="22"/>
        </w:rPr>
      </w:pPr>
      <w:r w:rsidRPr="00F15C37">
        <w:rPr>
          <w:rFonts w:ascii="Tahoma" w:eastAsia="Tahoma" w:hAnsi="Tahoma" w:cs="Tahoma"/>
          <w:sz w:val="22"/>
          <w:szCs w:val="22"/>
        </w:rPr>
        <w:t>o pagamento da Taxa de Performance será efetuado até o 5º dia útil do mês subsequente ao período de apuração respectivo.</w:t>
      </w:r>
    </w:p>
    <w:p w14:paraId="1AD863CE" w14:textId="77777777" w:rsidR="00F15C37" w:rsidRPr="00F15C37" w:rsidRDefault="00F15C37" w:rsidP="00F15C37">
      <w:pPr>
        <w:jc w:val="both"/>
        <w:rPr>
          <w:rFonts w:ascii="Tahoma" w:eastAsia="Tahoma" w:hAnsi="Tahoma" w:cs="Tahoma"/>
          <w:sz w:val="22"/>
          <w:szCs w:val="22"/>
          <w:highlight w:val="yellow"/>
        </w:rPr>
      </w:pPr>
    </w:p>
    <w:p w14:paraId="7A79930D" w14:textId="77777777" w:rsidR="00F15C37" w:rsidRPr="00F15C37" w:rsidRDefault="00F15C37" w:rsidP="00F15C37">
      <w:pPr>
        <w:jc w:val="both"/>
        <w:rPr>
          <w:rFonts w:ascii="Tahoma" w:eastAsia="Tahoma" w:hAnsi="Tahoma" w:cs="Tahoma"/>
          <w:sz w:val="22"/>
          <w:szCs w:val="22"/>
        </w:rPr>
      </w:pPr>
      <w:r w:rsidRPr="00F15C37">
        <w:rPr>
          <w:rFonts w:ascii="Tahoma" w:eastAsia="Tahoma" w:hAnsi="Tahoma" w:cs="Tahoma"/>
          <w:sz w:val="22"/>
          <w:szCs w:val="22"/>
        </w:rPr>
        <w:t>6.3.4. É vedada a cobrança de Taxa de Performance quando o Valor da Cota de Apuração for inferior ao Valor da Cota Base.</w:t>
      </w:r>
    </w:p>
    <w:p w14:paraId="250B42ED" w14:textId="77777777" w:rsidR="00F15C37" w:rsidRPr="00F15C37" w:rsidRDefault="00F15C37" w:rsidP="00F15C37">
      <w:pPr>
        <w:jc w:val="both"/>
        <w:rPr>
          <w:rFonts w:ascii="Tahoma" w:eastAsia="Tahoma" w:hAnsi="Tahoma" w:cs="Tahoma"/>
          <w:sz w:val="22"/>
          <w:szCs w:val="22"/>
        </w:rPr>
      </w:pPr>
    </w:p>
    <w:p w14:paraId="3C133279" w14:textId="77777777" w:rsidR="00F15C37" w:rsidRPr="00F15C37" w:rsidRDefault="00F15C37" w:rsidP="00F15C37">
      <w:pPr>
        <w:jc w:val="both"/>
        <w:rPr>
          <w:rFonts w:ascii="Tahoma" w:eastAsia="Tahoma" w:hAnsi="Tahoma" w:cs="Tahoma"/>
          <w:sz w:val="22"/>
          <w:szCs w:val="22"/>
        </w:rPr>
      </w:pPr>
      <w:r w:rsidRPr="00F15C37">
        <w:rPr>
          <w:rFonts w:ascii="Tahoma" w:eastAsia="Tahoma" w:hAnsi="Tahoma" w:cs="Tahoma"/>
          <w:sz w:val="22"/>
          <w:szCs w:val="22"/>
        </w:rPr>
        <w:t>6.3.5. Caso o Índice de Referência apresente variação negativa no período transcorrido desde a última Data Base, a Taxa de Performance a ser provisionada e paga deve ser calculada sobre a diferença entre o Valor da Cota de Apuração e o valor da Cota Índice, limitada à diferença entre o Valor Cota de Apuração e a Cota Base.</w:t>
      </w:r>
    </w:p>
    <w:p w14:paraId="47842486" w14:textId="77777777" w:rsidR="00F15C37" w:rsidRPr="00F15C37" w:rsidRDefault="00F15C37" w:rsidP="00F15C37">
      <w:pPr>
        <w:jc w:val="both"/>
        <w:rPr>
          <w:rFonts w:ascii="Tahoma" w:eastAsia="Tahoma" w:hAnsi="Tahoma" w:cs="Tahoma"/>
          <w:sz w:val="22"/>
          <w:szCs w:val="22"/>
        </w:rPr>
      </w:pPr>
    </w:p>
    <w:p w14:paraId="3379F6FB" w14:textId="77777777" w:rsidR="00F15C37" w:rsidRPr="00F15C37" w:rsidRDefault="00F15C37" w:rsidP="00F15C37">
      <w:pPr>
        <w:jc w:val="both"/>
        <w:rPr>
          <w:rFonts w:ascii="Tahoma" w:eastAsia="Tahoma" w:hAnsi="Tahoma" w:cs="Tahoma"/>
          <w:sz w:val="22"/>
          <w:szCs w:val="22"/>
        </w:rPr>
      </w:pPr>
      <w:r w:rsidRPr="00F15C37">
        <w:rPr>
          <w:rFonts w:ascii="Tahoma" w:eastAsia="Tahoma" w:hAnsi="Tahoma" w:cs="Tahoma"/>
          <w:sz w:val="22"/>
          <w:szCs w:val="22"/>
        </w:rPr>
        <w:t>6.3.6. Em caso de extinção do Índice de Referência será adotado, para fins de cálculo da Taxa de Performance, o índice ou taxa que vier a substituí-lo.</w:t>
      </w:r>
    </w:p>
    <w:p w14:paraId="6904CDE7" w14:textId="77777777" w:rsidR="00F15C37" w:rsidRPr="00F15C37" w:rsidRDefault="00F15C37" w:rsidP="00F15C37">
      <w:pPr>
        <w:jc w:val="both"/>
        <w:rPr>
          <w:rFonts w:ascii="Tahoma" w:eastAsia="Tahoma" w:hAnsi="Tahoma" w:cs="Tahoma"/>
          <w:sz w:val="22"/>
          <w:szCs w:val="22"/>
        </w:rPr>
      </w:pPr>
    </w:p>
    <w:p w14:paraId="785C0522" w14:textId="77777777" w:rsidR="00F15C37" w:rsidRPr="00F15C37" w:rsidRDefault="00F15C37" w:rsidP="00F15C37">
      <w:pPr>
        <w:spacing w:line="280" w:lineRule="atLeast"/>
        <w:jc w:val="both"/>
        <w:rPr>
          <w:rFonts w:ascii="Tahoma" w:hAnsi="Tahoma" w:cs="Tahoma"/>
          <w:sz w:val="22"/>
          <w:szCs w:val="22"/>
        </w:rPr>
      </w:pPr>
      <w:r w:rsidRPr="00F15C37">
        <w:rPr>
          <w:rFonts w:ascii="Tahoma" w:hAnsi="Tahoma" w:cs="Tahoma"/>
          <w:sz w:val="22"/>
          <w:szCs w:val="22"/>
        </w:rPr>
        <w:t xml:space="preserve">6.4. Não será cobrada dos </w:t>
      </w:r>
      <w:proofErr w:type="gramStart"/>
      <w:r w:rsidRPr="00F15C37">
        <w:rPr>
          <w:rFonts w:ascii="Tahoma" w:hAnsi="Tahoma" w:cs="Tahoma"/>
          <w:sz w:val="22"/>
          <w:szCs w:val="22"/>
        </w:rPr>
        <w:t>Cotistas taxa</w:t>
      </w:r>
      <w:proofErr w:type="gramEnd"/>
      <w:r w:rsidRPr="00F15C37">
        <w:rPr>
          <w:rFonts w:ascii="Tahoma" w:hAnsi="Tahoma" w:cs="Tahoma"/>
          <w:sz w:val="22"/>
          <w:szCs w:val="22"/>
        </w:rPr>
        <w:t xml:space="preserve"> de ingresso e de saída quando da realização de aplicação e resgate no FUNDO, respectivamente.</w:t>
      </w:r>
    </w:p>
    <w:p w14:paraId="7D3DF0F8" w14:textId="77777777" w:rsidR="00F15C37" w:rsidRPr="00F15C37" w:rsidRDefault="00F15C37" w:rsidP="00F15C37">
      <w:pPr>
        <w:jc w:val="both"/>
        <w:rPr>
          <w:rFonts w:ascii="Tahoma" w:hAnsi="Tahoma" w:cs="Tahoma"/>
          <w:sz w:val="22"/>
          <w:szCs w:val="22"/>
        </w:rPr>
      </w:pPr>
    </w:p>
    <w:p w14:paraId="4C52519B"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6.5. Além das Taxas de Administração e da Taxa de Performance, se houver,</w:t>
      </w:r>
      <w:r w:rsidRPr="00F15C37">
        <w:rPr>
          <w:rFonts w:ascii="Tahoma" w:hAnsi="Tahoma" w:cs="Tahoma"/>
          <w:sz w:val="22"/>
          <w:szCs w:val="22"/>
          <w:vertAlign w:val="superscript"/>
        </w:rPr>
        <w:t xml:space="preserve"> </w:t>
      </w:r>
      <w:r w:rsidRPr="00F15C37">
        <w:rPr>
          <w:rFonts w:ascii="Tahoma" w:hAnsi="Tahoma" w:cs="Tahoma"/>
          <w:sz w:val="22"/>
          <w:szCs w:val="22"/>
        </w:rPr>
        <w:t>constituirão encargos que poderão ser debitados diretamente do FUNDO as seguintes despesas:</w:t>
      </w:r>
    </w:p>
    <w:p w14:paraId="0D11765D" w14:textId="77777777" w:rsidR="00F15C37" w:rsidRPr="00F15C37" w:rsidRDefault="00F15C37" w:rsidP="00F15C37">
      <w:pPr>
        <w:jc w:val="both"/>
        <w:rPr>
          <w:rFonts w:ascii="Tahoma" w:hAnsi="Tahoma" w:cs="Tahoma"/>
          <w:sz w:val="22"/>
          <w:szCs w:val="22"/>
        </w:rPr>
      </w:pPr>
    </w:p>
    <w:p w14:paraId="71F67319"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 xml:space="preserve">(i) taxas, impostos ou contribuições federais, estaduais, municipais ou autárquicas, que recaiam ou venham a recair sobre os bens, direitos e obrigações do FUNDO; </w:t>
      </w:r>
    </w:p>
    <w:p w14:paraId="16AA7175" w14:textId="77777777" w:rsidR="00F15C37" w:rsidRPr="00F15C37" w:rsidRDefault="00F15C37" w:rsidP="00F15C37">
      <w:pPr>
        <w:jc w:val="both"/>
        <w:rPr>
          <w:rFonts w:ascii="Tahoma" w:eastAsia="Arial Unicode MS" w:hAnsi="Tahoma" w:cs="Tahoma"/>
          <w:sz w:val="22"/>
          <w:szCs w:val="22"/>
          <w:highlight w:val="yellow"/>
        </w:rPr>
      </w:pPr>
    </w:p>
    <w:p w14:paraId="23CF5439"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w:t>
      </w:r>
      <w:proofErr w:type="spellStart"/>
      <w:r w:rsidRPr="00F15C37">
        <w:rPr>
          <w:rFonts w:ascii="Tahoma" w:eastAsia="Arial Unicode MS" w:hAnsi="Tahoma" w:cs="Tahoma"/>
          <w:sz w:val="22"/>
          <w:szCs w:val="22"/>
        </w:rPr>
        <w:t>ii</w:t>
      </w:r>
      <w:proofErr w:type="spellEnd"/>
      <w:r w:rsidRPr="00F15C37">
        <w:rPr>
          <w:rFonts w:ascii="Tahoma" w:eastAsia="Arial Unicode MS" w:hAnsi="Tahoma" w:cs="Tahoma"/>
          <w:sz w:val="22"/>
          <w:szCs w:val="22"/>
        </w:rPr>
        <w:t xml:space="preserve">) despesas com o registro de documentos em cartório, impressão, expedição e publicação de relatórios e informações periódicas previstas na regulamentação em vigor; </w:t>
      </w:r>
    </w:p>
    <w:p w14:paraId="63DEC374" w14:textId="77777777" w:rsidR="00F15C37" w:rsidRPr="00F15C37" w:rsidRDefault="00F15C37" w:rsidP="00F15C37">
      <w:pPr>
        <w:jc w:val="both"/>
        <w:rPr>
          <w:rFonts w:ascii="Tahoma" w:eastAsia="Arial Unicode MS" w:hAnsi="Tahoma" w:cs="Tahoma"/>
          <w:sz w:val="22"/>
          <w:szCs w:val="22"/>
          <w:highlight w:val="yellow"/>
        </w:rPr>
      </w:pPr>
    </w:p>
    <w:p w14:paraId="73FD348B"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w:t>
      </w:r>
      <w:proofErr w:type="spellStart"/>
      <w:r w:rsidRPr="00F15C37">
        <w:rPr>
          <w:rFonts w:ascii="Tahoma" w:eastAsia="Arial Unicode MS" w:hAnsi="Tahoma" w:cs="Tahoma"/>
          <w:sz w:val="22"/>
          <w:szCs w:val="22"/>
        </w:rPr>
        <w:t>iii</w:t>
      </w:r>
      <w:proofErr w:type="spellEnd"/>
      <w:r w:rsidRPr="00F15C37">
        <w:rPr>
          <w:rFonts w:ascii="Tahoma" w:eastAsia="Arial Unicode MS" w:hAnsi="Tahoma" w:cs="Tahoma"/>
          <w:sz w:val="22"/>
          <w:szCs w:val="22"/>
        </w:rPr>
        <w:t xml:space="preserve">) despesas com correspondência de interesse do FUNDO, inclusive comunicações aos Cotistas; </w:t>
      </w:r>
    </w:p>
    <w:p w14:paraId="53D5BEEB" w14:textId="77777777" w:rsidR="00F15C37" w:rsidRPr="00F15C37" w:rsidRDefault="00F15C37" w:rsidP="00F15C37">
      <w:pPr>
        <w:jc w:val="both"/>
        <w:rPr>
          <w:rFonts w:ascii="Tahoma" w:eastAsia="Arial Unicode MS" w:hAnsi="Tahoma" w:cs="Tahoma"/>
          <w:sz w:val="22"/>
          <w:szCs w:val="22"/>
          <w:highlight w:val="yellow"/>
        </w:rPr>
      </w:pPr>
    </w:p>
    <w:p w14:paraId="4A0A121D"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w:t>
      </w:r>
      <w:proofErr w:type="spellStart"/>
      <w:r w:rsidRPr="00F15C37">
        <w:rPr>
          <w:rFonts w:ascii="Tahoma" w:eastAsia="Arial Unicode MS" w:hAnsi="Tahoma" w:cs="Tahoma"/>
          <w:sz w:val="22"/>
          <w:szCs w:val="22"/>
        </w:rPr>
        <w:t>iv</w:t>
      </w:r>
      <w:proofErr w:type="spellEnd"/>
      <w:r w:rsidRPr="00F15C37">
        <w:rPr>
          <w:rFonts w:ascii="Tahoma" w:eastAsia="Arial Unicode MS" w:hAnsi="Tahoma" w:cs="Tahoma"/>
          <w:sz w:val="22"/>
          <w:szCs w:val="22"/>
        </w:rPr>
        <w:t>) honorários e despesas do auditor independente;</w:t>
      </w:r>
    </w:p>
    <w:p w14:paraId="7F65CD14" w14:textId="77777777" w:rsidR="00F15C37" w:rsidRPr="00F15C37" w:rsidRDefault="00F15C37" w:rsidP="00F15C37">
      <w:pPr>
        <w:jc w:val="both"/>
        <w:rPr>
          <w:rFonts w:ascii="Tahoma" w:eastAsia="Arial Unicode MS" w:hAnsi="Tahoma" w:cs="Tahoma"/>
          <w:sz w:val="22"/>
          <w:szCs w:val="22"/>
          <w:highlight w:val="yellow"/>
        </w:rPr>
      </w:pPr>
    </w:p>
    <w:p w14:paraId="7F7983B4"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 xml:space="preserve">(v) emolumentos e comissões pagas por operações do FUNDO; </w:t>
      </w:r>
    </w:p>
    <w:p w14:paraId="73BE91F0" w14:textId="77777777" w:rsidR="00F15C37" w:rsidRPr="00F15C37" w:rsidRDefault="00F15C37" w:rsidP="00F15C37">
      <w:pPr>
        <w:jc w:val="both"/>
        <w:rPr>
          <w:rFonts w:ascii="Tahoma" w:eastAsia="Arial Unicode MS" w:hAnsi="Tahoma" w:cs="Tahoma"/>
          <w:sz w:val="22"/>
          <w:szCs w:val="22"/>
        </w:rPr>
      </w:pPr>
    </w:p>
    <w:p w14:paraId="70F1A6A3"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01929E33" w14:textId="77777777" w:rsidR="00F15C37" w:rsidRPr="00F15C37" w:rsidRDefault="00F15C37" w:rsidP="00F15C37">
      <w:pPr>
        <w:jc w:val="both"/>
        <w:rPr>
          <w:rFonts w:ascii="Tahoma" w:eastAsia="Arial Unicode MS" w:hAnsi="Tahoma" w:cs="Tahoma"/>
          <w:sz w:val="22"/>
          <w:szCs w:val="22"/>
          <w:highlight w:val="yellow"/>
        </w:rPr>
      </w:pPr>
    </w:p>
    <w:p w14:paraId="70CBBC0D"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w:t>
      </w:r>
      <w:proofErr w:type="spellStart"/>
      <w:r w:rsidRPr="00F15C37">
        <w:rPr>
          <w:rFonts w:ascii="Tahoma" w:eastAsia="Arial Unicode MS" w:hAnsi="Tahoma" w:cs="Tahoma"/>
          <w:sz w:val="22"/>
          <w:szCs w:val="22"/>
        </w:rPr>
        <w:t>vii</w:t>
      </w:r>
      <w:proofErr w:type="spellEnd"/>
      <w:r w:rsidRPr="00F15C37">
        <w:rPr>
          <w:rFonts w:ascii="Tahoma" w:eastAsia="Arial Unicode MS"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2FA4166" w14:textId="77777777" w:rsidR="00F15C37" w:rsidRPr="00F15C37" w:rsidRDefault="00F15C37" w:rsidP="00F15C37">
      <w:pPr>
        <w:jc w:val="both"/>
        <w:rPr>
          <w:rFonts w:ascii="Tahoma" w:eastAsia="Arial Unicode MS" w:hAnsi="Tahoma" w:cs="Tahoma"/>
          <w:sz w:val="22"/>
          <w:szCs w:val="22"/>
          <w:highlight w:val="yellow"/>
        </w:rPr>
      </w:pPr>
    </w:p>
    <w:p w14:paraId="65ABC30A"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w:t>
      </w:r>
      <w:proofErr w:type="spellStart"/>
      <w:r w:rsidRPr="00F15C37">
        <w:rPr>
          <w:rFonts w:ascii="Tahoma" w:eastAsia="Arial Unicode MS" w:hAnsi="Tahoma" w:cs="Tahoma"/>
          <w:sz w:val="22"/>
          <w:szCs w:val="22"/>
        </w:rPr>
        <w:t>viii</w:t>
      </w:r>
      <w:proofErr w:type="spellEnd"/>
      <w:r w:rsidRPr="00F15C37">
        <w:rPr>
          <w:rFonts w:ascii="Tahoma" w:eastAsia="Arial Unicode MS" w:hAnsi="Tahoma" w:cs="Tahoma"/>
          <w:sz w:val="22"/>
          <w:szCs w:val="22"/>
        </w:rPr>
        <w:t xml:space="preserve">) despesas relacionadas, direta ou indiretamente, ao exercício de direito de voto decorrente de ativos financeiros do FUNDO; </w:t>
      </w:r>
    </w:p>
    <w:p w14:paraId="0966406F" w14:textId="77777777" w:rsidR="00F15C37" w:rsidRPr="00F15C37" w:rsidRDefault="00F15C37" w:rsidP="00F15C37">
      <w:pPr>
        <w:jc w:val="both"/>
        <w:rPr>
          <w:rFonts w:ascii="Tahoma" w:eastAsia="Arial Unicode MS" w:hAnsi="Tahoma" w:cs="Tahoma"/>
          <w:sz w:val="22"/>
          <w:szCs w:val="22"/>
        </w:rPr>
      </w:pPr>
    </w:p>
    <w:p w14:paraId="32C2A815"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w:t>
      </w:r>
      <w:proofErr w:type="spellStart"/>
      <w:r w:rsidRPr="00F15C37">
        <w:rPr>
          <w:rFonts w:ascii="Tahoma" w:eastAsia="Arial Unicode MS" w:hAnsi="Tahoma" w:cs="Tahoma"/>
          <w:sz w:val="22"/>
          <w:szCs w:val="22"/>
        </w:rPr>
        <w:t>ix</w:t>
      </w:r>
      <w:proofErr w:type="spellEnd"/>
      <w:r w:rsidRPr="00F15C37">
        <w:rPr>
          <w:rFonts w:ascii="Tahoma" w:eastAsia="Arial Unicode MS" w:hAnsi="Tahoma" w:cs="Tahoma"/>
          <w:sz w:val="22"/>
          <w:szCs w:val="22"/>
        </w:rPr>
        <w:t xml:space="preserve">) despesas com liquidação, registro e custódia de operações com títulos e valores mobiliários, ativos financeiros e modalidades operacionais; </w:t>
      </w:r>
    </w:p>
    <w:p w14:paraId="70B70B96" w14:textId="77777777" w:rsidR="00F15C37" w:rsidRPr="00F15C37" w:rsidRDefault="00F15C37" w:rsidP="00F15C37">
      <w:pPr>
        <w:jc w:val="both"/>
        <w:rPr>
          <w:rFonts w:ascii="Tahoma" w:eastAsia="Arial Unicode MS" w:hAnsi="Tahoma" w:cs="Tahoma"/>
          <w:sz w:val="22"/>
          <w:szCs w:val="22"/>
        </w:rPr>
      </w:pPr>
    </w:p>
    <w:p w14:paraId="39447127"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(x) despesas com fechamento de câmbio, vinculadas às suas operações ou com certificados ou recibos de depósito de valores mobiliários; e</w:t>
      </w:r>
    </w:p>
    <w:p w14:paraId="11B5C228" w14:textId="77777777" w:rsidR="00F15C37" w:rsidRPr="00F15C37" w:rsidRDefault="00F15C37" w:rsidP="00F15C37">
      <w:pPr>
        <w:jc w:val="both"/>
        <w:rPr>
          <w:rFonts w:ascii="Tahoma" w:eastAsia="Arial Unicode MS" w:hAnsi="Tahoma" w:cs="Tahoma"/>
          <w:sz w:val="22"/>
          <w:szCs w:val="22"/>
        </w:rPr>
      </w:pPr>
    </w:p>
    <w:p w14:paraId="04E63BF8" w14:textId="77777777" w:rsidR="00F15C37" w:rsidRPr="00F15C37" w:rsidRDefault="00F15C37" w:rsidP="00F15C37">
      <w:pPr>
        <w:jc w:val="both"/>
        <w:rPr>
          <w:rFonts w:ascii="Tahoma" w:eastAsia="Arial Unicode MS" w:hAnsi="Tahoma" w:cs="Tahoma"/>
          <w:sz w:val="22"/>
          <w:szCs w:val="22"/>
        </w:rPr>
      </w:pPr>
      <w:r w:rsidRPr="00F15C37">
        <w:rPr>
          <w:rFonts w:ascii="Tahoma" w:eastAsia="Arial Unicode MS"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0F975EDB" w14:textId="77777777" w:rsidR="00F15C37" w:rsidRPr="00F15C37" w:rsidRDefault="00F15C37" w:rsidP="00F15C37">
      <w:pPr>
        <w:jc w:val="both"/>
        <w:rPr>
          <w:rFonts w:ascii="Tahoma" w:eastAsia="Arial Unicode MS" w:hAnsi="Tahoma" w:cs="Tahoma"/>
          <w:sz w:val="22"/>
          <w:szCs w:val="22"/>
        </w:rPr>
      </w:pPr>
    </w:p>
    <w:p w14:paraId="3D1EAF28"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5D3262D4" w14:textId="77777777" w:rsidR="00F15C37" w:rsidRPr="00F15C37" w:rsidRDefault="00F15C37" w:rsidP="00F15C37">
      <w:pPr>
        <w:jc w:val="both"/>
        <w:rPr>
          <w:rFonts w:ascii="Tahoma" w:hAnsi="Tahoma" w:cs="Tahoma"/>
          <w:sz w:val="22"/>
          <w:szCs w:val="22"/>
        </w:rPr>
      </w:pPr>
    </w:p>
    <w:p w14:paraId="71063BED"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 xml:space="preserve">CLÁUSULA SÉTIMA – DAS COTAS: DISTRIBUIÇÃO, EMISSÃO E RESGATE </w:t>
      </w:r>
    </w:p>
    <w:p w14:paraId="1735D5EE" w14:textId="77777777" w:rsidR="00F15C37" w:rsidRPr="00F15C37" w:rsidRDefault="00F15C37" w:rsidP="00F15C37">
      <w:pPr>
        <w:jc w:val="both"/>
        <w:rPr>
          <w:rFonts w:ascii="Tahoma" w:hAnsi="Tahoma" w:cs="Tahoma"/>
          <w:sz w:val="22"/>
          <w:szCs w:val="22"/>
        </w:rPr>
      </w:pPr>
    </w:p>
    <w:p w14:paraId="075CD56B"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7.1. As cotas do FUNDO correspondem a frações ideais do seu patrimônio e são nominativas e escriturais.</w:t>
      </w:r>
    </w:p>
    <w:p w14:paraId="0F742811" w14:textId="77777777" w:rsidR="00F15C37" w:rsidRPr="00F15C37" w:rsidRDefault="00F15C37" w:rsidP="00F15C37">
      <w:pPr>
        <w:jc w:val="both"/>
        <w:rPr>
          <w:rFonts w:ascii="Tahoma" w:hAnsi="Tahoma" w:cs="Tahoma"/>
          <w:sz w:val="22"/>
          <w:szCs w:val="22"/>
        </w:rPr>
      </w:pPr>
    </w:p>
    <w:p w14:paraId="7631BE82"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6D66731D" w14:textId="77777777" w:rsidR="00F15C37" w:rsidRPr="00F15C37" w:rsidRDefault="00F15C37" w:rsidP="00F15C37">
      <w:pPr>
        <w:jc w:val="both"/>
        <w:rPr>
          <w:rFonts w:ascii="Tahoma" w:hAnsi="Tahoma" w:cs="Tahoma"/>
          <w:sz w:val="22"/>
          <w:szCs w:val="22"/>
        </w:rPr>
      </w:pPr>
    </w:p>
    <w:p w14:paraId="0E5B2356"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F15C37">
        <w:rPr>
          <w:rFonts w:ascii="Tahoma" w:hAnsi="Tahoma" w:cs="Tahoma"/>
          <w:sz w:val="22"/>
          <w:szCs w:val="22"/>
          <w:vertAlign w:val="superscript"/>
        </w:rPr>
        <w:t xml:space="preserve"> </w:t>
      </w:r>
    </w:p>
    <w:p w14:paraId="59676133" w14:textId="77777777" w:rsidR="00F15C37" w:rsidRPr="00F15C37" w:rsidRDefault="00F15C37" w:rsidP="00F15C37">
      <w:pPr>
        <w:jc w:val="both"/>
        <w:rPr>
          <w:rFonts w:ascii="Tahoma" w:hAnsi="Tahoma" w:cs="Tahoma"/>
          <w:sz w:val="22"/>
          <w:szCs w:val="22"/>
        </w:rPr>
      </w:pPr>
    </w:p>
    <w:p w14:paraId="6E08BBE3"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F15C37">
        <w:rPr>
          <w:rFonts w:ascii="Tahoma" w:hAnsi="Tahoma" w:cs="Tahoma"/>
          <w:sz w:val="22"/>
          <w:szCs w:val="22"/>
          <w:vertAlign w:val="superscript"/>
        </w:rPr>
        <w:t xml:space="preserve"> </w:t>
      </w:r>
    </w:p>
    <w:p w14:paraId="601CF5EA" w14:textId="77777777" w:rsidR="00F15C37" w:rsidRPr="00F15C37" w:rsidRDefault="00F15C37" w:rsidP="00F15C37">
      <w:pPr>
        <w:jc w:val="both"/>
        <w:rPr>
          <w:rFonts w:ascii="Tahoma" w:hAnsi="Tahoma" w:cs="Tahoma"/>
          <w:sz w:val="22"/>
          <w:szCs w:val="22"/>
        </w:rPr>
      </w:pPr>
    </w:p>
    <w:p w14:paraId="5212F4FD"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lastRenderedPageBreak/>
        <w:t>7.3.1. Considerando a atuação dos fundos de investimento em que o FUNDO aplica em mercados no exterior, o encerramento do dia poderá ser considerado como o horário de fechamento dos respectivos mercados nos quais atuem.</w:t>
      </w:r>
    </w:p>
    <w:p w14:paraId="3C4D65BA" w14:textId="77777777" w:rsidR="00F15C37" w:rsidRPr="00F15C37" w:rsidRDefault="00F15C37" w:rsidP="00F15C37">
      <w:pPr>
        <w:jc w:val="both"/>
        <w:rPr>
          <w:rFonts w:ascii="Tahoma" w:hAnsi="Tahoma" w:cs="Tahoma"/>
          <w:sz w:val="22"/>
          <w:szCs w:val="22"/>
        </w:rPr>
      </w:pPr>
    </w:p>
    <w:p w14:paraId="004465EB"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5B069793" w14:textId="77777777" w:rsidR="00F15C37" w:rsidRPr="00F15C37" w:rsidRDefault="00F15C37" w:rsidP="00F15C37">
      <w:pPr>
        <w:jc w:val="both"/>
        <w:rPr>
          <w:rFonts w:ascii="Tahoma" w:hAnsi="Tahoma" w:cs="Tahoma"/>
          <w:sz w:val="22"/>
          <w:szCs w:val="22"/>
        </w:rPr>
      </w:pPr>
    </w:p>
    <w:p w14:paraId="26F1CCE1"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7.5. A qualidade dos Cotistas caracteriza-se pela inscrição do nome do titular no registro de Cotistas do FUNDO.</w:t>
      </w:r>
    </w:p>
    <w:p w14:paraId="254D99E0" w14:textId="77777777" w:rsidR="00F15C37" w:rsidRPr="00F15C37" w:rsidRDefault="00F15C37" w:rsidP="00F15C37">
      <w:pPr>
        <w:jc w:val="both"/>
        <w:rPr>
          <w:rFonts w:ascii="Tahoma" w:hAnsi="Tahoma" w:cs="Tahoma"/>
          <w:sz w:val="22"/>
          <w:szCs w:val="22"/>
        </w:rPr>
      </w:pPr>
    </w:p>
    <w:p w14:paraId="2D14DA74"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140D50D6" w14:textId="77777777" w:rsidR="00F15C37" w:rsidRPr="00F15C37" w:rsidRDefault="00F15C37" w:rsidP="00F15C37">
      <w:pPr>
        <w:jc w:val="both"/>
        <w:rPr>
          <w:rFonts w:ascii="Tahoma" w:hAnsi="Tahoma" w:cs="Tahoma"/>
          <w:sz w:val="22"/>
          <w:szCs w:val="22"/>
        </w:rPr>
      </w:pPr>
    </w:p>
    <w:p w14:paraId="5DE2DA2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7.6. A adesão dos Cotistas aos termos deste Regulamento dar-se-á pela assinatura do Termo de Adesão e Ciência de Risco ou mediante manifestação de aceite por meio eletrônico, através do qual atestam que tiveram acesso ao Regulamento do FUNDO e que conhecem, entendem e aceitam os riscos nele descritos, aos quais os investimentos do FUNDO estão expostos em razão dos mercados de sua atuação.</w:t>
      </w:r>
    </w:p>
    <w:p w14:paraId="62D84E7A" w14:textId="77777777" w:rsidR="00F15C37" w:rsidRPr="00F15C37" w:rsidRDefault="00F15C37" w:rsidP="00F15C37">
      <w:pPr>
        <w:jc w:val="both"/>
        <w:rPr>
          <w:rFonts w:ascii="Tahoma" w:hAnsi="Tahoma" w:cs="Tahoma"/>
          <w:sz w:val="22"/>
          <w:szCs w:val="22"/>
        </w:rPr>
      </w:pPr>
    </w:p>
    <w:p w14:paraId="1F479AA1"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1903D314" w14:textId="77777777" w:rsidR="00F15C37" w:rsidRPr="00F15C37" w:rsidRDefault="00F15C37" w:rsidP="00F15C37">
      <w:pPr>
        <w:jc w:val="both"/>
        <w:rPr>
          <w:rFonts w:ascii="Tahoma" w:hAnsi="Tahoma" w:cs="Tahoma"/>
          <w:sz w:val="22"/>
          <w:szCs w:val="22"/>
        </w:rPr>
      </w:pPr>
    </w:p>
    <w:p w14:paraId="42C56FC5"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2B5DB9AD" w14:textId="77777777" w:rsidR="00F15C37" w:rsidRPr="00F15C37" w:rsidRDefault="00F15C37" w:rsidP="00F15C37">
      <w:pPr>
        <w:jc w:val="both"/>
        <w:rPr>
          <w:rFonts w:ascii="Tahoma" w:hAnsi="Tahoma" w:cs="Tahoma"/>
          <w:sz w:val="22"/>
          <w:szCs w:val="22"/>
        </w:rPr>
      </w:pPr>
    </w:p>
    <w:p w14:paraId="45A8E4E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7.7.1. Quando os Cotistas forem titulares de conta </w:t>
      </w:r>
      <w:r w:rsidRPr="00F15C37">
        <w:rPr>
          <w:rFonts w:ascii="Tahoma" w:hAnsi="Tahoma" w:cs="Tahoma"/>
          <w:snapToGrid w:val="0"/>
          <w:sz w:val="22"/>
          <w:szCs w:val="22"/>
        </w:rPr>
        <w:t>em entidade administradora de mercado organizado,</w:t>
      </w:r>
      <w:r w:rsidRPr="00F15C37">
        <w:rPr>
          <w:rFonts w:ascii="Tahoma" w:hAnsi="Tahoma" w:cs="Tahoma"/>
          <w:sz w:val="22"/>
          <w:szCs w:val="22"/>
        </w:rPr>
        <w:t xml:space="preserve"> a aplicação e o resgate no FUNDO poderão ser realizados mediante ordem de crédito ou débito </w:t>
      </w:r>
      <w:r w:rsidRPr="00F15C37">
        <w:rPr>
          <w:rFonts w:ascii="Tahoma" w:hAnsi="Tahoma" w:cs="Tahoma"/>
          <w:snapToGrid w:val="0"/>
          <w:sz w:val="22"/>
          <w:szCs w:val="22"/>
        </w:rPr>
        <w:t>por meio de tal conta</w:t>
      </w:r>
      <w:r w:rsidRPr="00F15C37">
        <w:rPr>
          <w:rFonts w:ascii="Tahoma" w:hAnsi="Tahoma" w:cs="Tahoma"/>
          <w:sz w:val="22"/>
          <w:szCs w:val="22"/>
        </w:rPr>
        <w:t xml:space="preserve">, desde que </w:t>
      </w:r>
      <w:r w:rsidRPr="00F15C37">
        <w:rPr>
          <w:rFonts w:ascii="Tahoma" w:hAnsi="Tahoma" w:cs="Tahoma"/>
          <w:snapToGrid w:val="0"/>
          <w:sz w:val="22"/>
          <w:szCs w:val="22"/>
        </w:rPr>
        <w:t>tal serviço esteja disponível e disponha da</w:t>
      </w:r>
      <w:r w:rsidRPr="00F15C37">
        <w:rPr>
          <w:rFonts w:ascii="Tahoma" w:hAnsi="Tahoma" w:cs="Tahoma"/>
          <w:sz w:val="22"/>
          <w:szCs w:val="22"/>
        </w:rPr>
        <w:t xml:space="preserve"> prévia concordância do ADMINISTRADOR.</w:t>
      </w:r>
    </w:p>
    <w:p w14:paraId="7B6287EC" w14:textId="77777777" w:rsidR="00F15C37" w:rsidRPr="00F15C37" w:rsidRDefault="00F15C37" w:rsidP="00F15C37">
      <w:pPr>
        <w:jc w:val="both"/>
        <w:rPr>
          <w:rFonts w:ascii="Tahoma" w:hAnsi="Tahoma" w:cs="Tahoma"/>
          <w:sz w:val="22"/>
          <w:szCs w:val="22"/>
        </w:rPr>
      </w:pPr>
    </w:p>
    <w:p w14:paraId="0E055B4E"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7.7.2. A integralização e o resgate das cotas do FUNDO poderão ser realizados em moeda corrente nacional ou em ativos financeiros, a critério do ADMINISTRADOR e do GESTOR e observado o disposto no item 7.9 abaixo. </w:t>
      </w:r>
    </w:p>
    <w:p w14:paraId="7E8C6878" w14:textId="77777777" w:rsidR="00F15C37" w:rsidRPr="00F15C37" w:rsidRDefault="00F15C37" w:rsidP="00F15C37">
      <w:pPr>
        <w:jc w:val="both"/>
        <w:rPr>
          <w:rFonts w:ascii="Tahoma" w:hAnsi="Tahoma" w:cs="Tahoma"/>
          <w:sz w:val="22"/>
          <w:szCs w:val="22"/>
        </w:rPr>
      </w:pPr>
    </w:p>
    <w:p w14:paraId="6B90B914"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7.8. O ADMINISTRADOR poderá suspender, a qualquer momento, novas aplicações no FUNDO, aplicando-se tal suspensão tanto aos novos investidores como aos Cotistas atuais do FUNDO.</w:t>
      </w:r>
    </w:p>
    <w:p w14:paraId="2A192D47" w14:textId="77777777" w:rsidR="00F15C37" w:rsidRPr="00F15C37" w:rsidRDefault="00F15C37" w:rsidP="00F15C37">
      <w:pPr>
        <w:jc w:val="both"/>
        <w:rPr>
          <w:rFonts w:ascii="Tahoma" w:hAnsi="Tahoma" w:cs="Tahoma"/>
          <w:sz w:val="22"/>
          <w:szCs w:val="22"/>
        </w:rPr>
      </w:pPr>
    </w:p>
    <w:p w14:paraId="22EABDC2"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7.8.1. A suspensão do recebimento de novas aplicações em um dia não impede a reabertura posterior do FUNDO para aplicações.</w:t>
      </w:r>
    </w:p>
    <w:p w14:paraId="227E8176" w14:textId="77777777" w:rsidR="00F15C37" w:rsidRPr="00F15C37" w:rsidRDefault="00F15C37" w:rsidP="00F15C37">
      <w:pPr>
        <w:jc w:val="both"/>
        <w:rPr>
          <w:rFonts w:ascii="Tahoma" w:hAnsi="Tahoma" w:cs="Tahoma"/>
          <w:sz w:val="22"/>
          <w:szCs w:val="22"/>
        </w:rPr>
      </w:pPr>
    </w:p>
    <w:p w14:paraId="6A39585E"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7.9. A integralização e o resgate de cotas poderão ser efetuados diretamente com ativos financeiros, desde que sejam observadas as seguintes condições: </w:t>
      </w:r>
    </w:p>
    <w:p w14:paraId="34FFF972" w14:textId="77777777" w:rsidR="00F15C37" w:rsidRPr="00F15C37" w:rsidRDefault="00F15C37" w:rsidP="00F15C37">
      <w:pPr>
        <w:jc w:val="both"/>
        <w:rPr>
          <w:rFonts w:ascii="Tahoma" w:hAnsi="Tahoma" w:cs="Tahoma"/>
          <w:sz w:val="22"/>
          <w:szCs w:val="22"/>
        </w:rPr>
      </w:pPr>
    </w:p>
    <w:p w14:paraId="5B116873" w14:textId="77777777" w:rsidR="00F15C37" w:rsidRPr="00F15C37" w:rsidRDefault="00F15C37" w:rsidP="00665FC6">
      <w:pPr>
        <w:numPr>
          <w:ilvl w:val="0"/>
          <w:numId w:val="2"/>
        </w:numPr>
        <w:contextualSpacing/>
        <w:jc w:val="both"/>
        <w:rPr>
          <w:rFonts w:ascii="Tahoma" w:hAnsi="Tahoma" w:cs="Tahoma"/>
          <w:sz w:val="22"/>
          <w:szCs w:val="22"/>
        </w:rPr>
      </w:pPr>
      <w:r w:rsidRPr="00F15C37">
        <w:rPr>
          <w:rFonts w:ascii="Tahoma" w:hAnsi="Tahoma" w:cs="Tahoma"/>
          <w:sz w:val="22"/>
          <w:szCs w:val="22"/>
        </w:rPr>
        <w:t>os ativos financeiros</w:t>
      </w:r>
      <w:r w:rsidRPr="00F15C37" w:rsidDel="00514A71">
        <w:rPr>
          <w:rFonts w:ascii="Tahoma" w:hAnsi="Tahoma" w:cs="Tahoma"/>
          <w:sz w:val="22"/>
          <w:szCs w:val="22"/>
        </w:rPr>
        <w:t xml:space="preserve"> </w:t>
      </w:r>
      <w:r w:rsidRPr="00F15C37">
        <w:rPr>
          <w:rFonts w:ascii="Tahoma" w:hAnsi="Tahoma" w:cs="Tahoma"/>
          <w:sz w:val="22"/>
          <w:szCs w:val="22"/>
        </w:rPr>
        <w:t>sejam previamente analisados e aprovados pelo GESTOR;</w:t>
      </w:r>
    </w:p>
    <w:p w14:paraId="45E0DC0B" w14:textId="77777777" w:rsidR="00F15C37" w:rsidRPr="00F15C37" w:rsidRDefault="00F15C37" w:rsidP="00665FC6">
      <w:pPr>
        <w:numPr>
          <w:ilvl w:val="0"/>
          <w:numId w:val="2"/>
        </w:numPr>
        <w:contextualSpacing/>
        <w:jc w:val="both"/>
        <w:rPr>
          <w:rFonts w:ascii="Tahoma" w:hAnsi="Tahoma" w:cs="Tahoma"/>
          <w:sz w:val="22"/>
          <w:szCs w:val="22"/>
        </w:rPr>
      </w:pPr>
      <w:r w:rsidRPr="00F15C37">
        <w:rPr>
          <w:rFonts w:ascii="Tahoma" w:hAnsi="Tahoma" w:cs="Tahoma"/>
          <w:sz w:val="22"/>
          <w:szCs w:val="22"/>
        </w:rPr>
        <w:t>na integralização de cotas, os ativos financeiros</w:t>
      </w:r>
      <w:r w:rsidRPr="00F15C37" w:rsidDel="00514A71">
        <w:rPr>
          <w:rFonts w:ascii="Tahoma" w:hAnsi="Tahoma" w:cs="Tahoma"/>
          <w:sz w:val="22"/>
          <w:szCs w:val="22"/>
        </w:rPr>
        <w:t xml:space="preserve"> </w:t>
      </w:r>
      <w:r w:rsidRPr="00F15C37">
        <w:rPr>
          <w:rFonts w:ascii="Tahoma" w:hAnsi="Tahoma" w:cs="Tahoma"/>
          <w:sz w:val="22"/>
          <w:szCs w:val="22"/>
        </w:rPr>
        <w:t>a serem utilizados devem: (i) estar livres de qualquer ônus e/ou gravame, podendo ser livremente negociados; (</w:t>
      </w:r>
      <w:proofErr w:type="spellStart"/>
      <w:r w:rsidRPr="00F15C37">
        <w:rPr>
          <w:rFonts w:ascii="Tahoma" w:hAnsi="Tahoma" w:cs="Tahoma"/>
          <w:sz w:val="22"/>
          <w:szCs w:val="22"/>
        </w:rPr>
        <w:t>ii</w:t>
      </w:r>
      <w:proofErr w:type="spellEnd"/>
      <w:r w:rsidRPr="00F15C37">
        <w:rPr>
          <w:rFonts w:ascii="Tahoma" w:hAnsi="Tahoma" w:cs="Tahoma"/>
          <w:sz w:val="22"/>
          <w:szCs w:val="22"/>
        </w:rPr>
        <w:t>) ter como titular e/ou comitente o próprio cotista; (</w:t>
      </w:r>
      <w:proofErr w:type="spellStart"/>
      <w:r w:rsidRPr="00F15C37">
        <w:rPr>
          <w:rFonts w:ascii="Tahoma" w:hAnsi="Tahoma" w:cs="Tahoma"/>
          <w:sz w:val="22"/>
          <w:szCs w:val="22"/>
        </w:rPr>
        <w:t>iii</w:t>
      </w:r>
      <w:proofErr w:type="spellEnd"/>
      <w:r w:rsidRPr="00F15C37">
        <w:rPr>
          <w:rFonts w:ascii="Tahoma" w:hAnsi="Tahoma" w:cs="Tahoma"/>
          <w:sz w:val="22"/>
          <w:szCs w:val="22"/>
        </w:rPr>
        <w:t>) atender aos valores mínimos para aplicação, se houver; (</w:t>
      </w:r>
      <w:proofErr w:type="spellStart"/>
      <w:r w:rsidRPr="00F15C37">
        <w:rPr>
          <w:rFonts w:ascii="Tahoma" w:hAnsi="Tahoma" w:cs="Tahoma"/>
          <w:sz w:val="22"/>
          <w:szCs w:val="22"/>
        </w:rPr>
        <w:t>iv</w:t>
      </w:r>
      <w:proofErr w:type="spellEnd"/>
      <w:r w:rsidRPr="00F15C37">
        <w:rPr>
          <w:rFonts w:ascii="Tahoma" w:hAnsi="Tahoma" w:cs="Tahoma"/>
          <w:sz w:val="22"/>
          <w:szCs w:val="22"/>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5E666AC9" w14:textId="77777777" w:rsidR="00F15C37" w:rsidRPr="00F15C37" w:rsidRDefault="00F15C37" w:rsidP="00665FC6">
      <w:pPr>
        <w:numPr>
          <w:ilvl w:val="0"/>
          <w:numId w:val="2"/>
        </w:numPr>
        <w:contextualSpacing/>
        <w:jc w:val="both"/>
        <w:rPr>
          <w:rFonts w:ascii="Tahoma" w:hAnsi="Tahoma" w:cs="Tahoma"/>
          <w:sz w:val="22"/>
          <w:szCs w:val="22"/>
        </w:rPr>
      </w:pPr>
      <w:r w:rsidRPr="00F15C37">
        <w:rPr>
          <w:rFonts w:ascii="Tahoma" w:hAnsi="Tahoma" w:cs="Tahoma"/>
          <w:sz w:val="22"/>
          <w:szCs w:val="22"/>
        </w:rPr>
        <w:lastRenderedPageBreak/>
        <w:t>no resgate de cotas, os ativos financeiros</w:t>
      </w:r>
      <w:r w:rsidRPr="00F15C37" w:rsidDel="00514A71">
        <w:rPr>
          <w:rFonts w:ascii="Tahoma" w:hAnsi="Tahoma" w:cs="Tahoma"/>
          <w:sz w:val="22"/>
          <w:szCs w:val="22"/>
        </w:rPr>
        <w:t xml:space="preserve"> </w:t>
      </w:r>
      <w:r w:rsidRPr="00F15C37">
        <w:rPr>
          <w:rFonts w:ascii="Tahoma" w:hAnsi="Tahoma" w:cs="Tahoma"/>
          <w:sz w:val="22"/>
          <w:szCs w:val="22"/>
        </w:rPr>
        <w:t>a serem utilizados para pagamento aos Cotistas, devem: (i) estar livres de qualquer ônus e/ou gravame, podendo ser livremente negociados; (</w:t>
      </w:r>
      <w:proofErr w:type="spellStart"/>
      <w:r w:rsidRPr="00F15C37">
        <w:rPr>
          <w:rFonts w:ascii="Tahoma" w:hAnsi="Tahoma" w:cs="Tahoma"/>
          <w:sz w:val="22"/>
          <w:szCs w:val="22"/>
        </w:rPr>
        <w:t>ii</w:t>
      </w:r>
      <w:proofErr w:type="spellEnd"/>
      <w:r w:rsidRPr="00F15C37">
        <w:rPr>
          <w:rFonts w:ascii="Tahoma" w:hAnsi="Tahoma" w:cs="Tahoma"/>
          <w:sz w:val="22"/>
          <w:szCs w:val="22"/>
        </w:rPr>
        <w:t>) ter como titular e/ou comitente o próprio FUNDO; (</w:t>
      </w:r>
      <w:proofErr w:type="spellStart"/>
      <w:r w:rsidRPr="00F15C37">
        <w:rPr>
          <w:rFonts w:ascii="Tahoma" w:hAnsi="Tahoma" w:cs="Tahoma"/>
          <w:sz w:val="22"/>
          <w:szCs w:val="22"/>
        </w:rPr>
        <w:t>iii</w:t>
      </w:r>
      <w:proofErr w:type="spellEnd"/>
      <w:r w:rsidRPr="00F15C37">
        <w:rPr>
          <w:rFonts w:ascii="Tahoma" w:hAnsi="Tahoma" w:cs="Tahoma"/>
          <w:sz w:val="22"/>
          <w:szCs w:val="22"/>
        </w:rPr>
        <w:t>) atender aos valores mínimos para resgate, se houver; e (</w:t>
      </w:r>
      <w:proofErr w:type="spellStart"/>
      <w:r w:rsidRPr="00F15C37">
        <w:rPr>
          <w:rFonts w:ascii="Tahoma" w:hAnsi="Tahoma" w:cs="Tahoma"/>
          <w:sz w:val="22"/>
          <w:szCs w:val="22"/>
        </w:rPr>
        <w:t>iv</w:t>
      </w:r>
      <w:proofErr w:type="spellEnd"/>
      <w:r w:rsidRPr="00F15C37">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1A1B843A" w14:textId="77777777" w:rsidR="00F15C37" w:rsidRPr="00F15C37" w:rsidRDefault="00F15C37" w:rsidP="00F15C37">
      <w:pPr>
        <w:jc w:val="both"/>
        <w:rPr>
          <w:rFonts w:ascii="Tahoma" w:hAnsi="Tahoma" w:cs="Tahoma"/>
          <w:sz w:val="22"/>
          <w:szCs w:val="22"/>
        </w:rPr>
      </w:pPr>
    </w:p>
    <w:p w14:paraId="2CAC6B6E"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7.9.1. Na integralização e no resgate será utilizado o valor dos ativos financeiros</w:t>
      </w:r>
      <w:r w:rsidRPr="00F15C37" w:rsidDel="00514A71">
        <w:rPr>
          <w:rFonts w:ascii="Tahoma" w:hAnsi="Tahoma" w:cs="Tahoma"/>
          <w:sz w:val="22"/>
          <w:szCs w:val="22"/>
        </w:rPr>
        <w:t xml:space="preserve"> </w:t>
      </w:r>
      <w:r w:rsidRPr="00F15C37">
        <w:rPr>
          <w:rFonts w:ascii="Tahoma" w:hAnsi="Tahoma" w:cs="Tahoma"/>
          <w:sz w:val="22"/>
          <w:szCs w:val="22"/>
        </w:rPr>
        <w:t xml:space="preserve">precificados na CARTEIRA do FUNDO segundo as regras e procedimentos estabelecidos no Manual de Marcação a Mercado adotado para o FUNDO. </w:t>
      </w:r>
    </w:p>
    <w:p w14:paraId="6DA223F0" w14:textId="77777777" w:rsidR="00F15C37" w:rsidRPr="00F15C37" w:rsidRDefault="00F15C37" w:rsidP="00F15C37">
      <w:pPr>
        <w:jc w:val="both"/>
        <w:rPr>
          <w:rFonts w:ascii="Tahoma" w:hAnsi="Tahoma" w:cs="Tahoma"/>
          <w:sz w:val="22"/>
          <w:szCs w:val="22"/>
          <w:highlight w:val="lightGray"/>
        </w:rPr>
      </w:pPr>
    </w:p>
    <w:p w14:paraId="0049AB3F"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7.9.2. Na integralização e no resgate de cotas com ativos financeiros</w:t>
      </w:r>
      <w:r w:rsidRPr="00F15C37" w:rsidDel="00514A71">
        <w:rPr>
          <w:rFonts w:ascii="Tahoma" w:hAnsi="Tahoma" w:cs="Tahoma"/>
          <w:sz w:val="22"/>
          <w:szCs w:val="22"/>
        </w:rPr>
        <w:t xml:space="preserve"> </w:t>
      </w:r>
      <w:r w:rsidRPr="00F15C37">
        <w:rPr>
          <w:rFonts w:ascii="Tahoma" w:hAnsi="Tahoma" w:cs="Tahoma"/>
          <w:sz w:val="22"/>
          <w:szCs w:val="22"/>
        </w:rPr>
        <w:t>deverão ser observadas as correspondentes obrigações fiscais relacionadas a tais eventos, estando, ADMINISTRADOR e os Cotistas, cientes, cada qual, de suas respectivas responsabilidades.</w:t>
      </w:r>
    </w:p>
    <w:p w14:paraId="253B4982" w14:textId="77777777" w:rsidR="00F15C37" w:rsidRPr="00F15C37" w:rsidRDefault="00F15C37" w:rsidP="00F15C37">
      <w:pPr>
        <w:jc w:val="both"/>
        <w:rPr>
          <w:rFonts w:ascii="Tahoma" w:hAnsi="Tahoma" w:cs="Tahoma"/>
          <w:sz w:val="22"/>
          <w:szCs w:val="22"/>
        </w:rPr>
      </w:pPr>
    </w:p>
    <w:p w14:paraId="6E7FCDDA"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7.10. Na emissão e no resgate de cotas do FUNDO deverá ser observado o disposto no quadro abaixo:</w:t>
      </w:r>
    </w:p>
    <w:p w14:paraId="38091351" w14:textId="77777777" w:rsidR="00F15C37" w:rsidRPr="00F15C37" w:rsidRDefault="00F15C37" w:rsidP="00F15C37">
      <w:pPr>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443"/>
        <w:gridCol w:w="4934"/>
      </w:tblGrid>
      <w:tr w:rsidR="00F15C37" w:rsidRPr="00F15C37" w14:paraId="793C900A" w14:textId="77777777" w:rsidTr="00551EC5">
        <w:trPr>
          <w:trHeight w:val="20"/>
          <w:jc w:val="center"/>
        </w:trPr>
        <w:tc>
          <w:tcPr>
            <w:tcW w:w="0" w:type="auto"/>
            <w:vMerge w:val="restart"/>
            <w:vAlign w:val="center"/>
          </w:tcPr>
          <w:p w14:paraId="4F36CC4A"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Aplicação</w:t>
            </w:r>
          </w:p>
        </w:tc>
        <w:tc>
          <w:tcPr>
            <w:tcW w:w="0" w:type="auto"/>
            <w:shd w:val="clear" w:color="auto" w:fill="606060"/>
            <w:vAlign w:val="center"/>
          </w:tcPr>
          <w:p w14:paraId="0447FFC3" w14:textId="77777777" w:rsidR="00F15C37" w:rsidRPr="00F15C37" w:rsidRDefault="00F15C37" w:rsidP="00F15C37">
            <w:pPr>
              <w:jc w:val="center"/>
              <w:rPr>
                <w:rFonts w:ascii="Tahoma" w:hAnsi="Tahoma" w:cs="Tahoma"/>
                <w:b/>
                <w:color w:val="FFFFFF"/>
                <w:sz w:val="22"/>
                <w:szCs w:val="22"/>
              </w:rPr>
            </w:pPr>
            <w:r w:rsidRPr="00F15C37">
              <w:rPr>
                <w:rFonts w:ascii="Tahoma" w:hAnsi="Tahoma" w:cs="Tahoma"/>
                <w:b/>
                <w:color w:val="FFFFFF"/>
                <w:sz w:val="22"/>
                <w:szCs w:val="22"/>
              </w:rPr>
              <w:t>Disponibilidade dos Recursos</w:t>
            </w:r>
          </w:p>
        </w:tc>
        <w:tc>
          <w:tcPr>
            <w:tcW w:w="0" w:type="auto"/>
            <w:shd w:val="clear" w:color="auto" w:fill="606060"/>
            <w:vAlign w:val="center"/>
          </w:tcPr>
          <w:p w14:paraId="592B9D40" w14:textId="77777777" w:rsidR="00F15C37" w:rsidRPr="00F15C37" w:rsidRDefault="00F15C37" w:rsidP="00F15C37">
            <w:pPr>
              <w:jc w:val="center"/>
              <w:rPr>
                <w:rFonts w:ascii="Tahoma" w:hAnsi="Tahoma" w:cs="Tahoma"/>
                <w:b/>
                <w:color w:val="FFFFFF"/>
                <w:sz w:val="22"/>
                <w:szCs w:val="22"/>
              </w:rPr>
            </w:pPr>
            <w:r w:rsidRPr="00F15C37">
              <w:rPr>
                <w:rFonts w:ascii="Tahoma" w:hAnsi="Tahoma" w:cs="Tahoma"/>
                <w:b/>
                <w:color w:val="FFFFFF"/>
                <w:sz w:val="22"/>
                <w:szCs w:val="22"/>
              </w:rPr>
              <w:t>Cota de conversão</w:t>
            </w:r>
          </w:p>
        </w:tc>
      </w:tr>
      <w:tr w:rsidR="00F15C37" w:rsidRPr="00F15C37" w14:paraId="29D11CC5" w14:textId="77777777" w:rsidTr="00551EC5">
        <w:trPr>
          <w:trHeight w:val="20"/>
          <w:jc w:val="center"/>
        </w:trPr>
        <w:tc>
          <w:tcPr>
            <w:tcW w:w="0" w:type="auto"/>
            <w:vMerge/>
            <w:vAlign w:val="center"/>
          </w:tcPr>
          <w:p w14:paraId="236ED023" w14:textId="77777777" w:rsidR="00F15C37" w:rsidRPr="00F15C37" w:rsidRDefault="00F15C37" w:rsidP="00F15C37">
            <w:pPr>
              <w:jc w:val="center"/>
              <w:rPr>
                <w:rFonts w:ascii="Tahoma" w:hAnsi="Tahoma" w:cs="Tahoma"/>
                <w:sz w:val="22"/>
                <w:szCs w:val="22"/>
              </w:rPr>
            </w:pPr>
          </w:p>
        </w:tc>
        <w:tc>
          <w:tcPr>
            <w:tcW w:w="0" w:type="auto"/>
            <w:vAlign w:val="center"/>
          </w:tcPr>
          <w:p w14:paraId="6D3395F8"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D+0</w:t>
            </w:r>
          </w:p>
          <w:p w14:paraId="6F0D4154"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No dia da solicitação</w:t>
            </w:r>
          </w:p>
        </w:tc>
        <w:tc>
          <w:tcPr>
            <w:tcW w:w="0" w:type="auto"/>
            <w:vAlign w:val="center"/>
          </w:tcPr>
          <w:p w14:paraId="6A9025A1"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D+0</w:t>
            </w:r>
          </w:p>
          <w:p w14:paraId="370083E8"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 xml:space="preserve">No dia da solicitação </w:t>
            </w:r>
          </w:p>
        </w:tc>
      </w:tr>
      <w:tr w:rsidR="00F15C37" w:rsidRPr="00F15C37" w14:paraId="21AEBB16" w14:textId="77777777" w:rsidTr="00551EC5">
        <w:trPr>
          <w:trHeight w:val="20"/>
          <w:jc w:val="center"/>
        </w:trPr>
        <w:tc>
          <w:tcPr>
            <w:tcW w:w="0" w:type="auto"/>
            <w:vMerge w:val="restart"/>
            <w:vAlign w:val="center"/>
          </w:tcPr>
          <w:p w14:paraId="564981F7"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Resgate</w:t>
            </w:r>
          </w:p>
        </w:tc>
        <w:tc>
          <w:tcPr>
            <w:tcW w:w="0" w:type="auto"/>
            <w:shd w:val="clear" w:color="auto" w:fill="606060"/>
            <w:vAlign w:val="center"/>
          </w:tcPr>
          <w:p w14:paraId="5D0BB6BF" w14:textId="77777777" w:rsidR="00F15C37" w:rsidRPr="00F15C37" w:rsidRDefault="00F15C37" w:rsidP="00F15C37">
            <w:pPr>
              <w:jc w:val="center"/>
              <w:rPr>
                <w:rFonts w:ascii="Tahoma" w:hAnsi="Tahoma" w:cs="Tahoma"/>
                <w:b/>
                <w:color w:val="FFFFFF"/>
                <w:sz w:val="22"/>
                <w:szCs w:val="22"/>
              </w:rPr>
            </w:pPr>
            <w:r w:rsidRPr="00F15C37">
              <w:rPr>
                <w:rFonts w:ascii="Tahoma" w:hAnsi="Tahoma" w:cs="Tahoma"/>
                <w:b/>
                <w:color w:val="FFFFFF"/>
                <w:sz w:val="22"/>
                <w:szCs w:val="22"/>
              </w:rPr>
              <w:t>Cota de Conversão</w:t>
            </w:r>
          </w:p>
        </w:tc>
        <w:tc>
          <w:tcPr>
            <w:tcW w:w="0" w:type="auto"/>
            <w:shd w:val="clear" w:color="auto" w:fill="606060"/>
            <w:vAlign w:val="center"/>
          </w:tcPr>
          <w:p w14:paraId="256EAB4F" w14:textId="77777777" w:rsidR="00F15C37" w:rsidRPr="00F15C37" w:rsidRDefault="00F15C37" w:rsidP="00F15C37">
            <w:pPr>
              <w:jc w:val="center"/>
              <w:rPr>
                <w:rFonts w:ascii="Tahoma" w:hAnsi="Tahoma" w:cs="Tahoma"/>
                <w:b/>
                <w:color w:val="FFFFFF"/>
                <w:sz w:val="22"/>
                <w:szCs w:val="22"/>
              </w:rPr>
            </w:pPr>
            <w:r w:rsidRPr="00F15C37">
              <w:rPr>
                <w:rFonts w:ascii="Tahoma" w:hAnsi="Tahoma" w:cs="Tahoma"/>
                <w:b/>
                <w:color w:val="FFFFFF"/>
                <w:sz w:val="22"/>
                <w:szCs w:val="22"/>
              </w:rPr>
              <w:t>Pagamento / Crédito em Conta</w:t>
            </w:r>
          </w:p>
        </w:tc>
      </w:tr>
      <w:tr w:rsidR="00F15C37" w:rsidRPr="00F15C37" w14:paraId="0816828F" w14:textId="77777777" w:rsidTr="00551EC5">
        <w:trPr>
          <w:trHeight w:val="20"/>
          <w:jc w:val="center"/>
        </w:trPr>
        <w:tc>
          <w:tcPr>
            <w:tcW w:w="0" w:type="auto"/>
            <w:vMerge/>
            <w:vAlign w:val="center"/>
          </w:tcPr>
          <w:p w14:paraId="474BF61C" w14:textId="77777777" w:rsidR="00F15C37" w:rsidRPr="00F15C37" w:rsidRDefault="00F15C37" w:rsidP="00F15C37">
            <w:pPr>
              <w:jc w:val="center"/>
              <w:rPr>
                <w:rFonts w:ascii="Tahoma" w:hAnsi="Tahoma" w:cs="Tahoma"/>
                <w:sz w:val="22"/>
                <w:szCs w:val="22"/>
              </w:rPr>
            </w:pPr>
          </w:p>
        </w:tc>
        <w:tc>
          <w:tcPr>
            <w:tcW w:w="0" w:type="auto"/>
            <w:vAlign w:val="center"/>
          </w:tcPr>
          <w:p w14:paraId="482D7613"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D+0</w:t>
            </w:r>
          </w:p>
          <w:p w14:paraId="131791F1"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No dia da solicitação</w:t>
            </w:r>
          </w:p>
        </w:tc>
        <w:tc>
          <w:tcPr>
            <w:tcW w:w="0" w:type="auto"/>
            <w:vAlign w:val="center"/>
          </w:tcPr>
          <w:p w14:paraId="0A4698A1"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D+2</w:t>
            </w:r>
          </w:p>
          <w:p w14:paraId="515A164E" w14:textId="77777777" w:rsidR="00F15C37" w:rsidRPr="00F15C37" w:rsidRDefault="00F15C37" w:rsidP="00F15C37">
            <w:pPr>
              <w:jc w:val="center"/>
              <w:rPr>
                <w:rFonts w:ascii="Tahoma" w:hAnsi="Tahoma" w:cs="Tahoma"/>
                <w:sz w:val="22"/>
                <w:szCs w:val="22"/>
              </w:rPr>
            </w:pPr>
            <w:r w:rsidRPr="00F15C37">
              <w:rPr>
                <w:rFonts w:ascii="Tahoma" w:hAnsi="Tahoma" w:cs="Tahoma"/>
                <w:sz w:val="22"/>
                <w:szCs w:val="22"/>
              </w:rPr>
              <w:t>No 2º dia útil seguinte ao da conversão de cotas</w:t>
            </w:r>
            <w:r w:rsidRPr="00F15C37" w:rsidDel="00805EAE">
              <w:rPr>
                <w:rFonts w:ascii="Tahoma" w:hAnsi="Tahoma" w:cs="Tahoma"/>
                <w:sz w:val="22"/>
                <w:szCs w:val="22"/>
              </w:rPr>
              <w:t xml:space="preserve"> </w:t>
            </w:r>
          </w:p>
        </w:tc>
      </w:tr>
    </w:tbl>
    <w:p w14:paraId="629B61B8" w14:textId="77777777" w:rsidR="00F15C37" w:rsidRPr="00F15C37" w:rsidRDefault="00F15C37" w:rsidP="00F15C37">
      <w:pPr>
        <w:jc w:val="both"/>
        <w:rPr>
          <w:rFonts w:ascii="Tahoma" w:hAnsi="Tahoma" w:cs="Tahoma"/>
          <w:sz w:val="22"/>
          <w:szCs w:val="22"/>
        </w:rPr>
      </w:pPr>
    </w:p>
    <w:p w14:paraId="7E00AB67"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7ABC8D45" w14:textId="77777777" w:rsidR="00F15C37" w:rsidRPr="00F15C37" w:rsidRDefault="00F15C37" w:rsidP="00F15C37">
      <w:pPr>
        <w:jc w:val="both"/>
        <w:rPr>
          <w:rFonts w:ascii="Tahoma" w:hAnsi="Tahoma" w:cs="Tahoma"/>
          <w:sz w:val="22"/>
          <w:szCs w:val="22"/>
        </w:rPr>
      </w:pPr>
    </w:p>
    <w:p w14:paraId="2E847DD6"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F15C37">
        <w:rPr>
          <w:rFonts w:ascii="Tahoma" w:hAnsi="Tahoma" w:cs="Tahoma"/>
          <w:sz w:val="22"/>
          <w:szCs w:val="22"/>
          <w:vertAlign w:val="superscript"/>
        </w:rPr>
        <w:t xml:space="preserve"> </w:t>
      </w:r>
    </w:p>
    <w:p w14:paraId="2BDC58A1" w14:textId="77777777" w:rsidR="00F15C37" w:rsidRPr="00F15C37" w:rsidRDefault="00F15C37" w:rsidP="00F15C37">
      <w:pPr>
        <w:jc w:val="both"/>
        <w:rPr>
          <w:rFonts w:ascii="Tahoma" w:hAnsi="Tahoma" w:cs="Tahoma"/>
          <w:sz w:val="22"/>
          <w:szCs w:val="22"/>
        </w:rPr>
      </w:pPr>
    </w:p>
    <w:p w14:paraId="3F40E2D1" w14:textId="77777777" w:rsidR="00F15C37" w:rsidRPr="00F15C37" w:rsidRDefault="00F15C37" w:rsidP="00F15C37">
      <w:pPr>
        <w:jc w:val="both"/>
        <w:rPr>
          <w:rFonts w:ascii="Tahoma" w:hAnsi="Tahoma" w:cs="Tahoma"/>
          <w:color w:val="000000"/>
          <w:sz w:val="22"/>
          <w:szCs w:val="22"/>
        </w:rPr>
      </w:pPr>
      <w:r w:rsidRPr="00F15C37">
        <w:rPr>
          <w:rFonts w:ascii="Tahoma" w:hAnsi="Tahoma" w:cs="Tahoma"/>
          <w:sz w:val="22"/>
          <w:szCs w:val="22"/>
        </w:rPr>
        <w:t>7.12. Não há prazo de carência para resgate de cotas do FUNDO, podendo as cotas do FUNDO ser resgatadas com rendimento a qualquer momento.</w:t>
      </w:r>
    </w:p>
    <w:p w14:paraId="374A4CF5" w14:textId="77777777" w:rsidR="00F15C37" w:rsidRPr="00F15C37" w:rsidRDefault="00F15C37" w:rsidP="00F15C37">
      <w:pPr>
        <w:jc w:val="both"/>
        <w:rPr>
          <w:rFonts w:ascii="Tahoma" w:hAnsi="Tahoma" w:cs="Tahoma"/>
          <w:sz w:val="22"/>
          <w:szCs w:val="22"/>
        </w:rPr>
      </w:pPr>
    </w:p>
    <w:p w14:paraId="38773576" w14:textId="77777777" w:rsidR="00F15C37" w:rsidRPr="00F15C37" w:rsidRDefault="00F15C37" w:rsidP="00F15C37">
      <w:pPr>
        <w:jc w:val="both"/>
        <w:rPr>
          <w:rFonts w:ascii="Tahoma" w:hAnsi="Tahoma" w:cs="Tahoma"/>
          <w:sz w:val="22"/>
          <w:szCs w:val="22"/>
          <w:lang w:eastAsia="en-US"/>
        </w:rPr>
      </w:pPr>
      <w:r w:rsidRPr="00F15C37">
        <w:rPr>
          <w:rFonts w:ascii="Tahoma" w:hAnsi="Tahoma" w:cs="Tahoma"/>
          <w:sz w:val="22"/>
          <w:szCs w:val="22"/>
          <w:lang w:eastAsia="en-US"/>
        </w:rPr>
        <w:t xml:space="preserve">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w:t>
      </w:r>
      <w:r w:rsidRPr="00F15C37">
        <w:rPr>
          <w:rFonts w:ascii="Tahoma" w:hAnsi="Tahoma" w:cs="Tahoma"/>
          <w:sz w:val="22"/>
          <w:szCs w:val="22"/>
        </w:rPr>
        <w:t xml:space="preserve">ADMINISTRADOR </w:t>
      </w:r>
      <w:r w:rsidRPr="00F15C37">
        <w:rPr>
          <w:rFonts w:ascii="Tahoma" w:hAnsi="Tahoma" w:cs="Tahoma"/>
          <w:sz w:val="22"/>
          <w:szCs w:val="22"/>
          <w:lang w:eastAsia="en-US"/>
        </w:rPr>
        <w:t>estiver sediado.</w:t>
      </w:r>
    </w:p>
    <w:p w14:paraId="504ABD44" w14:textId="77777777" w:rsidR="00F15C37" w:rsidRPr="00F15C37" w:rsidRDefault="00F15C37" w:rsidP="00F15C37">
      <w:pPr>
        <w:jc w:val="both"/>
        <w:rPr>
          <w:rFonts w:ascii="Tahoma" w:hAnsi="Tahoma" w:cs="Tahoma"/>
          <w:sz w:val="22"/>
          <w:szCs w:val="22"/>
          <w:lang w:eastAsia="en-US"/>
        </w:rPr>
      </w:pPr>
    </w:p>
    <w:p w14:paraId="5E4BCBE4" w14:textId="77777777" w:rsidR="00F15C37" w:rsidRPr="00F15C37" w:rsidRDefault="00F15C37" w:rsidP="00F15C37">
      <w:pPr>
        <w:jc w:val="both"/>
        <w:rPr>
          <w:rFonts w:ascii="Tahoma" w:hAnsi="Tahoma" w:cs="Tahoma"/>
          <w:sz w:val="22"/>
          <w:szCs w:val="22"/>
          <w:lang w:eastAsia="en-US"/>
        </w:rPr>
      </w:pPr>
      <w:r w:rsidRPr="00F15C37">
        <w:rPr>
          <w:rFonts w:ascii="Tahoma" w:hAnsi="Tahoma" w:cs="Tahoma"/>
          <w:sz w:val="22"/>
          <w:szCs w:val="22"/>
          <w:lang w:eastAsia="en-US"/>
        </w:rPr>
        <w:t xml:space="preserve">7.13.1. O FUNDO poderá, de acordo com o funcionamento de entidades administradoras de mercado organizado, adotar condições diferenciadas para solicitação de aplicação e resgate, conversão de cotas e pagamento de resgates, devendo o </w:t>
      </w:r>
      <w:r w:rsidRPr="00F15C37">
        <w:rPr>
          <w:rFonts w:ascii="Tahoma" w:hAnsi="Tahoma" w:cs="Tahoma"/>
          <w:sz w:val="22"/>
          <w:szCs w:val="22"/>
        </w:rPr>
        <w:t xml:space="preserve">ADMINISTRADOR </w:t>
      </w:r>
      <w:r w:rsidRPr="00F15C37">
        <w:rPr>
          <w:rFonts w:ascii="Tahoma" w:hAnsi="Tahoma" w:cs="Tahoma"/>
          <w:sz w:val="22"/>
          <w:szCs w:val="22"/>
          <w:lang w:eastAsia="en-US"/>
        </w:rPr>
        <w:t xml:space="preserve">disponibilizar previamente as condições a serem aplicáveis no site do distribuidor e/ou do </w:t>
      </w:r>
      <w:r w:rsidRPr="00F15C37">
        <w:rPr>
          <w:rFonts w:ascii="Tahoma" w:hAnsi="Tahoma" w:cs="Tahoma"/>
          <w:sz w:val="22"/>
          <w:szCs w:val="22"/>
        </w:rPr>
        <w:t>GESTOR</w:t>
      </w:r>
      <w:r w:rsidRPr="00F15C37">
        <w:rPr>
          <w:rFonts w:ascii="Tahoma" w:hAnsi="Tahoma" w:cs="Tahoma"/>
          <w:sz w:val="22"/>
          <w:szCs w:val="22"/>
          <w:lang w:eastAsia="en-US"/>
        </w:rPr>
        <w:t xml:space="preserve"> do FUNDO.</w:t>
      </w:r>
    </w:p>
    <w:p w14:paraId="1CD9E324" w14:textId="77777777" w:rsidR="00F15C37" w:rsidRPr="00F15C37" w:rsidRDefault="00F15C37" w:rsidP="00F15C37">
      <w:pPr>
        <w:jc w:val="both"/>
        <w:rPr>
          <w:rFonts w:ascii="Tahoma" w:hAnsi="Tahoma" w:cs="Tahoma"/>
          <w:sz w:val="22"/>
          <w:szCs w:val="22"/>
        </w:rPr>
      </w:pPr>
    </w:p>
    <w:p w14:paraId="6DEB9279"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OITAVA – DA DISTRIBUIÇÃO DE RESULTADOS</w:t>
      </w:r>
    </w:p>
    <w:p w14:paraId="015F2738" w14:textId="77777777" w:rsidR="00F15C37" w:rsidRPr="00F15C37" w:rsidRDefault="00F15C37" w:rsidP="00F15C37">
      <w:pPr>
        <w:jc w:val="both"/>
        <w:rPr>
          <w:rFonts w:ascii="Tahoma" w:hAnsi="Tahoma" w:cs="Tahoma"/>
          <w:sz w:val="22"/>
          <w:szCs w:val="22"/>
        </w:rPr>
      </w:pPr>
    </w:p>
    <w:p w14:paraId="3A703B2D"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8.1. Os resultados oriundos dos ativos financeiros</w:t>
      </w:r>
      <w:r w:rsidRPr="00F15C37" w:rsidDel="00514A71">
        <w:rPr>
          <w:rFonts w:ascii="Tahoma" w:hAnsi="Tahoma" w:cs="Tahoma"/>
          <w:sz w:val="22"/>
          <w:szCs w:val="22"/>
        </w:rPr>
        <w:t xml:space="preserve"> </w:t>
      </w:r>
      <w:r w:rsidRPr="00F15C37">
        <w:rPr>
          <w:rFonts w:ascii="Tahoma" w:hAnsi="Tahoma" w:cs="Tahoma"/>
          <w:sz w:val="22"/>
          <w:szCs w:val="22"/>
        </w:rPr>
        <w:t>integrantes da CARTEIRA do FUNDO serão incorporados ao seu patrimônio.</w:t>
      </w:r>
    </w:p>
    <w:p w14:paraId="7E9B1126" w14:textId="77777777" w:rsidR="00F15C37" w:rsidRPr="00F15C37" w:rsidRDefault="00F15C37" w:rsidP="00F15C37">
      <w:pPr>
        <w:jc w:val="both"/>
        <w:rPr>
          <w:rFonts w:ascii="Tahoma" w:hAnsi="Tahoma" w:cs="Tahoma"/>
          <w:sz w:val="22"/>
          <w:szCs w:val="22"/>
        </w:rPr>
      </w:pPr>
    </w:p>
    <w:p w14:paraId="1DEDE860"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NONA– DO EXERCÍCIO SOCIAL</w:t>
      </w:r>
    </w:p>
    <w:p w14:paraId="4AF8713B" w14:textId="77777777" w:rsidR="00F15C37" w:rsidRPr="00F15C37" w:rsidRDefault="00F15C37" w:rsidP="00F15C37">
      <w:pPr>
        <w:jc w:val="both"/>
        <w:rPr>
          <w:rFonts w:ascii="Tahoma" w:hAnsi="Tahoma" w:cs="Tahoma"/>
          <w:sz w:val="22"/>
          <w:szCs w:val="22"/>
        </w:rPr>
      </w:pPr>
    </w:p>
    <w:p w14:paraId="381CD3C7"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9.1. O exercício social do FUNDO terá início em 1º de maio de cada ano e término </w:t>
      </w:r>
      <w:r w:rsidRPr="00F15C37">
        <w:rPr>
          <w:rFonts w:ascii="Tahoma" w:hAnsi="Tahoma" w:cs="Tahoma"/>
          <w:color w:val="000000"/>
          <w:sz w:val="22"/>
          <w:szCs w:val="22"/>
        </w:rPr>
        <w:t xml:space="preserve">no último dia do mês de abril </w:t>
      </w:r>
      <w:r w:rsidRPr="00F15C37">
        <w:rPr>
          <w:rFonts w:ascii="Tahoma" w:hAnsi="Tahoma" w:cs="Tahoma"/>
          <w:sz w:val="22"/>
          <w:szCs w:val="22"/>
        </w:rPr>
        <w:t>do ano subsequente.</w:t>
      </w:r>
    </w:p>
    <w:p w14:paraId="44F54FFC" w14:textId="77777777" w:rsidR="00F15C37" w:rsidRPr="00F15C37" w:rsidRDefault="00F15C37" w:rsidP="00F15C37">
      <w:pPr>
        <w:pBdr>
          <w:bottom w:val="single" w:sz="6" w:space="1" w:color="auto"/>
        </w:pBdr>
        <w:jc w:val="center"/>
        <w:rPr>
          <w:rFonts w:ascii="Tahoma" w:hAnsi="Tahoma" w:cs="Tahoma"/>
          <w:b/>
          <w:sz w:val="22"/>
          <w:szCs w:val="22"/>
        </w:rPr>
      </w:pPr>
    </w:p>
    <w:p w14:paraId="120A5675"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DEZ – DA ASSEMBLEIA GERAL</w:t>
      </w:r>
    </w:p>
    <w:p w14:paraId="31A38D2A" w14:textId="77777777" w:rsidR="00F15C37" w:rsidRPr="00F15C37" w:rsidRDefault="00F15C37" w:rsidP="00F15C37">
      <w:pPr>
        <w:jc w:val="both"/>
        <w:rPr>
          <w:rFonts w:ascii="Tahoma" w:hAnsi="Tahoma" w:cs="Tahoma"/>
          <w:sz w:val="22"/>
          <w:szCs w:val="22"/>
        </w:rPr>
      </w:pPr>
    </w:p>
    <w:p w14:paraId="6A6B42BF"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10.1.</w:t>
      </w:r>
      <w:r w:rsidRPr="00F15C37">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2FEC85F6" w14:textId="77777777" w:rsidR="00F15C37" w:rsidRPr="00F15C37" w:rsidRDefault="00F15C37" w:rsidP="00F15C37">
      <w:pPr>
        <w:jc w:val="both"/>
        <w:rPr>
          <w:rFonts w:ascii="Tahoma" w:hAnsi="Tahoma" w:cs="Tahoma"/>
          <w:sz w:val="22"/>
          <w:szCs w:val="22"/>
        </w:rPr>
      </w:pPr>
    </w:p>
    <w:p w14:paraId="1FDBE96A"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10.2.</w:t>
      </w:r>
      <w:r w:rsidRPr="00F15C37">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52964014" w14:textId="77777777" w:rsidR="00F15C37" w:rsidRPr="00F15C37" w:rsidRDefault="00F15C37" w:rsidP="00F15C37">
      <w:pPr>
        <w:jc w:val="both"/>
        <w:rPr>
          <w:rFonts w:ascii="Tahoma" w:hAnsi="Tahoma" w:cs="Tahoma"/>
          <w:sz w:val="22"/>
          <w:szCs w:val="22"/>
        </w:rPr>
      </w:pPr>
    </w:p>
    <w:p w14:paraId="69251E6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10.3.</w:t>
      </w:r>
      <w:r w:rsidRPr="00F15C37">
        <w:rPr>
          <w:rFonts w:ascii="Tahoma" w:hAnsi="Tahoma" w:cs="Tahoma"/>
          <w:sz w:val="22"/>
          <w:szCs w:val="22"/>
        </w:rPr>
        <w:tab/>
        <w:t>Das convocações constarão, obrigatoriamente, dia, hora e local em que será realizada a assembleia e, ainda, todas as matérias a serem deliberadas.</w:t>
      </w:r>
    </w:p>
    <w:p w14:paraId="500D094C" w14:textId="77777777" w:rsidR="00F15C37" w:rsidRPr="00F15C37" w:rsidRDefault="00F15C37" w:rsidP="00F15C37">
      <w:pPr>
        <w:widowControl w:val="0"/>
        <w:jc w:val="both"/>
        <w:rPr>
          <w:rFonts w:ascii="Tahoma" w:hAnsi="Tahoma" w:cs="Tahoma"/>
          <w:sz w:val="22"/>
          <w:szCs w:val="22"/>
        </w:rPr>
      </w:pPr>
    </w:p>
    <w:p w14:paraId="1F2A9050"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10.4.</w:t>
      </w:r>
      <w:r w:rsidRPr="00F15C37">
        <w:rPr>
          <w:rFonts w:ascii="Tahoma" w:hAnsi="Tahoma" w:cs="Tahoma"/>
          <w:sz w:val="22"/>
          <w:szCs w:val="22"/>
        </w:rPr>
        <w:tab/>
        <w:t xml:space="preserve">A assembleia geral poderá ser convocada pelo ADMINISTRADOR, pelo GESTOR, pelo CUSTODIANTE ou </w:t>
      </w:r>
      <w:proofErr w:type="gramStart"/>
      <w:r w:rsidRPr="00F15C37">
        <w:rPr>
          <w:rFonts w:ascii="Tahoma" w:hAnsi="Tahoma" w:cs="Tahoma"/>
          <w:sz w:val="22"/>
          <w:szCs w:val="22"/>
        </w:rPr>
        <w:t>por Cotistas</w:t>
      </w:r>
      <w:proofErr w:type="gramEnd"/>
      <w:r w:rsidRPr="00F15C37">
        <w:rPr>
          <w:rFonts w:ascii="Tahoma" w:hAnsi="Tahoma" w:cs="Tahoma"/>
          <w:sz w:val="22"/>
          <w:szCs w:val="22"/>
        </w:rPr>
        <w:t xml:space="preserve"> que detenham, no mínimo, 5% do total das cotas emitidas pelo FUNDO e poderá ser instalada com qualquer número de Cotistas, cabendo a cada cota um voto. </w:t>
      </w:r>
    </w:p>
    <w:p w14:paraId="3EEF0F86" w14:textId="77777777" w:rsidR="00F15C37" w:rsidRPr="00F15C37" w:rsidRDefault="00F15C37" w:rsidP="00F15C37">
      <w:pPr>
        <w:jc w:val="both"/>
        <w:rPr>
          <w:rFonts w:ascii="Tahoma" w:hAnsi="Tahoma" w:cs="Tahoma"/>
          <w:sz w:val="22"/>
          <w:szCs w:val="22"/>
        </w:rPr>
      </w:pPr>
    </w:p>
    <w:p w14:paraId="743365F0"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10.5.</w:t>
      </w:r>
      <w:r w:rsidRPr="00F15C37">
        <w:rPr>
          <w:rFonts w:ascii="Tahoma" w:hAnsi="Tahoma" w:cs="Tahoma"/>
          <w:sz w:val="22"/>
          <w:szCs w:val="22"/>
        </w:rPr>
        <w:tab/>
        <w:t xml:space="preserve">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w:t>
      </w:r>
      <w:proofErr w:type="gramStart"/>
      <w:r w:rsidRPr="00F15C37">
        <w:rPr>
          <w:rFonts w:ascii="Tahoma" w:hAnsi="Tahoma" w:cs="Tahoma"/>
          <w:sz w:val="22"/>
          <w:szCs w:val="22"/>
        </w:rPr>
        <w:t>de Cotistas</w:t>
      </w:r>
      <w:proofErr w:type="gramEnd"/>
      <w:r w:rsidRPr="00F15C37">
        <w:rPr>
          <w:rFonts w:ascii="Tahoma" w:hAnsi="Tahoma" w:cs="Tahoma"/>
          <w:sz w:val="22"/>
          <w:szCs w:val="22"/>
        </w:rPr>
        <w:t xml:space="preserve"> representando, no mínimo, dois terços das cotas emitidas pelo FUNDO.</w:t>
      </w:r>
    </w:p>
    <w:p w14:paraId="72DA955B" w14:textId="77777777" w:rsidR="00F15C37" w:rsidRPr="00F15C37" w:rsidRDefault="00F15C37" w:rsidP="00F15C37">
      <w:pPr>
        <w:jc w:val="both"/>
        <w:rPr>
          <w:rFonts w:ascii="Tahoma" w:hAnsi="Tahoma" w:cs="Tahoma"/>
          <w:sz w:val="22"/>
          <w:szCs w:val="22"/>
        </w:rPr>
      </w:pPr>
    </w:p>
    <w:p w14:paraId="46A0B6E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10.6.</w:t>
      </w:r>
      <w:r w:rsidRPr="00F15C37">
        <w:rPr>
          <w:rFonts w:ascii="Tahoma" w:hAnsi="Tahoma" w:cs="Tahoma"/>
          <w:sz w:val="22"/>
          <w:szCs w:val="22"/>
        </w:rPr>
        <w:tab/>
        <w:t>Estarão aptos para votar na assembleia geral os Cotistas do FUNDO</w:t>
      </w:r>
      <w:r w:rsidRPr="00F15C37" w:rsidDel="00111FDC">
        <w:rPr>
          <w:rFonts w:ascii="Tahoma" w:hAnsi="Tahoma" w:cs="Tahoma"/>
          <w:sz w:val="22"/>
          <w:szCs w:val="22"/>
        </w:rPr>
        <w:t xml:space="preserve"> </w:t>
      </w:r>
      <w:r w:rsidRPr="00F15C37">
        <w:rPr>
          <w:rFonts w:ascii="Tahoma" w:hAnsi="Tahoma" w:cs="Tahoma"/>
          <w:sz w:val="22"/>
          <w:szCs w:val="22"/>
        </w:rPr>
        <w:t xml:space="preserve">inscritos no registro </w:t>
      </w:r>
      <w:proofErr w:type="gramStart"/>
      <w:r w:rsidRPr="00F15C37">
        <w:rPr>
          <w:rFonts w:ascii="Tahoma" w:hAnsi="Tahoma" w:cs="Tahoma"/>
          <w:sz w:val="22"/>
          <w:szCs w:val="22"/>
        </w:rPr>
        <w:t>de Cotistas</w:t>
      </w:r>
      <w:proofErr w:type="gramEnd"/>
      <w:r w:rsidRPr="00F15C37">
        <w:rPr>
          <w:rFonts w:ascii="Tahoma" w:hAnsi="Tahoma" w:cs="Tahoma"/>
          <w:sz w:val="22"/>
          <w:szCs w:val="22"/>
        </w:rPr>
        <w:t xml:space="preserve"> na data da convocação da Assembleia Geral, seus representantes legais ou procuradores legalmente constituídos há menos de 1 ano.</w:t>
      </w:r>
    </w:p>
    <w:p w14:paraId="1E96671C" w14:textId="77777777" w:rsidR="00F15C37" w:rsidRPr="00F15C37" w:rsidRDefault="00F15C37" w:rsidP="00F15C37">
      <w:pPr>
        <w:jc w:val="both"/>
        <w:rPr>
          <w:rFonts w:ascii="Tahoma" w:hAnsi="Tahoma" w:cs="Tahoma"/>
          <w:sz w:val="22"/>
          <w:szCs w:val="22"/>
        </w:rPr>
      </w:pPr>
    </w:p>
    <w:p w14:paraId="0AFE5BD1"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10.7.</w:t>
      </w:r>
      <w:r w:rsidRPr="00F15C37">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5B150EB5" w14:textId="77777777" w:rsidR="00F15C37" w:rsidRPr="00F15C37" w:rsidRDefault="00F15C37" w:rsidP="00F15C37">
      <w:pPr>
        <w:jc w:val="both"/>
        <w:rPr>
          <w:rFonts w:ascii="Tahoma" w:hAnsi="Tahoma" w:cs="Tahoma"/>
          <w:sz w:val="22"/>
          <w:szCs w:val="22"/>
        </w:rPr>
      </w:pPr>
    </w:p>
    <w:p w14:paraId="51E20EEB" w14:textId="77777777" w:rsidR="00F15C37" w:rsidRPr="00F15C37" w:rsidRDefault="00F15C37" w:rsidP="00F15C37">
      <w:pPr>
        <w:jc w:val="both"/>
        <w:rPr>
          <w:rFonts w:ascii="Tahoma" w:hAnsi="Tahoma" w:cs="Tahoma"/>
          <w:iCs/>
          <w:sz w:val="22"/>
          <w:szCs w:val="22"/>
        </w:rPr>
      </w:pPr>
      <w:r w:rsidRPr="00F15C37">
        <w:rPr>
          <w:rFonts w:ascii="Tahoma" w:hAnsi="Tahoma" w:cs="Tahoma"/>
          <w:sz w:val="22"/>
          <w:szCs w:val="22"/>
        </w:rPr>
        <w:t>10.8.</w:t>
      </w:r>
      <w:r w:rsidRPr="00F15C37">
        <w:rPr>
          <w:rFonts w:ascii="Tahoma" w:hAnsi="Tahoma" w:cs="Tahoma"/>
          <w:sz w:val="22"/>
          <w:szCs w:val="22"/>
        </w:rPr>
        <w:tab/>
      </w:r>
      <w:r w:rsidRPr="00F15C37">
        <w:rPr>
          <w:rFonts w:ascii="Tahoma" w:hAnsi="Tahoma" w:cs="Tahoma"/>
          <w:iCs/>
          <w:sz w:val="22"/>
          <w:szCs w:val="22"/>
        </w:rPr>
        <w:t xml:space="preserve">As deliberações da assembleia geral </w:t>
      </w:r>
      <w:r w:rsidRPr="00F15C37">
        <w:rPr>
          <w:rFonts w:ascii="Tahoma" w:hAnsi="Tahoma" w:cs="Tahoma"/>
          <w:sz w:val="22"/>
          <w:szCs w:val="22"/>
        </w:rPr>
        <w:t xml:space="preserve">poderão ser tomadas mediante processo escrito de consulta formal pelo ADMINISTRADOR, por meio físico ou eletrônico, sem a necessidade de uma reunião. </w:t>
      </w:r>
    </w:p>
    <w:p w14:paraId="68632D0D" w14:textId="77777777" w:rsidR="00F15C37" w:rsidRPr="00F15C37" w:rsidRDefault="00F15C37" w:rsidP="00F15C37">
      <w:pPr>
        <w:jc w:val="both"/>
        <w:rPr>
          <w:rFonts w:ascii="Tahoma" w:hAnsi="Tahoma" w:cs="Tahoma"/>
          <w:iCs/>
          <w:sz w:val="22"/>
          <w:szCs w:val="22"/>
        </w:rPr>
      </w:pPr>
    </w:p>
    <w:p w14:paraId="3FC44A34" w14:textId="77777777" w:rsidR="00F15C37" w:rsidRPr="00F15C37" w:rsidRDefault="00F15C37" w:rsidP="00F15C37">
      <w:pPr>
        <w:jc w:val="both"/>
        <w:rPr>
          <w:rFonts w:ascii="Tahoma" w:hAnsi="Tahoma" w:cs="Tahoma"/>
          <w:sz w:val="22"/>
          <w:szCs w:val="22"/>
        </w:rPr>
      </w:pPr>
      <w:r w:rsidRPr="00F15C37">
        <w:rPr>
          <w:rFonts w:ascii="Tahoma" w:hAnsi="Tahoma" w:cs="Tahoma"/>
          <w:iCs/>
          <w:sz w:val="22"/>
          <w:szCs w:val="22"/>
        </w:rPr>
        <w:t xml:space="preserve">10.8.1. </w:t>
      </w:r>
      <w:r w:rsidRPr="00F15C37">
        <w:rPr>
          <w:rFonts w:ascii="Tahoma" w:hAnsi="Tahoma" w:cs="Tahoma"/>
          <w:sz w:val="22"/>
          <w:szCs w:val="22"/>
        </w:rPr>
        <w:t>Da consulta formal deverão constar todas as informações necessárias para o exercício de voto dos Cotistas</w:t>
      </w:r>
      <w:r w:rsidRPr="00F15C37">
        <w:rPr>
          <w:rFonts w:ascii="Tahoma" w:hAnsi="Tahoma" w:cs="Tahoma"/>
          <w:iCs/>
          <w:sz w:val="22"/>
          <w:szCs w:val="22"/>
        </w:rPr>
        <w:t>.</w:t>
      </w:r>
    </w:p>
    <w:p w14:paraId="685F77BE" w14:textId="77777777" w:rsidR="00F15C37" w:rsidRPr="00F15C37" w:rsidRDefault="00F15C37" w:rsidP="00F15C37">
      <w:pPr>
        <w:jc w:val="both"/>
        <w:rPr>
          <w:rFonts w:ascii="Tahoma" w:hAnsi="Tahoma" w:cs="Tahoma"/>
          <w:sz w:val="22"/>
          <w:szCs w:val="22"/>
        </w:rPr>
      </w:pPr>
    </w:p>
    <w:p w14:paraId="31819F79" w14:textId="77777777" w:rsidR="00F15C37" w:rsidRPr="00F15C37" w:rsidRDefault="00F15C37" w:rsidP="00F15C37">
      <w:pPr>
        <w:jc w:val="both"/>
        <w:rPr>
          <w:rFonts w:ascii="Tahoma" w:hAnsi="Tahoma" w:cs="Tahoma"/>
          <w:iCs/>
          <w:sz w:val="22"/>
          <w:szCs w:val="22"/>
        </w:rPr>
      </w:pPr>
      <w:r w:rsidRPr="00F15C37">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54CFAA91" w14:textId="77777777" w:rsidR="00F15C37" w:rsidRPr="00F15C37" w:rsidRDefault="00F15C37" w:rsidP="00F15C37">
      <w:pPr>
        <w:jc w:val="both"/>
        <w:rPr>
          <w:rFonts w:ascii="Tahoma" w:hAnsi="Tahoma" w:cs="Tahoma"/>
          <w:iCs/>
          <w:sz w:val="22"/>
          <w:szCs w:val="22"/>
        </w:rPr>
      </w:pPr>
    </w:p>
    <w:p w14:paraId="3DCF4CB3" w14:textId="77777777" w:rsidR="00F15C37" w:rsidRPr="00F15C37" w:rsidRDefault="00F15C37" w:rsidP="00F15C37">
      <w:pPr>
        <w:jc w:val="both"/>
        <w:rPr>
          <w:rFonts w:ascii="Tahoma" w:hAnsi="Tahoma" w:cs="Tahoma"/>
          <w:sz w:val="22"/>
          <w:szCs w:val="22"/>
        </w:rPr>
      </w:pPr>
      <w:r w:rsidRPr="00F15C37">
        <w:rPr>
          <w:rFonts w:ascii="Tahoma" w:hAnsi="Tahoma" w:cs="Tahoma"/>
          <w:iCs/>
          <w:sz w:val="22"/>
          <w:szCs w:val="22"/>
        </w:rPr>
        <w:t>10.8.3.</w:t>
      </w:r>
      <w:r w:rsidRPr="00F15C37">
        <w:rPr>
          <w:rFonts w:ascii="Tahoma" w:hAnsi="Tahoma" w:cs="Tahoma"/>
          <w:sz w:val="22"/>
          <w:szCs w:val="22"/>
        </w:rPr>
        <w:t xml:space="preserve"> A Assembleia Geral de Cotistas realizada mediante consulta formal poderá ser instalada com qualquer número de Cotistas, de modo que as deliberações serão tomadas por maioria de votos enviados ao ADMINISTRADOR, cabendo a cada cota 1 voto.</w:t>
      </w:r>
    </w:p>
    <w:p w14:paraId="54BE4891" w14:textId="77777777" w:rsidR="00F15C37" w:rsidRPr="00F15C37" w:rsidRDefault="00F15C37" w:rsidP="00F15C37">
      <w:pPr>
        <w:jc w:val="both"/>
        <w:rPr>
          <w:rFonts w:ascii="Tahoma" w:hAnsi="Tahoma" w:cs="Tahoma"/>
          <w:sz w:val="22"/>
          <w:szCs w:val="22"/>
        </w:rPr>
      </w:pPr>
    </w:p>
    <w:p w14:paraId="22F2BED7"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ONZE – DA TRIBUTAÇÃO</w:t>
      </w:r>
    </w:p>
    <w:p w14:paraId="5590019D" w14:textId="77777777" w:rsidR="00F15C37" w:rsidRPr="00F15C37" w:rsidRDefault="00F15C37" w:rsidP="00F15C37">
      <w:pPr>
        <w:jc w:val="both"/>
        <w:rPr>
          <w:rFonts w:ascii="Tahoma" w:hAnsi="Tahoma" w:cs="Tahoma"/>
          <w:sz w:val="22"/>
          <w:szCs w:val="22"/>
        </w:rPr>
      </w:pPr>
    </w:p>
    <w:p w14:paraId="109AD721" w14:textId="77777777" w:rsidR="00F15C37" w:rsidRPr="00F15C37" w:rsidRDefault="00F15C37" w:rsidP="00F15C37">
      <w:pPr>
        <w:jc w:val="both"/>
        <w:rPr>
          <w:rFonts w:ascii="Tahoma" w:hAnsi="Tahoma" w:cs="Tahoma"/>
          <w:bCs/>
          <w:sz w:val="22"/>
          <w:szCs w:val="22"/>
        </w:rPr>
      </w:pPr>
      <w:bookmarkStart w:id="6" w:name="_Hlk76976958"/>
      <w:r w:rsidRPr="00F15C37">
        <w:rPr>
          <w:rFonts w:ascii="Tahoma" w:hAnsi="Tahoma" w:cs="Tahoma"/>
          <w:bCs/>
          <w:sz w:val="22"/>
          <w:szCs w:val="22"/>
        </w:rPr>
        <w:t xml:space="preserve">11.1. Os rendimentos das aplicações dos Cotistas estarão sujeitos à tributação de 15% quando do momento do resgate. </w:t>
      </w:r>
    </w:p>
    <w:p w14:paraId="1F3BC077" w14:textId="77777777" w:rsidR="00F15C37" w:rsidRPr="00F15C37" w:rsidRDefault="00F15C37" w:rsidP="00F15C37">
      <w:pPr>
        <w:jc w:val="both"/>
        <w:rPr>
          <w:rFonts w:ascii="Tahoma" w:hAnsi="Tahoma" w:cs="Tahoma"/>
          <w:bCs/>
          <w:sz w:val="22"/>
          <w:szCs w:val="22"/>
          <w:lang w:eastAsia="en-US"/>
        </w:rPr>
      </w:pPr>
    </w:p>
    <w:p w14:paraId="525366E7" w14:textId="77777777" w:rsidR="00F15C37" w:rsidRPr="00F15C37" w:rsidRDefault="00F15C37" w:rsidP="00F15C37">
      <w:pPr>
        <w:jc w:val="both"/>
        <w:rPr>
          <w:rFonts w:ascii="Tahoma" w:hAnsi="Tahoma" w:cs="Tahoma"/>
          <w:bCs/>
          <w:sz w:val="22"/>
          <w:szCs w:val="22"/>
        </w:rPr>
      </w:pPr>
      <w:r w:rsidRPr="00F15C37">
        <w:rPr>
          <w:rFonts w:ascii="Tahoma" w:hAnsi="Tahoma" w:cs="Tahoma"/>
          <w:bCs/>
          <w:sz w:val="22"/>
          <w:szCs w:val="22"/>
        </w:rPr>
        <w:t>11.2. IOF/Títulos: Atualmente, as operações de resgate de cotas dos fundos de investimento de ações estão sujeitas a alíquota zero do IOF/Títulos.</w:t>
      </w:r>
    </w:p>
    <w:p w14:paraId="649F854E" w14:textId="77777777" w:rsidR="00F15C37" w:rsidRPr="00F15C37" w:rsidRDefault="00F15C37" w:rsidP="00F15C37">
      <w:pPr>
        <w:jc w:val="both"/>
        <w:rPr>
          <w:rFonts w:ascii="Tahoma" w:hAnsi="Tahoma" w:cs="Tahoma"/>
          <w:bCs/>
          <w:sz w:val="22"/>
          <w:szCs w:val="22"/>
        </w:rPr>
      </w:pPr>
    </w:p>
    <w:p w14:paraId="56C9F5EC" w14:textId="77777777" w:rsidR="00F15C37" w:rsidRPr="00F15C37" w:rsidRDefault="00F15C37" w:rsidP="00F15C37">
      <w:pPr>
        <w:jc w:val="both"/>
        <w:rPr>
          <w:rFonts w:ascii="Tahoma" w:hAnsi="Tahoma" w:cs="Tahoma"/>
          <w:bCs/>
          <w:sz w:val="22"/>
          <w:szCs w:val="22"/>
        </w:rPr>
      </w:pPr>
      <w:r w:rsidRPr="00F15C37">
        <w:rPr>
          <w:rFonts w:ascii="Tahoma" w:hAnsi="Tahoma" w:cs="Tahoma"/>
          <w:bCs/>
          <w:sz w:val="22"/>
          <w:szCs w:val="22"/>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bookmarkEnd w:id="6"/>
    <w:p w14:paraId="1CEC50DA" w14:textId="77777777" w:rsidR="00F15C37" w:rsidRPr="00F15C37" w:rsidRDefault="00F15C37" w:rsidP="00F15C37">
      <w:pPr>
        <w:jc w:val="both"/>
        <w:rPr>
          <w:rFonts w:ascii="Tahoma" w:hAnsi="Tahoma" w:cs="Tahoma"/>
          <w:iCs/>
          <w:sz w:val="22"/>
          <w:szCs w:val="22"/>
          <w:lang w:eastAsia="en-US"/>
        </w:rPr>
      </w:pPr>
    </w:p>
    <w:p w14:paraId="30E6872D"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DOZE – EXERCÍCIO DO DIREITO DE VOTO</w:t>
      </w:r>
    </w:p>
    <w:p w14:paraId="16DC83DF" w14:textId="77777777" w:rsidR="00F15C37" w:rsidRPr="00F15C37" w:rsidRDefault="00F15C37" w:rsidP="00F15C37">
      <w:pPr>
        <w:jc w:val="both"/>
        <w:rPr>
          <w:rFonts w:ascii="Tahoma" w:hAnsi="Tahoma" w:cs="Tahoma"/>
          <w:sz w:val="22"/>
          <w:szCs w:val="22"/>
        </w:rPr>
      </w:pPr>
    </w:p>
    <w:p w14:paraId="24BBB02B"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12.1.</w:t>
      </w:r>
      <w:r w:rsidRPr="00F15C37">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4F623743" w14:textId="77777777" w:rsidR="00F15C37" w:rsidRPr="00F15C37" w:rsidRDefault="00F15C37" w:rsidP="00F15C37">
      <w:pPr>
        <w:jc w:val="both"/>
        <w:rPr>
          <w:rFonts w:ascii="Tahoma" w:hAnsi="Tahoma" w:cs="Tahoma"/>
          <w:sz w:val="22"/>
          <w:szCs w:val="22"/>
        </w:rPr>
      </w:pPr>
    </w:p>
    <w:p w14:paraId="05EEF6C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12.2.</w:t>
      </w:r>
      <w:r w:rsidRPr="00F15C37">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3B7E30A5" w14:textId="77777777" w:rsidR="00F15C37" w:rsidRPr="00F15C37" w:rsidRDefault="00F15C37" w:rsidP="00F15C37">
      <w:pPr>
        <w:jc w:val="both"/>
        <w:rPr>
          <w:rFonts w:ascii="Tahoma" w:hAnsi="Tahoma" w:cs="Tahoma"/>
          <w:sz w:val="22"/>
          <w:szCs w:val="22"/>
        </w:rPr>
      </w:pPr>
    </w:p>
    <w:p w14:paraId="731D098C" w14:textId="77777777" w:rsidR="00F15C37" w:rsidRPr="00F15C37" w:rsidRDefault="00F15C37" w:rsidP="00F15C37">
      <w:pPr>
        <w:pBdr>
          <w:bottom w:val="single" w:sz="6" w:space="1" w:color="auto"/>
        </w:pBdr>
        <w:jc w:val="center"/>
        <w:rPr>
          <w:rFonts w:ascii="Tahoma" w:hAnsi="Tahoma" w:cs="Tahoma"/>
          <w:b/>
          <w:sz w:val="22"/>
          <w:szCs w:val="22"/>
        </w:rPr>
      </w:pPr>
      <w:r w:rsidRPr="00F15C37">
        <w:rPr>
          <w:rFonts w:ascii="Tahoma" w:hAnsi="Tahoma" w:cs="Tahoma"/>
          <w:b/>
          <w:sz w:val="22"/>
          <w:szCs w:val="22"/>
        </w:rPr>
        <w:t>CLÁUSULA TREZE – DAS DISPOSIÇÕES GERAIS</w:t>
      </w:r>
    </w:p>
    <w:p w14:paraId="3C04375F" w14:textId="77777777" w:rsidR="00F15C37" w:rsidRPr="00F15C37" w:rsidRDefault="00F15C37" w:rsidP="00F15C37">
      <w:pPr>
        <w:jc w:val="both"/>
        <w:rPr>
          <w:rFonts w:ascii="Tahoma" w:hAnsi="Tahoma" w:cs="Tahoma"/>
          <w:sz w:val="22"/>
          <w:szCs w:val="22"/>
        </w:rPr>
      </w:pPr>
    </w:p>
    <w:p w14:paraId="08CD0691"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3C818DFE" w14:textId="77777777" w:rsidR="00F15C37" w:rsidRPr="00F15C37" w:rsidRDefault="00F15C37" w:rsidP="00F15C37">
      <w:pPr>
        <w:jc w:val="both"/>
        <w:rPr>
          <w:rFonts w:ascii="Tahoma" w:hAnsi="Tahoma" w:cs="Tahoma"/>
          <w:sz w:val="22"/>
          <w:szCs w:val="22"/>
        </w:rPr>
      </w:pPr>
    </w:p>
    <w:p w14:paraId="51310E48"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13.1.1. Quando as informações ou documentos relacionados ao FUNDO forem comunicados, enviados, divulgados e/ou disponibilizados por meio físico, os custos serão arcados pelo FUNDO.</w:t>
      </w:r>
    </w:p>
    <w:p w14:paraId="61FDC528" w14:textId="77777777" w:rsidR="00F15C37" w:rsidRPr="00F15C37" w:rsidRDefault="00F15C37" w:rsidP="00F15C37">
      <w:pPr>
        <w:jc w:val="both"/>
        <w:rPr>
          <w:rFonts w:ascii="Tahoma" w:hAnsi="Tahoma" w:cs="Tahoma"/>
          <w:sz w:val="22"/>
          <w:szCs w:val="22"/>
        </w:rPr>
      </w:pPr>
    </w:p>
    <w:p w14:paraId="5F818A0A"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13.2.</w:t>
      </w:r>
      <w:r w:rsidRPr="00F15C37">
        <w:rPr>
          <w:rFonts w:ascii="Tahoma" w:hAnsi="Tahoma" w:cs="Tahoma"/>
          <w:sz w:val="22"/>
          <w:szCs w:val="22"/>
        </w:rPr>
        <w:tab/>
        <w:t>Admite-se, nas hipóteses em que este Regulamento exija a “ciência”, “atesto”, “manifestação de voto” ou “concordância” dos Cotistas, que estes se deem por meio eletrônico.</w:t>
      </w:r>
    </w:p>
    <w:p w14:paraId="07997ACD" w14:textId="77777777" w:rsidR="00F15C37" w:rsidRPr="00F15C37" w:rsidRDefault="00F15C37" w:rsidP="00F15C37">
      <w:pPr>
        <w:jc w:val="both"/>
        <w:rPr>
          <w:rFonts w:ascii="Tahoma" w:hAnsi="Tahoma" w:cs="Tahoma"/>
          <w:sz w:val="22"/>
          <w:szCs w:val="22"/>
        </w:rPr>
      </w:pPr>
    </w:p>
    <w:p w14:paraId="2608C3CB"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13.3. O atendimento aos Cotistas para receber e encaminhar questões relacionadas ao FUNDO será realizado por meio da Central de Atendimento do Santander, pelos seguintes meios:</w:t>
      </w:r>
    </w:p>
    <w:p w14:paraId="394C1ADD" w14:textId="77777777" w:rsidR="00F15C37" w:rsidRPr="00F15C37" w:rsidRDefault="00F15C37" w:rsidP="00F15C37">
      <w:pPr>
        <w:jc w:val="both"/>
        <w:rPr>
          <w:rFonts w:ascii="Tahoma" w:hAnsi="Tahoma" w:cs="Tahoma"/>
          <w:sz w:val="22"/>
          <w:szCs w:val="22"/>
        </w:rPr>
      </w:pPr>
    </w:p>
    <w:p w14:paraId="37AF5B24"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Capitais e Regiões Metropolitanas: 4004-3535</w:t>
      </w:r>
    </w:p>
    <w:p w14:paraId="5D483929"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Demais localidades: 0800-702-3535</w:t>
      </w:r>
    </w:p>
    <w:p w14:paraId="36C5C5DE"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Serviço de Apoio ao Consumidor – SAC: 0800-762-7777</w:t>
      </w:r>
    </w:p>
    <w:p w14:paraId="5C44A5A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Ouvidoria: 0800-726-0322</w:t>
      </w:r>
    </w:p>
    <w:p w14:paraId="50949106" w14:textId="77777777" w:rsidR="00F15C37" w:rsidRPr="00F15C37" w:rsidRDefault="00F15C37" w:rsidP="00F15C37">
      <w:pPr>
        <w:jc w:val="both"/>
        <w:rPr>
          <w:rFonts w:ascii="Tahoma" w:hAnsi="Tahoma" w:cs="Tahoma"/>
          <w:sz w:val="22"/>
          <w:szCs w:val="22"/>
        </w:rPr>
      </w:pPr>
    </w:p>
    <w:p w14:paraId="6E8C6F57"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13.4. Não há valores mínimos e máximos de investimento inicial, movimentação e manutenção pelos Cotistas no FUNDO. </w:t>
      </w:r>
    </w:p>
    <w:p w14:paraId="1C98467B" w14:textId="77777777" w:rsidR="00F15C37" w:rsidRPr="00F15C37" w:rsidRDefault="00F15C37" w:rsidP="00F15C37">
      <w:pPr>
        <w:jc w:val="both"/>
        <w:rPr>
          <w:rFonts w:ascii="Tahoma" w:hAnsi="Tahoma" w:cs="Tahoma"/>
          <w:sz w:val="22"/>
          <w:szCs w:val="22"/>
        </w:rPr>
      </w:pPr>
    </w:p>
    <w:p w14:paraId="18D4A97D"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 xml:space="preserve">13.5. Para transmissão de ordens de aplicação e de resgate de cotas do FUNDO, os Cotistas utilizarão os meios disponibilizados pelo ADMINISTRADOR para tal finalidade. </w:t>
      </w:r>
    </w:p>
    <w:p w14:paraId="3176DADB" w14:textId="77777777" w:rsidR="00F15C37" w:rsidRPr="00F15C37" w:rsidRDefault="00F15C37" w:rsidP="00F15C37">
      <w:pPr>
        <w:jc w:val="both"/>
        <w:rPr>
          <w:rFonts w:ascii="Tahoma" w:hAnsi="Tahoma" w:cs="Tahoma"/>
          <w:sz w:val="22"/>
          <w:szCs w:val="22"/>
        </w:rPr>
      </w:pPr>
    </w:p>
    <w:p w14:paraId="37B6D11C"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13.6. O ADMINISTRADOR poderá gravar toda e qualquer ligação telefônica mantida entre o ADMINISTRADOR e os Cotistas, bem como, utilizar referidas gravações para efeito de prova das ordens transmitidas e das demais informações nelas contidas.</w:t>
      </w:r>
    </w:p>
    <w:p w14:paraId="7B80F8EF" w14:textId="77777777" w:rsidR="00F15C37" w:rsidRPr="00F15C37" w:rsidRDefault="00F15C37" w:rsidP="00F15C37">
      <w:pPr>
        <w:jc w:val="both"/>
        <w:rPr>
          <w:rFonts w:ascii="Tahoma" w:hAnsi="Tahoma" w:cs="Tahoma"/>
          <w:sz w:val="22"/>
          <w:szCs w:val="22"/>
        </w:rPr>
      </w:pPr>
    </w:p>
    <w:p w14:paraId="1DDAD9E5" w14:textId="77777777" w:rsidR="00F15C37" w:rsidRPr="00F15C37" w:rsidRDefault="00F15C37" w:rsidP="00F15C37">
      <w:pPr>
        <w:jc w:val="both"/>
        <w:rPr>
          <w:rFonts w:ascii="Tahoma" w:hAnsi="Tahoma" w:cs="Tahoma"/>
          <w:sz w:val="22"/>
          <w:szCs w:val="22"/>
        </w:rPr>
      </w:pPr>
      <w:r w:rsidRPr="00F15C37">
        <w:rPr>
          <w:rFonts w:ascii="Tahoma" w:hAnsi="Tahoma" w:cs="Tahoma"/>
          <w:sz w:val="22"/>
          <w:szCs w:val="22"/>
        </w:rPr>
        <w:t>13.7. Fica eleito o foro da Comarca da Capital do Estado de São Paulo, com a exclusão de qualquer outro, por mais privilegiado que seja, para dirimir quaisquer dúvidas ou controvérsias advindas deste Regulamento.</w:t>
      </w:r>
    </w:p>
    <w:p w14:paraId="6FE5DD69" w14:textId="77777777" w:rsidR="00F15C37" w:rsidRPr="00F15C37" w:rsidRDefault="00F15C37" w:rsidP="00F15C37">
      <w:pPr>
        <w:jc w:val="both"/>
        <w:rPr>
          <w:rFonts w:ascii="Tahoma" w:hAnsi="Tahoma" w:cs="Tahoma"/>
          <w:sz w:val="22"/>
          <w:szCs w:val="22"/>
        </w:rPr>
      </w:pPr>
    </w:p>
    <w:p w14:paraId="606C0053" w14:textId="73CE96A2" w:rsidR="00F15C37" w:rsidRPr="00F15C37" w:rsidRDefault="00F15C37" w:rsidP="00F15C37">
      <w:pPr>
        <w:jc w:val="center"/>
        <w:rPr>
          <w:rFonts w:ascii="Tahoma" w:hAnsi="Tahoma" w:cs="Tahoma"/>
          <w:sz w:val="22"/>
          <w:szCs w:val="22"/>
        </w:rPr>
      </w:pPr>
      <w:r w:rsidRPr="00F15C37">
        <w:rPr>
          <w:rFonts w:ascii="Tahoma" w:hAnsi="Tahoma" w:cs="Tahoma"/>
          <w:sz w:val="22"/>
          <w:szCs w:val="22"/>
        </w:rPr>
        <w:t>São Paulo,</w:t>
      </w:r>
      <w:bookmarkStart w:id="7" w:name="_Hlk31964830"/>
      <w:r w:rsidRPr="00F15C37">
        <w:rPr>
          <w:rFonts w:ascii="Tahoma" w:hAnsi="Tahoma" w:cs="Tahoma"/>
          <w:sz w:val="22"/>
          <w:szCs w:val="22"/>
        </w:rPr>
        <w:t xml:space="preserve"> </w:t>
      </w:r>
      <w:r w:rsidR="006C2C35">
        <w:rPr>
          <w:rFonts w:ascii="Tahoma" w:hAnsi="Tahoma" w:cs="Tahoma"/>
          <w:sz w:val="22"/>
          <w:szCs w:val="22"/>
        </w:rPr>
        <w:t>09 de abril de 2024</w:t>
      </w:r>
      <w:r w:rsidRPr="00F15C37">
        <w:rPr>
          <w:rFonts w:ascii="Tahoma" w:hAnsi="Tahoma" w:cs="Tahoma"/>
          <w:sz w:val="22"/>
          <w:szCs w:val="22"/>
        </w:rPr>
        <w:t>.</w:t>
      </w:r>
    </w:p>
    <w:bookmarkEnd w:id="7"/>
    <w:p w14:paraId="2A5561AC" w14:textId="77777777" w:rsidR="00F15C37" w:rsidRPr="00F15C37" w:rsidRDefault="00F15C37" w:rsidP="00F15C37">
      <w:pPr>
        <w:jc w:val="both"/>
        <w:rPr>
          <w:rFonts w:ascii="Tahoma" w:hAnsi="Tahoma" w:cs="Tahoma"/>
          <w:sz w:val="22"/>
          <w:szCs w:val="22"/>
          <w:highlight w:val="yellow"/>
        </w:rPr>
      </w:pPr>
    </w:p>
    <w:p w14:paraId="2890BE14" w14:textId="77777777" w:rsidR="00F15C37" w:rsidRPr="00F15C37" w:rsidRDefault="00F15C37" w:rsidP="00F15C37">
      <w:pPr>
        <w:jc w:val="both"/>
        <w:rPr>
          <w:rFonts w:ascii="Tahoma" w:hAnsi="Tahoma" w:cs="Tahoma"/>
          <w:sz w:val="22"/>
          <w:szCs w:val="22"/>
          <w:highlight w:val="yellow"/>
        </w:rPr>
      </w:pPr>
    </w:p>
    <w:p w14:paraId="53D8E0C1" w14:textId="77777777" w:rsidR="00F15C37" w:rsidRPr="00F15C37" w:rsidRDefault="00F15C37" w:rsidP="00F15C37">
      <w:pPr>
        <w:jc w:val="center"/>
        <w:rPr>
          <w:rFonts w:ascii="Tahoma" w:hAnsi="Tahoma" w:cs="Tahoma"/>
          <w:b/>
          <w:bCs/>
          <w:sz w:val="22"/>
          <w:szCs w:val="22"/>
        </w:rPr>
      </w:pPr>
      <w:r w:rsidRPr="00F15C37">
        <w:rPr>
          <w:rFonts w:ascii="Tahoma" w:hAnsi="Tahoma" w:cs="Tahoma"/>
          <w:b/>
          <w:bCs/>
          <w:sz w:val="22"/>
          <w:szCs w:val="22"/>
        </w:rPr>
        <w:t>SANTANDER DISTRIBUIDORA DE TÍTULOS E VALORES MOBILIÁRIOS S.A.</w:t>
      </w:r>
    </w:p>
    <w:p w14:paraId="42331DA3" w14:textId="77777777" w:rsidR="00F15C37" w:rsidRPr="00F15C37" w:rsidRDefault="00F15C37" w:rsidP="00F15C37">
      <w:pPr>
        <w:jc w:val="center"/>
        <w:rPr>
          <w:rFonts w:ascii="Tahoma" w:hAnsi="Tahoma" w:cs="Tahoma"/>
          <w:b/>
          <w:color w:val="000000"/>
          <w:spacing w:val="5"/>
          <w:sz w:val="22"/>
          <w:szCs w:val="22"/>
        </w:rPr>
      </w:pPr>
      <w:r w:rsidRPr="00F15C37">
        <w:rPr>
          <w:rFonts w:ascii="Tahoma" w:hAnsi="Tahoma" w:cs="Tahoma"/>
          <w:b/>
          <w:color w:val="000000"/>
          <w:spacing w:val="5"/>
          <w:sz w:val="22"/>
          <w:szCs w:val="22"/>
        </w:rPr>
        <w:t>Administrador</w:t>
      </w:r>
    </w:p>
    <w:p w14:paraId="3E04C1AB" w14:textId="77777777" w:rsidR="00F15C37" w:rsidRPr="00F15C37" w:rsidRDefault="00F15C37" w:rsidP="00F15C37">
      <w:pPr>
        <w:tabs>
          <w:tab w:val="left" w:pos="8267"/>
        </w:tabs>
        <w:rPr>
          <w:lang w:eastAsia="en-US"/>
        </w:rPr>
      </w:pPr>
    </w:p>
    <w:p w14:paraId="22CBD577" w14:textId="77777777" w:rsidR="00F15C37" w:rsidRDefault="00F15C37">
      <w:pPr>
        <w:rPr>
          <w:sz w:val="22"/>
          <w:szCs w:val="22"/>
        </w:rPr>
      </w:pPr>
    </w:p>
    <w:sectPr w:rsidR="00F15C37" w:rsidSect="00BE6FF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4876" w14:textId="77777777" w:rsidR="00BE6FF6" w:rsidRDefault="00BE6FF6" w:rsidP="00BE6FF6">
      <w:r>
        <w:separator/>
      </w:r>
    </w:p>
  </w:endnote>
  <w:endnote w:type="continuationSeparator" w:id="0">
    <w:p w14:paraId="42D741CA" w14:textId="77777777" w:rsidR="00BE6FF6" w:rsidRDefault="00BE6FF6" w:rsidP="00B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07AFC" w14:textId="77777777" w:rsidR="00BE6FF6" w:rsidRDefault="00BE6FF6" w:rsidP="00BE6FF6">
      <w:r>
        <w:separator/>
      </w:r>
    </w:p>
  </w:footnote>
  <w:footnote w:type="continuationSeparator" w:id="0">
    <w:p w14:paraId="13537B90" w14:textId="77777777" w:rsidR="00BE6FF6" w:rsidRDefault="00BE6FF6" w:rsidP="00BE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30BB" w14:textId="0B9FF053" w:rsidR="00BE6FF6" w:rsidRDefault="00BE6FF6">
    <w:pPr>
      <w:pStyle w:val="Cabealho"/>
    </w:pPr>
    <w:r>
      <w:rPr>
        <w:noProof/>
      </w:rPr>
      <w:drawing>
        <wp:anchor distT="0" distB="0" distL="114300" distR="114300" simplePos="0" relativeHeight="251659264" behindDoc="0" locked="0" layoutInCell="1" allowOverlap="1" wp14:anchorId="11D3658A" wp14:editId="5AB5AB4B">
          <wp:simplePos x="0" y="0"/>
          <wp:positionH relativeFrom="margin">
            <wp:posOffset>3778250</wp:posOffset>
          </wp:positionH>
          <wp:positionV relativeFrom="paragraph">
            <wp:posOffset>-432435</wp:posOffset>
          </wp:positionV>
          <wp:extent cx="2533650" cy="604520"/>
          <wp:effectExtent l="0" t="0" r="0" b="508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6E602098"/>
    <w:multiLevelType w:val="multilevel"/>
    <w:tmpl w:val="5CA6B252"/>
    <w:lvl w:ilvl="0">
      <w:start w:val="1"/>
      <w:numFmt w:val="lowerRoman"/>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71669015">
    <w:abstractNumId w:val="0"/>
  </w:num>
  <w:num w:numId="2" w16cid:durableId="1937402059">
    <w:abstractNumId w:val="2"/>
  </w:num>
  <w:num w:numId="3" w16cid:durableId="200843321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F6"/>
    <w:rsid w:val="0000739D"/>
    <w:rsid w:val="00032391"/>
    <w:rsid w:val="00037FB3"/>
    <w:rsid w:val="001F0FC2"/>
    <w:rsid w:val="00290474"/>
    <w:rsid w:val="00393994"/>
    <w:rsid w:val="003F57E4"/>
    <w:rsid w:val="005922BA"/>
    <w:rsid w:val="00665FC6"/>
    <w:rsid w:val="006C2C35"/>
    <w:rsid w:val="00A32738"/>
    <w:rsid w:val="00A45702"/>
    <w:rsid w:val="00A6223C"/>
    <w:rsid w:val="00AC14B9"/>
    <w:rsid w:val="00B4534F"/>
    <w:rsid w:val="00B631A0"/>
    <w:rsid w:val="00B75F41"/>
    <w:rsid w:val="00BE6FF6"/>
    <w:rsid w:val="00E9569A"/>
    <w:rsid w:val="00F15C37"/>
    <w:rsid w:val="00F26AF2"/>
    <w:rsid w:val="00F45D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191E"/>
  <w15:chartTrackingRefBased/>
  <w15:docId w15:val="{1A549C46-1A4C-4929-B3AD-5CA66CE9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FF6"/>
    <w:pPr>
      <w:spacing w:after="0" w:line="240" w:lineRule="auto"/>
    </w:pPr>
    <w:rPr>
      <w:rFonts w:ascii="Times New Roman" w:eastAsia="Times New Roman" w:hAnsi="Times New Roman" w:cs="Times New Roman"/>
      <w:kern w:val="0"/>
      <w:sz w:val="20"/>
      <w:szCs w:val="20"/>
      <w:lang w:eastAsia="pt-BR"/>
      <w14:ligatures w14:val="none"/>
    </w:rPr>
  </w:style>
  <w:style w:type="paragraph" w:styleId="Ttulo1">
    <w:name w:val="heading 1"/>
    <w:basedOn w:val="Normal"/>
    <w:next w:val="Normal"/>
    <w:link w:val="Ttulo1Char"/>
    <w:qFormat/>
    <w:rsid w:val="00F15C37"/>
    <w:pPr>
      <w:keepNext/>
      <w:widowControl w:val="0"/>
      <w:spacing w:line="320" w:lineRule="exact"/>
      <w:jc w:val="center"/>
      <w:outlineLvl w:val="0"/>
    </w:pPr>
    <w:rPr>
      <w:b/>
      <w:sz w:val="24"/>
    </w:rPr>
  </w:style>
  <w:style w:type="paragraph" w:styleId="Ttulo2">
    <w:name w:val="heading 2"/>
    <w:basedOn w:val="Normal"/>
    <w:next w:val="Normal"/>
    <w:link w:val="Ttulo2Char"/>
    <w:qFormat/>
    <w:rsid w:val="00F15C37"/>
    <w:pPr>
      <w:keepNext/>
      <w:widowControl w:val="0"/>
      <w:spacing w:line="320" w:lineRule="exact"/>
      <w:ind w:left="426" w:hanging="426"/>
      <w:jc w:val="both"/>
      <w:outlineLvl w:val="1"/>
    </w:pPr>
    <w:rPr>
      <w:sz w:val="24"/>
    </w:rPr>
  </w:style>
  <w:style w:type="paragraph" w:styleId="Ttulo3">
    <w:name w:val="heading 3"/>
    <w:basedOn w:val="Normal"/>
    <w:next w:val="Normal"/>
    <w:link w:val="Ttulo3Char"/>
    <w:qFormat/>
    <w:rsid w:val="00F15C37"/>
    <w:pPr>
      <w:keepNext/>
      <w:jc w:val="center"/>
      <w:outlineLvl w:val="2"/>
    </w:pPr>
    <w:rPr>
      <w:sz w:val="24"/>
      <w:lang w:val="en-AU"/>
    </w:rPr>
  </w:style>
  <w:style w:type="paragraph" w:styleId="Ttulo4">
    <w:name w:val="heading 4"/>
    <w:basedOn w:val="Normal"/>
    <w:next w:val="Normal"/>
    <w:link w:val="Ttulo4Char"/>
    <w:qFormat/>
    <w:rsid w:val="00F15C37"/>
    <w:pPr>
      <w:keepNext/>
      <w:pBdr>
        <w:bottom w:val="single" w:sz="6" w:space="1" w:color="auto"/>
      </w:pBdr>
      <w:spacing w:line="320" w:lineRule="exact"/>
      <w:jc w:val="center"/>
      <w:outlineLvl w:val="3"/>
    </w:pPr>
    <w:rPr>
      <w:b/>
      <w:sz w:val="22"/>
    </w:rPr>
  </w:style>
  <w:style w:type="paragraph" w:styleId="Ttulo5">
    <w:name w:val="heading 5"/>
    <w:basedOn w:val="Normal"/>
    <w:next w:val="Normal"/>
    <w:link w:val="Ttulo5Char"/>
    <w:qFormat/>
    <w:rsid w:val="00F15C37"/>
    <w:pPr>
      <w:keepNext/>
      <w:jc w:val="both"/>
      <w:outlineLvl w:val="4"/>
    </w:pPr>
    <w:rPr>
      <w:b/>
    </w:rPr>
  </w:style>
  <w:style w:type="paragraph" w:styleId="Ttulo6">
    <w:name w:val="heading 6"/>
    <w:basedOn w:val="Normal"/>
    <w:next w:val="Normal"/>
    <w:link w:val="Ttulo6Char"/>
    <w:qFormat/>
    <w:rsid w:val="00F15C37"/>
    <w:pPr>
      <w:keepNext/>
      <w:outlineLvl w:val="5"/>
    </w:pPr>
    <w:rPr>
      <w:b/>
    </w:rPr>
  </w:style>
  <w:style w:type="paragraph" w:styleId="Ttulo7">
    <w:name w:val="heading 7"/>
    <w:basedOn w:val="Normal"/>
    <w:next w:val="Normal"/>
    <w:link w:val="Ttulo7Char"/>
    <w:qFormat/>
    <w:rsid w:val="00F15C37"/>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link w:val="Ttulo8Char"/>
    <w:qFormat/>
    <w:rsid w:val="00F15C37"/>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link w:val="Ttulo9Char"/>
    <w:qFormat/>
    <w:rsid w:val="00F15C37"/>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Corpo de texto Char Char Char Char Char,Corpo de texto Char Char Char Char"/>
    <w:basedOn w:val="Normal"/>
    <w:link w:val="CorpodetextoChar"/>
    <w:rsid w:val="00BE6FF6"/>
    <w:pPr>
      <w:jc w:val="center"/>
    </w:pPr>
    <w:rPr>
      <w:b/>
      <w:sz w:val="28"/>
      <w:lang w:val="en-AU" w:eastAsia="en-US"/>
    </w:rPr>
  </w:style>
  <w:style w:type="character" w:customStyle="1" w:styleId="CorpodetextoChar">
    <w:name w:val="Corpo de texto Char"/>
    <w:aliases w:val="Corpo de texto Char Char Char Char Char Char,Corpo de texto Char Char Char Char Char1"/>
    <w:basedOn w:val="Fontepargpadro"/>
    <w:link w:val="Corpodetexto"/>
    <w:rsid w:val="00BE6FF6"/>
    <w:rPr>
      <w:rFonts w:ascii="Times New Roman" w:eastAsia="Times New Roman" w:hAnsi="Times New Roman" w:cs="Times New Roman"/>
      <w:b/>
      <w:kern w:val="0"/>
      <w:sz w:val="28"/>
      <w:szCs w:val="20"/>
      <w:lang w:val="en-AU"/>
      <w14:ligatures w14:val="none"/>
    </w:rPr>
  </w:style>
  <w:style w:type="paragraph" w:styleId="Textodecomentrio">
    <w:name w:val="annotation text"/>
    <w:basedOn w:val="Normal"/>
    <w:link w:val="TextodecomentrioChar"/>
    <w:semiHidden/>
    <w:rsid w:val="00BE6FF6"/>
    <w:pPr>
      <w:jc w:val="both"/>
    </w:pPr>
  </w:style>
  <w:style w:type="character" w:customStyle="1" w:styleId="TextodecomentrioChar">
    <w:name w:val="Texto de comentário Char"/>
    <w:basedOn w:val="Fontepargpadro"/>
    <w:link w:val="Textodecomentrio"/>
    <w:semiHidden/>
    <w:rsid w:val="00BE6FF6"/>
    <w:rPr>
      <w:rFonts w:ascii="Times New Roman" w:eastAsia="Times New Roman" w:hAnsi="Times New Roman" w:cs="Times New Roman"/>
      <w:kern w:val="0"/>
      <w:sz w:val="20"/>
      <w:szCs w:val="20"/>
      <w:lang w:eastAsia="pt-BR"/>
      <w14:ligatures w14:val="none"/>
    </w:rPr>
  </w:style>
  <w:style w:type="paragraph" w:styleId="Cabealho">
    <w:name w:val="header"/>
    <w:basedOn w:val="Normal"/>
    <w:link w:val="CabealhoChar"/>
    <w:unhideWhenUsed/>
    <w:rsid w:val="00BE6FF6"/>
    <w:pPr>
      <w:tabs>
        <w:tab w:val="center" w:pos="4252"/>
        <w:tab w:val="right" w:pos="8504"/>
      </w:tabs>
    </w:pPr>
  </w:style>
  <w:style w:type="character" w:customStyle="1" w:styleId="CabealhoChar">
    <w:name w:val="Cabeçalho Char"/>
    <w:basedOn w:val="Fontepargpadro"/>
    <w:link w:val="Cabealho"/>
    <w:rsid w:val="00BE6FF6"/>
    <w:rPr>
      <w:rFonts w:ascii="Times New Roman" w:eastAsia="Times New Roman" w:hAnsi="Times New Roman" w:cs="Times New Roman"/>
      <w:kern w:val="0"/>
      <w:sz w:val="20"/>
      <w:szCs w:val="20"/>
      <w:lang w:eastAsia="pt-BR"/>
      <w14:ligatures w14:val="none"/>
    </w:rPr>
  </w:style>
  <w:style w:type="paragraph" w:styleId="Rodap">
    <w:name w:val="footer"/>
    <w:basedOn w:val="Normal"/>
    <w:link w:val="RodapChar"/>
    <w:uiPriority w:val="99"/>
    <w:unhideWhenUsed/>
    <w:rsid w:val="00BE6FF6"/>
    <w:pPr>
      <w:tabs>
        <w:tab w:val="center" w:pos="4252"/>
        <w:tab w:val="right" w:pos="8504"/>
      </w:tabs>
    </w:pPr>
  </w:style>
  <w:style w:type="character" w:customStyle="1" w:styleId="RodapChar">
    <w:name w:val="Rodapé Char"/>
    <w:basedOn w:val="Fontepargpadro"/>
    <w:link w:val="Rodap"/>
    <w:uiPriority w:val="99"/>
    <w:rsid w:val="00BE6FF6"/>
    <w:rPr>
      <w:rFonts w:ascii="Times New Roman" w:eastAsia="Times New Roman" w:hAnsi="Times New Roman" w:cs="Times New Roman"/>
      <w:kern w:val="0"/>
      <w:sz w:val="20"/>
      <w:szCs w:val="20"/>
      <w:lang w:eastAsia="pt-BR"/>
      <w14:ligatures w14:val="none"/>
    </w:rPr>
  </w:style>
  <w:style w:type="paragraph" w:styleId="Textodenotaderodap">
    <w:name w:val="footnote text"/>
    <w:basedOn w:val="Normal"/>
    <w:link w:val="TextodenotaderodapChar"/>
    <w:uiPriority w:val="99"/>
    <w:unhideWhenUsed/>
    <w:rsid w:val="00BE6FF6"/>
  </w:style>
  <w:style w:type="character" w:customStyle="1" w:styleId="TextodenotaderodapChar">
    <w:name w:val="Texto de nota de rodapé Char"/>
    <w:basedOn w:val="Fontepargpadro"/>
    <w:link w:val="Textodenotaderodap"/>
    <w:uiPriority w:val="99"/>
    <w:rsid w:val="00BE6FF6"/>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uiPriority w:val="99"/>
    <w:unhideWhenUsed/>
    <w:rsid w:val="00BE6FF6"/>
    <w:rPr>
      <w:vertAlign w:val="superscript"/>
    </w:rPr>
  </w:style>
  <w:style w:type="paragraph" w:styleId="Reviso">
    <w:name w:val="Revision"/>
    <w:hidden/>
    <w:uiPriority w:val="99"/>
    <w:semiHidden/>
    <w:rsid w:val="0000739D"/>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tulo1Char">
    <w:name w:val="Título 1 Char"/>
    <w:basedOn w:val="Fontepargpadro"/>
    <w:link w:val="Ttulo1"/>
    <w:rsid w:val="00F15C37"/>
    <w:rPr>
      <w:rFonts w:ascii="Times New Roman" w:eastAsia="Times New Roman" w:hAnsi="Times New Roman" w:cs="Times New Roman"/>
      <w:b/>
      <w:kern w:val="0"/>
      <w:sz w:val="24"/>
      <w:szCs w:val="20"/>
      <w:lang w:eastAsia="pt-BR"/>
      <w14:ligatures w14:val="none"/>
    </w:rPr>
  </w:style>
  <w:style w:type="character" w:customStyle="1" w:styleId="Ttulo2Char">
    <w:name w:val="Título 2 Char"/>
    <w:basedOn w:val="Fontepargpadro"/>
    <w:link w:val="Ttulo2"/>
    <w:rsid w:val="00F15C37"/>
    <w:rPr>
      <w:rFonts w:ascii="Times New Roman" w:eastAsia="Times New Roman" w:hAnsi="Times New Roman" w:cs="Times New Roman"/>
      <w:kern w:val="0"/>
      <w:sz w:val="24"/>
      <w:szCs w:val="20"/>
      <w:lang w:eastAsia="pt-BR"/>
      <w14:ligatures w14:val="none"/>
    </w:rPr>
  </w:style>
  <w:style w:type="character" w:customStyle="1" w:styleId="Ttulo3Char">
    <w:name w:val="Título 3 Char"/>
    <w:basedOn w:val="Fontepargpadro"/>
    <w:link w:val="Ttulo3"/>
    <w:rsid w:val="00F15C37"/>
    <w:rPr>
      <w:rFonts w:ascii="Times New Roman" w:eastAsia="Times New Roman" w:hAnsi="Times New Roman" w:cs="Times New Roman"/>
      <w:kern w:val="0"/>
      <w:sz w:val="24"/>
      <w:szCs w:val="20"/>
      <w:lang w:val="en-AU" w:eastAsia="pt-BR"/>
      <w14:ligatures w14:val="none"/>
    </w:rPr>
  </w:style>
  <w:style w:type="character" w:customStyle="1" w:styleId="Ttulo4Char">
    <w:name w:val="Título 4 Char"/>
    <w:basedOn w:val="Fontepargpadro"/>
    <w:link w:val="Ttulo4"/>
    <w:rsid w:val="00F15C37"/>
    <w:rPr>
      <w:rFonts w:ascii="Times New Roman" w:eastAsia="Times New Roman" w:hAnsi="Times New Roman" w:cs="Times New Roman"/>
      <w:b/>
      <w:kern w:val="0"/>
      <w:szCs w:val="20"/>
      <w:lang w:eastAsia="pt-BR"/>
      <w14:ligatures w14:val="none"/>
    </w:rPr>
  </w:style>
  <w:style w:type="character" w:customStyle="1" w:styleId="Ttulo5Char">
    <w:name w:val="Título 5 Char"/>
    <w:basedOn w:val="Fontepargpadro"/>
    <w:link w:val="Ttulo5"/>
    <w:rsid w:val="00F15C37"/>
    <w:rPr>
      <w:rFonts w:ascii="Times New Roman" w:eastAsia="Times New Roman" w:hAnsi="Times New Roman" w:cs="Times New Roman"/>
      <w:b/>
      <w:kern w:val="0"/>
      <w:sz w:val="20"/>
      <w:szCs w:val="20"/>
      <w:lang w:eastAsia="pt-BR"/>
      <w14:ligatures w14:val="none"/>
    </w:rPr>
  </w:style>
  <w:style w:type="character" w:customStyle="1" w:styleId="Ttulo6Char">
    <w:name w:val="Título 6 Char"/>
    <w:basedOn w:val="Fontepargpadro"/>
    <w:link w:val="Ttulo6"/>
    <w:rsid w:val="00F15C37"/>
    <w:rPr>
      <w:rFonts w:ascii="Times New Roman" w:eastAsia="Times New Roman" w:hAnsi="Times New Roman" w:cs="Times New Roman"/>
      <w:b/>
      <w:kern w:val="0"/>
      <w:sz w:val="20"/>
      <w:szCs w:val="20"/>
      <w:lang w:eastAsia="pt-BR"/>
      <w14:ligatures w14:val="none"/>
    </w:rPr>
  </w:style>
  <w:style w:type="character" w:customStyle="1" w:styleId="Ttulo7Char">
    <w:name w:val="Título 7 Char"/>
    <w:basedOn w:val="Fontepargpadro"/>
    <w:link w:val="Ttulo7"/>
    <w:rsid w:val="00F15C37"/>
    <w:rPr>
      <w:rFonts w:ascii="Times New Roman" w:eastAsia="Times New Roman" w:hAnsi="Times New Roman" w:cs="Times New Roman"/>
      <w:b/>
      <w:kern w:val="0"/>
      <w:sz w:val="24"/>
      <w:szCs w:val="20"/>
      <w:lang w:eastAsia="pt-BR"/>
      <w14:ligatures w14:val="none"/>
    </w:rPr>
  </w:style>
  <w:style w:type="character" w:customStyle="1" w:styleId="Ttulo8Char">
    <w:name w:val="Título 8 Char"/>
    <w:basedOn w:val="Fontepargpadro"/>
    <w:link w:val="Ttulo8"/>
    <w:rsid w:val="00F15C37"/>
    <w:rPr>
      <w:rFonts w:ascii="Times New Roman" w:eastAsia="Times New Roman" w:hAnsi="Times New Roman" w:cs="Times New Roman"/>
      <w:b/>
      <w:color w:val="000000"/>
      <w:kern w:val="0"/>
      <w:sz w:val="24"/>
      <w:szCs w:val="20"/>
      <w:lang w:eastAsia="pt-BR"/>
      <w14:ligatures w14:val="none"/>
    </w:rPr>
  </w:style>
  <w:style w:type="character" w:customStyle="1" w:styleId="Ttulo9Char">
    <w:name w:val="Título 9 Char"/>
    <w:basedOn w:val="Fontepargpadro"/>
    <w:link w:val="Ttulo9"/>
    <w:rsid w:val="00F15C37"/>
    <w:rPr>
      <w:rFonts w:ascii="Times New Roman" w:eastAsia="Times New Roman" w:hAnsi="Times New Roman" w:cs="Times New Roman"/>
      <w:b/>
      <w:kern w:val="0"/>
      <w:szCs w:val="20"/>
      <w:lang w:eastAsia="pt-BR"/>
      <w14:ligatures w14:val="none"/>
    </w:rPr>
  </w:style>
  <w:style w:type="paragraph" w:styleId="Ttulo">
    <w:name w:val="Title"/>
    <w:basedOn w:val="Normal"/>
    <w:link w:val="TtuloChar"/>
    <w:qFormat/>
    <w:rsid w:val="00F15C37"/>
    <w:pPr>
      <w:widowControl w:val="0"/>
      <w:spacing w:line="320" w:lineRule="exact"/>
      <w:jc w:val="center"/>
    </w:pPr>
    <w:rPr>
      <w:b/>
      <w:sz w:val="24"/>
    </w:rPr>
  </w:style>
  <w:style w:type="character" w:customStyle="1" w:styleId="TtuloChar">
    <w:name w:val="Título Char"/>
    <w:basedOn w:val="Fontepargpadro"/>
    <w:link w:val="Ttulo"/>
    <w:rsid w:val="00F15C37"/>
    <w:rPr>
      <w:rFonts w:ascii="Times New Roman" w:eastAsia="Times New Roman" w:hAnsi="Times New Roman" w:cs="Times New Roman"/>
      <w:b/>
      <w:kern w:val="0"/>
      <w:sz w:val="24"/>
      <w:szCs w:val="20"/>
      <w:lang w:eastAsia="pt-BR"/>
      <w14:ligatures w14:val="none"/>
    </w:rPr>
  </w:style>
  <w:style w:type="paragraph" w:styleId="Recuodecorpodetexto3">
    <w:name w:val="Body Text Indent 3"/>
    <w:basedOn w:val="Normal"/>
    <w:link w:val="Recuodecorpodetexto3Char"/>
    <w:rsid w:val="00F15C37"/>
    <w:pPr>
      <w:widowControl w:val="0"/>
      <w:ind w:left="709" w:hanging="709"/>
      <w:jc w:val="both"/>
    </w:pPr>
    <w:rPr>
      <w:sz w:val="22"/>
    </w:rPr>
  </w:style>
  <w:style w:type="character" w:customStyle="1" w:styleId="Recuodecorpodetexto3Char">
    <w:name w:val="Recuo de corpo de texto 3 Char"/>
    <w:basedOn w:val="Fontepargpadro"/>
    <w:link w:val="Recuodecorpodetexto3"/>
    <w:rsid w:val="00F15C37"/>
    <w:rPr>
      <w:rFonts w:ascii="Times New Roman" w:eastAsia="Times New Roman" w:hAnsi="Times New Roman" w:cs="Times New Roman"/>
      <w:kern w:val="0"/>
      <w:szCs w:val="20"/>
      <w:lang w:eastAsia="pt-BR"/>
      <w14:ligatures w14:val="none"/>
    </w:rPr>
  </w:style>
  <w:style w:type="paragraph" w:styleId="Corpodetexto3">
    <w:name w:val="Body Text 3"/>
    <w:basedOn w:val="Normal"/>
    <w:link w:val="Corpodetexto3Char"/>
    <w:rsid w:val="00F15C37"/>
    <w:pPr>
      <w:widowControl w:val="0"/>
      <w:spacing w:line="320" w:lineRule="exact"/>
      <w:jc w:val="both"/>
    </w:pPr>
    <w:rPr>
      <w:b/>
      <w:sz w:val="26"/>
    </w:rPr>
  </w:style>
  <w:style w:type="character" w:customStyle="1" w:styleId="Corpodetexto3Char">
    <w:name w:val="Corpo de texto 3 Char"/>
    <w:basedOn w:val="Fontepargpadro"/>
    <w:link w:val="Corpodetexto3"/>
    <w:rsid w:val="00F15C37"/>
    <w:rPr>
      <w:rFonts w:ascii="Times New Roman" w:eastAsia="Times New Roman" w:hAnsi="Times New Roman" w:cs="Times New Roman"/>
      <w:b/>
      <w:kern w:val="0"/>
      <w:sz w:val="26"/>
      <w:szCs w:val="20"/>
      <w:lang w:eastAsia="pt-BR"/>
      <w14:ligatures w14:val="none"/>
    </w:rPr>
  </w:style>
  <w:style w:type="character" w:styleId="Nmerodepgina">
    <w:name w:val="page number"/>
    <w:basedOn w:val="Fontepargpadro"/>
    <w:rsid w:val="00F15C37"/>
  </w:style>
  <w:style w:type="paragraph" w:styleId="Corpodetexto2">
    <w:name w:val="Body Text 2"/>
    <w:basedOn w:val="Normal"/>
    <w:link w:val="Corpodetexto2Char"/>
    <w:rsid w:val="00F15C37"/>
    <w:pPr>
      <w:jc w:val="both"/>
    </w:pPr>
    <w:rPr>
      <w:sz w:val="22"/>
    </w:rPr>
  </w:style>
  <w:style w:type="character" w:customStyle="1" w:styleId="Corpodetexto2Char">
    <w:name w:val="Corpo de texto 2 Char"/>
    <w:basedOn w:val="Fontepargpadro"/>
    <w:link w:val="Corpodetexto2"/>
    <w:rsid w:val="00F15C37"/>
    <w:rPr>
      <w:rFonts w:ascii="Times New Roman" w:eastAsia="Times New Roman" w:hAnsi="Times New Roman" w:cs="Times New Roman"/>
      <w:kern w:val="0"/>
      <w:szCs w:val="20"/>
      <w:lang w:eastAsia="pt-BR"/>
      <w14:ligatures w14:val="none"/>
    </w:rPr>
  </w:style>
  <w:style w:type="paragraph" w:styleId="Recuodecorpodetexto">
    <w:name w:val="Body Text Indent"/>
    <w:basedOn w:val="Normal"/>
    <w:link w:val="RecuodecorpodetextoChar"/>
    <w:rsid w:val="00F15C37"/>
    <w:pPr>
      <w:ind w:left="720" w:hanging="720"/>
      <w:jc w:val="both"/>
    </w:pPr>
    <w:rPr>
      <w:sz w:val="22"/>
    </w:rPr>
  </w:style>
  <w:style w:type="character" w:customStyle="1" w:styleId="RecuodecorpodetextoChar">
    <w:name w:val="Recuo de corpo de texto Char"/>
    <w:basedOn w:val="Fontepargpadro"/>
    <w:link w:val="Recuodecorpodetexto"/>
    <w:rsid w:val="00F15C37"/>
    <w:rPr>
      <w:rFonts w:ascii="Times New Roman" w:eastAsia="Times New Roman" w:hAnsi="Times New Roman" w:cs="Times New Roman"/>
      <w:kern w:val="0"/>
      <w:szCs w:val="20"/>
      <w:lang w:eastAsia="pt-BR"/>
      <w14:ligatures w14:val="none"/>
    </w:rPr>
  </w:style>
  <w:style w:type="paragraph" w:styleId="Recuodecorpodetexto2">
    <w:name w:val="Body Text Indent 2"/>
    <w:basedOn w:val="Normal"/>
    <w:link w:val="Recuodecorpodetexto2Char"/>
    <w:rsid w:val="00F15C37"/>
    <w:pPr>
      <w:ind w:left="720" w:hanging="720"/>
      <w:jc w:val="both"/>
    </w:pPr>
    <w:rPr>
      <w:snapToGrid w:val="0"/>
      <w:color w:val="000000"/>
      <w:sz w:val="22"/>
      <w:lang w:eastAsia="en-US"/>
    </w:rPr>
  </w:style>
  <w:style w:type="character" w:customStyle="1" w:styleId="Recuodecorpodetexto2Char">
    <w:name w:val="Recuo de corpo de texto 2 Char"/>
    <w:basedOn w:val="Fontepargpadro"/>
    <w:link w:val="Recuodecorpodetexto2"/>
    <w:rsid w:val="00F15C37"/>
    <w:rPr>
      <w:rFonts w:ascii="Times New Roman" w:eastAsia="Times New Roman" w:hAnsi="Times New Roman" w:cs="Times New Roman"/>
      <w:snapToGrid w:val="0"/>
      <w:color w:val="000000"/>
      <w:kern w:val="0"/>
      <w:szCs w:val="20"/>
      <w14:ligatures w14:val="none"/>
    </w:rPr>
  </w:style>
  <w:style w:type="paragraph" w:styleId="Subttulo">
    <w:name w:val="Subtitle"/>
    <w:basedOn w:val="Normal"/>
    <w:link w:val="SubttuloChar"/>
    <w:qFormat/>
    <w:rsid w:val="00F15C37"/>
    <w:pPr>
      <w:spacing w:line="320" w:lineRule="exact"/>
      <w:ind w:left="720" w:right="656"/>
      <w:jc w:val="center"/>
    </w:pPr>
    <w:rPr>
      <w:b/>
      <w:sz w:val="22"/>
    </w:rPr>
  </w:style>
  <w:style w:type="character" w:customStyle="1" w:styleId="SubttuloChar">
    <w:name w:val="Subtítulo Char"/>
    <w:basedOn w:val="Fontepargpadro"/>
    <w:link w:val="Subttulo"/>
    <w:rsid w:val="00F15C37"/>
    <w:rPr>
      <w:rFonts w:ascii="Times New Roman" w:eastAsia="Times New Roman" w:hAnsi="Times New Roman" w:cs="Times New Roman"/>
      <w:b/>
      <w:kern w:val="0"/>
      <w:szCs w:val="20"/>
      <w:lang w:eastAsia="pt-BR"/>
      <w14:ligatures w14:val="none"/>
    </w:rPr>
  </w:style>
  <w:style w:type="paragraph" w:styleId="Textoembloco">
    <w:name w:val="Block Text"/>
    <w:basedOn w:val="Normal"/>
    <w:rsid w:val="00F15C37"/>
    <w:pPr>
      <w:ind w:left="1418" w:right="193" w:hanging="709"/>
      <w:jc w:val="both"/>
    </w:pPr>
    <w:rPr>
      <w:sz w:val="22"/>
    </w:rPr>
  </w:style>
  <w:style w:type="character" w:styleId="Refdecomentrio">
    <w:name w:val="annotation reference"/>
    <w:semiHidden/>
    <w:rsid w:val="00F15C37"/>
    <w:rPr>
      <w:sz w:val="16"/>
    </w:rPr>
  </w:style>
  <w:style w:type="paragraph" w:customStyle="1" w:styleId="BodyText21">
    <w:name w:val="Body Text 21"/>
    <w:basedOn w:val="Normal"/>
    <w:rsid w:val="00F15C37"/>
    <w:pPr>
      <w:jc w:val="both"/>
    </w:pPr>
    <w:rPr>
      <w:sz w:val="22"/>
    </w:rPr>
  </w:style>
  <w:style w:type="paragraph" w:styleId="TextosemFormatao">
    <w:name w:val="Plain Text"/>
    <w:basedOn w:val="Normal"/>
    <w:link w:val="TextosemFormataoChar"/>
    <w:rsid w:val="00F15C37"/>
    <w:rPr>
      <w:rFonts w:ascii="Courier New" w:hAnsi="Courier New"/>
    </w:rPr>
  </w:style>
  <w:style w:type="character" w:customStyle="1" w:styleId="TextosemFormataoChar">
    <w:name w:val="Texto sem Formatação Char"/>
    <w:basedOn w:val="Fontepargpadro"/>
    <w:link w:val="TextosemFormatao"/>
    <w:rsid w:val="00F15C37"/>
    <w:rPr>
      <w:rFonts w:ascii="Courier New" w:eastAsia="Times New Roman" w:hAnsi="Courier New" w:cs="Times New Roman"/>
      <w:kern w:val="0"/>
      <w:sz w:val="20"/>
      <w:szCs w:val="20"/>
      <w:lang w:eastAsia="pt-BR"/>
      <w14:ligatures w14:val="none"/>
    </w:rPr>
  </w:style>
  <w:style w:type="paragraph" w:styleId="Commarcadores">
    <w:name w:val="List Bullet"/>
    <w:basedOn w:val="Normal"/>
    <w:autoRedefine/>
    <w:rsid w:val="00F15C37"/>
    <w:pPr>
      <w:numPr>
        <w:numId w:val="1"/>
      </w:numPr>
    </w:pPr>
  </w:style>
  <w:style w:type="paragraph" w:styleId="NormalWeb">
    <w:name w:val="Normal (Web)"/>
    <w:basedOn w:val="Normal"/>
    <w:uiPriority w:val="99"/>
    <w:rsid w:val="00F15C37"/>
    <w:pPr>
      <w:spacing w:before="100" w:after="100"/>
    </w:pPr>
    <w:rPr>
      <w:rFonts w:ascii="Arial Unicode MS" w:eastAsia="Arial Unicode MS" w:hAnsi="Arial Unicode MS"/>
      <w:sz w:val="24"/>
    </w:rPr>
  </w:style>
  <w:style w:type="paragraph" w:customStyle="1" w:styleId="Textodebalo1">
    <w:name w:val="Texto de balão1"/>
    <w:basedOn w:val="Normal"/>
    <w:semiHidden/>
    <w:rsid w:val="00F15C37"/>
    <w:rPr>
      <w:rFonts w:ascii="Tahoma" w:hAnsi="Tahoma" w:cs="Tahoma"/>
      <w:sz w:val="16"/>
      <w:szCs w:val="16"/>
    </w:rPr>
  </w:style>
  <w:style w:type="character" w:styleId="Hyperlink">
    <w:name w:val="Hyperlink"/>
    <w:rsid w:val="00F15C37"/>
    <w:rPr>
      <w:color w:val="0000FF"/>
      <w:u w:val="single"/>
    </w:rPr>
  </w:style>
  <w:style w:type="paragraph" w:styleId="Legenda">
    <w:name w:val="caption"/>
    <w:basedOn w:val="Normal"/>
    <w:next w:val="Normal"/>
    <w:qFormat/>
    <w:rsid w:val="00F15C37"/>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sid w:val="00F15C37"/>
    <w:rPr>
      <w:color w:val="800080"/>
      <w:u w:val="single"/>
    </w:rPr>
  </w:style>
  <w:style w:type="paragraph" w:customStyle="1" w:styleId="Default">
    <w:name w:val="Default"/>
    <w:rsid w:val="00F15C37"/>
    <w:pPr>
      <w:widowControl w:val="0"/>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Corpo">
    <w:name w:val="Corpo"/>
    <w:basedOn w:val="Normal"/>
    <w:rsid w:val="00F15C37"/>
    <w:pPr>
      <w:jc w:val="both"/>
    </w:pPr>
    <w:rPr>
      <w:color w:val="000000"/>
      <w:lang w:eastAsia="en-US"/>
    </w:rPr>
  </w:style>
  <w:style w:type="paragraph" w:customStyle="1" w:styleId="Char">
    <w:name w:val="Char"/>
    <w:basedOn w:val="Normal"/>
    <w:rsid w:val="00F15C37"/>
    <w:pPr>
      <w:spacing w:after="160" w:line="240" w:lineRule="exact"/>
    </w:pPr>
    <w:rPr>
      <w:rFonts w:ascii="Verdana" w:hAnsi="Verdana"/>
      <w:lang w:val="en-US" w:eastAsia="en-US"/>
    </w:rPr>
  </w:style>
  <w:style w:type="paragraph" w:styleId="Textodebalo">
    <w:name w:val="Balloon Text"/>
    <w:basedOn w:val="Normal"/>
    <w:link w:val="TextodebaloChar"/>
    <w:semiHidden/>
    <w:rsid w:val="00F15C37"/>
    <w:rPr>
      <w:rFonts w:ascii="Tahoma" w:hAnsi="Tahoma" w:cs="Tahoma"/>
      <w:sz w:val="16"/>
      <w:szCs w:val="16"/>
    </w:rPr>
  </w:style>
  <w:style w:type="character" w:customStyle="1" w:styleId="TextodebaloChar">
    <w:name w:val="Texto de balão Char"/>
    <w:basedOn w:val="Fontepargpadro"/>
    <w:link w:val="Textodebalo"/>
    <w:semiHidden/>
    <w:rsid w:val="00F15C37"/>
    <w:rPr>
      <w:rFonts w:ascii="Tahoma" w:eastAsia="Times New Roman" w:hAnsi="Tahoma" w:cs="Tahoma"/>
      <w:kern w:val="0"/>
      <w:sz w:val="16"/>
      <w:szCs w:val="16"/>
      <w:lang w:eastAsia="pt-BR"/>
      <w14:ligatures w14:val="none"/>
    </w:rPr>
  </w:style>
  <w:style w:type="character" w:styleId="nfase">
    <w:name w:val="Emphasis"/>
    <w:qFormat/>
    <w:rsid w:val="00F15C37"/>
    <w:rPr>
      <w:i/>
      <w:iCs/>
    </w:rPr>
  </w:style>
  <w:style w:type="table" w:styleId="Tabelacomgrade">
    <w:name w:val="Table Grid"/>
    <w:basedOn w:val="Tabelanormal"/>
    <w:rsid w:val="00F15C37"/>
    <w:pPr>
      <w:spacing w:after="0" w:line="240" w:lineRule="auto"/>
      <w:jc w:val="both"/>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F15C37"/>
    <w:pPr>
      <w:jc w:val="left"/>
    </w:pPr>
    <w:rPr>
      <w:b/>
      <w:bCs/>
    </w:rPr>
  </w:style>
  <w:style w:type="character" w:customStyle="1" w:styleId="AssuntodocomentrioChar">
    <w:name w:val="Assunto do comentário Char"/>
    <w:basedOn w:val="TextodecomentrioChar"/>
    <w:link w:val="Assuntodocomentrio"/>
    <w:semiHidden/>
    <w:rsid w:val="00F15C37"/>
    <w:rPr>
      <w:rFonts w:ascii="Times New Roman" w:eastAsia="Times New Roman" w:hAnsi="Times New Roman" w:cs="Times New Roman"/>
      <w:b/>
      <w:bCs/>
      <w:kern w:val="0"/>
      <w:sz w:val="20"/>
      <w:szCs w:val="20"/>
      <w:lang w:eastAsia="pt-BR"/>
      <w14:ligatures w14:val="none"/>
    </w:rPr>
  </w:style>
  <w:style w:type="paragraph" w:customStyle="1" w:styleId="Char1">
    <w:name w:val="Char1"/>
    <w:basedOn w:val="Normal"/>
    <w:rsid w:val="00F15C37"/>
    <w:pPr>
      <w:spacing w:after="160" w:line="240" w:lineRule="exact"/>
    </w:pPr>
    <w:rPr>
      <w:rFonts w:ascii="Verdana" w:hAnsi="Verdana"/>
      <w:lang w:val="en-US" w:eastAsia="en-US"/>
    </w:rPr>
  </w:style>
  <w:style w:type="paragraph" w:customStyle="1" w:styleId="CharCharCharCharCharChar">
    <w:name w:val="Char Char Char Char Char Char"/>
    <w:basedOn w:val="Normal"/>
    <w:rsid w:val="00F15C37"/>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F15C37"/>
    <w:pPr>
      <w:ind w:left="708"/>
    </w:pPr>
    <w:rPr>
      <w:lang w:val="en-GB"/>
    </w:rPr>
  </w:style>
  <w:style w:type="paragraph" w:styleId="Textodenotadefim">
    <w:name w:val="endnote text"/>
    <w:basedOn w:val="Normal"/>
    <w:link w:val="TextodenotadefimChar"/>
    <w:uiPriority w:val="99"/>
    <w:unhideWhenUsed/>
    <w:rsid w:val="00F15C37"/>
  </w:style>
  <w:style w:type="character" w:customStyle="1" w:styleId="TextodenotadefimChar">
    <w:name w:val="Texto de nota de fim Char"/>
    <w:basedOn w:val="Fontepargpadro"/>
    <w:link w:val="Textodenotadefim"/>
    <w:uiPriority w:val="99"/>
    <w:rsid w:val="00F15C37"/>
    <w:rPr>
      <w:rFonts w:ascii="Times New Roman" w:eastAsia="Times New Roman" w:hAnsi="Times New Roman" w:cs="Times New Roman"/>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444640">
      <w:bodyDiv w:val="1"/>
      <w:marLeft w:val="0"/>
      <w:marRight w:val="0"/>
      <w:marTop w:val="0"/>
      <w:marBottom w:val="0"/>
      <w:divBdr>
        <w:top w:val="none" w:sz="0" w:space="0" w:color="auto"/>
        <w:left w:val="none" w:sz="0" w:space="0" w:color="auto"/>
        <w:bottom w:val="none" w:sz="0" w:space="0" w:color="auto"/>
        <w:right w:val="none" w:sz="0" w:space="0" w:color="auto"/>
      </w:divBdr>
    </w:div>
    <w:div w:id="1086733586">
      <w:bodyDiv w:val="1"/>
      <w:marLeft w:val="0"/>
      <w:marRight w:val="0"/>
      <w:marTop w:val="0"/>
      <w:marBottom w:val="0"/>
      <w:divBdr>
        <w:top w:val="none" w:sz="0" w:space="0" w:color="auto"/>
        <w:left w:val="none" w:sz="0" w:space="0" w:color="auto"/>
        <w:bottom w:val="none" w:sz="0" w:space="0" w:color="auto"/>
        <w:right w:val="none" w:sz="0" w:space="0" w:color="auto"/>
      </w:divBdr>
    </w:div>
    <w:div w:id="1422602063">
      <w:bodyDiv w:val="1"/>
      <w:marLeft w:val="0"/>
      <w:marRight w:val="0"/>
      <w:marTop w:val="0"/>
      <w:marBottom w:val="0"/>
      <w:divBdr>
        <w:top w:val="none" w:sz="0" w:space="0" w:color="auto"/>
        <w:left w:val="none" w:sz="0" w:space="0" w:color="auto"/>
        <w:bottom w:val="none" w:sz="0" w:space="0" w:color="auto"/>
        <w:right w:val="none" w:sz="0" w:space="0" w:color="auto"/>
      </w:divBdr>
    </w:div>
    <w:div w:id="1743286986">
      <w:bodyDiv w:val="1"/>
      <w:marLeft w:val="0"/>
      <w:marRight w:val="0"/>
      <w:marTop w:val="0"/>
      <w:marBottom w:val="0"/>
      <w:divBdr>
        <w:top w:val="none" w:sz="0" w:space="0" w:color="auto"/>
        <w:left w:val="none" w:sz="0" w:space="0" w:color="auto"/>
        <w:bottom w:val="none" w:sz="0" w:space="0" w:color="auto"/>
        <w:right w:val="none" w:sz="0" w:space="0" w:color="auto"/>
      </w:divBdr>
    </w:div>
    <w:div w:id="213247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AED3-CFEB-442C-A77B-F1CF1E5B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5642</Words>
  <Characters>30469</Characters>
  <Application>Microsoft Office Word</Application>
  <DocSecurity>0</DocSecurity>
  <Lines>253</Lines>
  <Paragraphs>72</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36039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Stabilito Cavanellas</dc:creator>
  <cp:keywords/>
  <dc:description/>
  <cp:lastModifiedBy>Silmara Aleixo dos Santos Noronha</cp:lastModifiedBy>
  <cp:revision>2</cp:revision>
  <dcterms:created xsi:type="dcterms:W3CDTF">2024-04-08T12:07:00Z</dcterms:created>
  <dcterms:modified xsi:type="dcterms:W3CDTF">2024-04-08T12:07:00Z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2024-02-15T20:44:45Z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9680cb71-2add-4641-ac6a-896971608be9</vt:lpwstr>
  </property>
  <property fmtid="{D5CDD505-2E9C-101B-9397-08002B2CF9AE}" pid="8" name="MSIP_Label_41b88ec2-a72b-4523-9e84-0458a1764731_ContentBits">
    <vt:lpwstr>0</vt:lpwstr>
  </property>
</Properties>
</file>