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05B55" w14:textId="08A305A3" w:rsidR="00A32A6B" w:rsidRPr="00907AFF" w:rsidRDefault="00A32A6B" w:rsidP="00907AFF">
      <w:pPr>
        <w:rPr>
          <w:rFonts w:ascii="Tahoma" w:hAnsi="Tahoma" w:cs="Tahoma"/>
          <w:bCs/>
        </w:rPr>
      </w:pPr>
      <w:bookmarkStart w:id="0" w:name="_Hlk150505563"/>
      <w:r w:rsidRPr="00DA47DF">
        <w:rPr>
          <w:rFonts w:ascii="Tahoma" w:hAnsi="Tahoma" w:cs="Tahoma"/>
          <w:bCs/>
        </w:rPr>
        <w:t xml:space="preserve">O presente Regulamento é parte integrante da Ata De Assembleia Geral De Cotistas Do </w:t>
      </w:r>
      <w:r w:rsidRPr="00A32A6B">
        <w:rPr>
          <w:rFonts w:ascii="Tahoma" w:hAnsi="Tahoma" w:cs="Tahoma"/>
          <w:bCs/>
        </w:rPr>
        <w:t>SANTANDER PB ALOCAÇÃO AÇÕES LONG ONLY FUNDO DE INVESTIMENTO EM COTAS DE FUNDOS DE INVESTIMENTO</w:t>
      </w:r>
      <w:r w:rsidRPr="00DA47DF">
        <w:rPr>
          <w:rFonts w:ascii="Tahoma" w:hAnsi="Tahoma" w:cs="Tahoma"/>
          <w:bCs/>
        </w:rPr>
        <w:t xml:space="preserve">, realizada em </w:t>
      </w:r>
      <w:r w:rsidR="00406A98" w:rsidRPr="00406A98">
        <w:rPr>
          <w:rFonts w:ascii="Tahoma" w:hAnsi="Tahoma" w:cs="Tahoma"/>
          <w:bCs/>
        </w:rPr>
        <w:t>22/12/2023</w:t>
      </w:r>
      <w:r w:rsidR="00406A98">
        <w:rPr>
          <w:rFonts w:ascii="Tahoma" w:hAnsi="Tahoma" w:cs="Tahoma"/>
          <w:bCs/>
        </w:rPr>
        <w:t>.</w:t>
      </w:r>
    </w:p>
    <w:bookmarkEnd w:id="0"/>
    <w:p w14:paraId="2E687C5F" w14:textId="77777777" w:rsidR="00D815CE" w:rsidRPr="00A652EA" w:rsidRDefault="00D815CE" w:rsidP="00D815CE">
      <w:pPr>
        <w:keepNext/>
        <w:spacing w:line="280" w:lineRule="atLeast"/>
        <w:jc w:val="center"/>
        <w:outlineLvl w:val="5"/>
        <w:rPr>
          <w:rFonts w:ascii="Tahoma" w:hAnsi="Tahoma" w:cs="Tahoma"/>
          <w:b/>
          <w:sz w:val="22"/>
          <w:szCs w:val="22"/>
        </w:rPr>
      </w:pPr>
    </w:p>
    <w:p w14:paraId="0066FB46" w14:textId="77777777" w:rsidR="00675364" w:rsidRPr="00A652EA" w:rsidRDefault="00675364" w:rsidP="00675364">
      <w:pPr>
        <w:keepNext/>
        <w:spacing w:line="280" w:lineRule="atLeast"/>
        <w:jc w:val="center"/>
        <w:outlineLvl w:val="5"/>
        <w:rPr>
          <w:rFonts w:ascii="Tahoma" w:hAnsi="Tahoma" w:cs="Tahoma"/>
          <w:b/>
          <w:sz w:val="22"/>
          <w:szCs w:val="22"/>
        </w:rPr>
      </w:pPr>
    </w:p>
    <w:p w14:paraId="09C25B90" w14:textId="77777777" w:rsidR="00675364" w:rsidRPr="00A652EA" w:rsidRDefault="00675364" w:rsidP="00675364">
      <w:pPr>
        <w:keepNext/>
        <w:spacing w:line="280" w:lineRule="atLeast"/>
        <w:jc w:val="center"/>
        <w:outlineLvl w:val="5"/>
        <w:rPr>
          <w:rFonts w:ascii="Tahoma" w:hAnsi="Tahoma" w:cs="Tahoma"/>
          <w:sz w:val="22"/>
          <w:szCs w:val="22"/>
        </w:rPr>
      </w:pPr>
      <w:r w:rsidRPr="00A652EA">
        <w:rPr>
          <w:rFonts w:ascii="Tahoma" w:hAnsi="Tahoma" w:cs="Tahoma"/>
          <w:b/>
          <w:sz w:val="22"/>
          <w:szCs w:val="22"/>
        </w:rPr>
        <w:t>REGULAMENTO DO</w:t>
      </w:r>
    </w:p>
    <w:p w14:paraId="003F6076" w14:textId="77777777" w:rsidR="00675364" w:rsidRPr="00A652EA" w:rsidRDefault="00675364" w:rsidP="00675364">
      <w:pPr>
        <w:spacing w:line="280" w:lineRule="atLeast"/>
        <w:jc w:val="center"/>
        <w:rPr>
          <w:rFonts w:ascii="Tahoma" w:hAnsi="Tahoma" w:cs="Tahoma"/>
          <w:b/>
          <w:sz w:val="22"/>
          <w:szCs w:val="22"/>
        </w:rPr>
      </w:pPr>
      <w:r w:rsidRPr="00A652EA">
        <w:rPr>
          <w:rFonts w:ascii="Tahoma" w:hAnsi="Tahoma" w:cs="Tahoma"/>
          <w:b/>
          <w:sz w:val="22"/>
          <w:szCs w:val="22"/>
        </w:rPr>
        <w:t xml:space="preserve">SANTANDER PB ALOCAÇÃO AÇÕES LONG ONLY FUNDO DE INVESTIMENTO EM COTAS DE FUNDOS DE INVESTIMENTO </w:t>
      </w:r>
    </w:p>
    <w:p w14:paraId="1A6432C0" w14:textId="77777777" w:rsidR="00675364" w:rsidRPr="00A652EA" w:rsidRDefault="00675364" w:rsidP="00675364">
      <w:pPr>
        <w:spacing w:line="280" w:lineRule="atLeast"/>
        <w:jc w:val="center"/>
        <w:rPr>
          <w:rFonts w:ascii="Tahoma" w:hAnsi="Tahoma" w:cs="Tahoma"/>
          <w:b/>
          <w:sz w:val="22"/>
          <w:szCs w:val="22"/>
        </w:rPr>
      </w:pPr>
      <w:r w:rsidRPr="00A652EA">
        <w:rPr>
          <w:rFonts w:ascii="Tahoma" w:hAnsi="Tahoma" w:cs="Tahoma"/>
          <w:b/>
          <w:sz w:val="22"/>
          <w:szCs w:val="22"/>
        </w:rPr>
        <w:t>CNPJ n.º 37.267.399/0001-81</w:t>
      </w:r>
    </w:p>
    <w:p w14:paraId="10FBBA90" w14:textId="77777777" w:rsidR="00675364" w:rsidRPr="00A652EA" w:rsidRDefault="00675364" w:rsidP="00675364">
      <w:pPr>
        <w:spacing w:line="280" w:lineRule="atLeast"/>
        <w:jc w:val="center"/>
        <w:rPr>
          <w:rFonts w:ascii="Tahoma" w:hAnsi="Tahoma" w:cs="Tahoma"/>
          <w:b/>
          <w:sz w:val="22"/>
          <w:szCs w:val="22"/>
        </w:rPr>
      </w:pPr>
    </w:p>
    <w:p w14:paraId="2430D3DA" w14:textId="77777777" w:rsidR="00675364" w:rsidRPr="00A652EA" w:rsidRDefault="00675364" w:rsidP="00675364">
      <w:pPr>
        <w:spacing w:line="280" w:lineRule="atLeast"/>
        <w:jc w:val="both"/>
        <w:rPr>
          <w:rFonts w:ascii="Tahoma" w:hAnsi="Tahoma" w:cs="Tahoma"/>
          <w:sz w:val="22"/>
          <w:szCs w:val="22"/>
        </w:rPr>
      </w:pPr>
    </w:p>
    <w:p w14:paraId="003C1E4F" w14:textId="77777777" w:rsidR="00675364" w:rsidRPr="00A652EA" w:rsidRDefault="00675364" w:rsidP="00675364">
      <w:pPr>
        <w:pBdr>
          <w:bottom w:val="single" w:sz="6" w:space="1" w:color="auto"/>
        </w:pBdr>
        <w:spacing w:line="280" w:lineRule="atLeast"/>
        <w:jc w:val="center"/>
        <w:rPr>
          <w:rFonts w:ascii="Tahoma" w:hAnsi="Tahoma" w:cs="Tahoma"/>
          <w:b/>
          <w:sz w:val="22"/>
          <w:szCs w:val="22"/>
        </w:rPr>
      </w:pPr>
      <w:r w:rsidRPr="00A652EA">
        <w:rPr>
          <w:rFonts w:ascii="Tahoma" w:hAnsi="Tahoma" w:cs="Tahoma"/>
          <w:b/>
          <w:sz w:val="22"/>
          <w:szCs w:val="22"/>
        </w:rPr>
        <w:t>CLÁUSULA PRIMEIRA – DO FUNDO</w:t>
      </w:r>
    </w:p>
    <w:p w14:paraId="1D6366A9" w14:textId="77777777" w:rsidR="00675364" w:rsidRPr="00A652EA" w:rsidRDefault="00675364" w:rsidP="00675364">
      <w:pPr>
        <w:spacing w:line="280" w:lineRule="atLeast"/>
        <w:jc w:val="both"/>
        <w:rPr>
          <w:rFonts w:ascii="Tahoma" w:hAnsi="Tahoma" w:cs="Tahoma"/>
          <w:sz w:val="22"/>
          <w:szCs w:val="22"/>
        </w:rPr>
      </w:pPr>
    </w:p>
    <w:p w14:paraId="09663073" w14:textId="77777777" w:rsidR="00675364" w:rsidRPr="00A652EA" w:rsidRDefault="00675364" w:rsidP="00675364">
      <w:pPr>
        <w:spacing w:line="280" w:lineRule="atLeast"/>
        <w:jc w:val="both"/>
        <w:rPr>
          <w:rFonts w:ascii="Tahoma" w:hAnsi="Tahoma" w:cs="Tahoma"/>
          <w:b/>
          <w:color w:val="000000"/>
          <w:sz w:val="22"/>
          <w:szCs w:val="22"/>
          <w:u w:val="single"/>
        </w:rPr>
      </w:pPr>
      <w:r w:rsidRPr="00A652EA">
        <w:rPr>
          <w:rFonts w:ascii="Tahoma" w:hAnsi="Tahoma" w:cs="Tahoma"/>
          <w:sz w:val="22"/>
          <w:szCs w:val="22"/>
        </w:rPr>
        <w:t xml:space="preserve">1.1. </w:t>
      </w:r>
      <w:r w:rsidRPr="00A652EA">
        <w:rPr>
          <w:rFonts w:ascii="Tahoma" w:hAnsi="Tahoma" w:cs="Tahoma"/>
          <w:sz w:val="22"/>
          <w:szCs w:val="22"/>
        </w:rPr>
        <w:tab/>
        <w:t>O</w:t>
      </w:r>
      <w:r w:rsidRPr="00A652EA">
        <w:rPr>
          <w:rFonts w:ascii="Tahoma" w:hAnsi="Tahoma" w:cs="Tahoma"/>
          <w:b/>
          <w:sz w:val="22"/>
          <w:szCs w:val="22"/>
        </w:rPr>
        <w:t xml:space="preserve"> SANTANDER PB ALOCAÇÃO AÇÕES LONG ONLY FUNDO DE INVESTIMENTO EM COTAS DE FUNDOS DE INVESTIMENTO </w:t>
      </w:r>
      <w:r w:rsidRPr="00A652EA">
        <w:rPr>
          <w:rFonts w:ascii="Tahoma" w:hAnsi="Tahoma" w:cs="Tahoma"/>
          <w:sz w:val="22"/>
          <w:szCs w:val="22"/>
        </w:rPr>
        <w:t xml:space="preserve">(“FUNDO”) é uma comunhão de recursos, constituído sob a forma de condomínio </w:t>
      </w:r>
      <w:r w:rsidRPr="00A652EA">
        <w:rPr>
          <w:rFonts w:ascii="Tahoma" w:hAnsi="Tahoma" w:cs="Tahoma"/>
          <w:color w:val="000000"/>
          <w:sz w:val="22"/>
          <w:szCs w:val="22"/>
        </w:rPr>
        <w:t>aberto, com prazo de duração indeterminado (“Prazo de Duração”), sendo regido pelo presente regulamento (“Regulamento</w:t>
      </w:r>
      <w:r>
        <w:rPr>
          <w:rFonts w:ascii="Tahoma" w:hAnsi="Tahoma" w:cs="Tahoma"/>
          <w:color w:val="000000"/>
          <w:sz w:val="22"/>
          <w:szCs w:val="22"/>
        </w:rPr>
        <w:t>”) e</w:t>
      </w:r>
      <w:r w:rsidRPr="00A652EA">
        <w:rPr>
          <w:rFonts w:ascii="Tahoma" w:hAnsi="Tahoma" w:cs="Tahoma"/>
          <w:color w:val="000000"/>
          <w:sz w:val="22"/>
          <w:szCs w:val="22"/>
        </w:rPr>
        <w:t xml:space="preserve"> pela legislação e regulamentação em vigor.</w:t>
      </w:r>
    </w:p>
    <w:p w14:paraId="305D5F7B" w14:textId="77777777" w:rsidR="00675364" w:rsidRPr="00A652EA" w:rsidRDefault="00675364" w:rsidP="00675364">
      <w:pPr>
        <w:spacing w:line="280" w:lineRule="atLeast"/>
        <w:jc w:val="both"/>
        <w:rPr>
          <w:rFonts w:ascii="Tahoma" w:hAnsi="Tahoma" w:cs="Tahoma"/>
          <w:sz w:val="22"/>
          <w:szCs w:val="22"/>
        </w:rPr>
      </w:pPr>
    </w:p>
    <w:p w14:paraId="0924B1E7" w14:textId="77777777" w:rsidR="00675364" w:rsidRPr="00A652EA" w:rsidRDefault="00675364" w:rsidP="00675364">
      <w:pPr>
        <w:pBdr>
          <w:bottom w:val="single" w:sz="6" w:space="1" w:color="auto"/>
        </w:pBdr>
        <w:spacing w:line="280" w:lineRule="atLeast"/>
        <w:jc w:val="center"/>
        <w:rPr>
          <w:rFonts w:ascii="Tahoma" w:hAnsi="Tahoma" w:cs="Tahoma"/>
          <w:b/>
          <w:sz w:val="22"/>
          <w:szCs w:val="22"/>
        </w:rPr>
      </w:pPr>
      <w:r w:rsidRPr="00A652EA">
        <w:rPr>
          <w:rFonts w:ascii="Tahoma" w:hAnsi="Tahoma" w:cs="Tahoma"/>
          <w:b/>
          <w:sz w:val="22"/>
          <w:szCs w:val="22"/>
        </w:rPr>
        <w:t xml:space="preserve">CLÁUSULA SEGUNDA – DO </w:t>
      </w:r>
      <w:proofErr w:type="gramStart"/>
      <w:r w:rsidRPr="00A652EA">
        <w:rPr>
          <w:rFonts w:ascii="Tahoma" w:hAnsi="Tahoma" w:cs="Tahoma"/>
          <w:b/>
          <w:sz w:val="22"/>
          <w:szCs w:val="22"/>
        </w:rPr>
        <w:t>PÚBLICO ALVO</w:t>
      </w:r>
      <w:proofErr w:type="gramEnd"/>
      <w:r w:rsidRPr="00A652EA">
        <w:rPr>
          <w:rFonts w:ascii="Tahoma" w:hAnsi="Tahoma" w:cs="Tahoma"/>
          <w:b/>
          <w:sz w:val="22"/>
          <w:szCs w:val="22"/>
        </w:rPr>
        <w:t xml:space="preserve"> </w:t>
      </w:r>
    </w:p>
    <w:p w14:paraId="5FC99194" w14:textId="77777777" w:rsidR="00675364" w:rsidRPr="00A652EA" w:rsidRDefault="00675364" w:rsidP="00675364">
      <w:pPr>
        <w:spacing w:line="280" w:lineRule="atLeast"/>
        <w:jc w:val="both"/>
        <w:rPr>
          <w:rFonts w:ascii="Tahoma" w:hAnsi="Tahoma" w:cs="Tahoma"/>
          <w:sz w:val="22"/>
          <w:szCs w:val="22"/>
        </w:rPr>
      </w:pPr>
    </w:p>
    <w:p w14:paraId="52E2D07A"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2.1. O FUNDO é destinado a grupo determinado composto exclusivamente por investidores qualificados assim definidos nos termos da regulamentação em vigor da Comissão de Valores Mobiliários (“CVM”), integrantes do segmento Private Banking do Santander, a critério do ADMINISTRADOR, que conhecem, entendem e aceitam os riscos descritos neste Regulamento, aos quais os investimentos do FUNDO estão expostos, em razão dos mercados de atuação do FUNDO.</w:t>
      </w:r>
    </w:p>
    <w:p w14:paraId="6264BFDF" w14:textId="77777777" w:rsidR="00675364" w:rsidRPr="00A652EA" w:rsidRDefault="00675364" w:rsidP="00675364">
      <w:pPr>
        <w:spacing w:line="280" w:lineRule="atLeast"/>
        <w:jc w:val="both"/>
        <w:rPr>
          <w:rFonts w:ascii="Tahoma" w:hAnsi="Tahoma" w:cs="Tahoma"/>
          <w:sz w:val="22"/>
          <w:szCs w:val="22"/>
        </w:rPr>
      </w:pPr>
    </w:p>
    <w:p w14:paraId="4E21A8E6" w14:textId="77777777" w:rsidR="00675364" w:rsidRPr="00A652EA" w:rsidRDefault="00675364" w:rsidP="00675364">
      <w:pPr>
        <w:pBdr>
          <w:bottom w:val="single" w:sz="6" w:space="1" w:color="auto"/>
        </w:pBdr>
        <w:spacing w:line="280" w:lineRule="atLeast"/>
        <w:jc w:val="both"/>
        <w:rPr>
          <w:rFonts w:ascii="Tahoma" w:hAnsi="Tahoma" w:cs="Tahoma"/>
          <w:sz w:val="22"/>
          <w:szCs w:val="22"/>
        </w:rPr>
      </w:pPr>
      <w:r w:rsidRPr="00A652EA">
        <w:rPr>
          <w:rFonts w:ascii="Tahoma" w:hAnsi="Tahoma" w:cs="Tahoma"/>
          <w:sz w:val="22"/>
          <w:szCs w:val="22"/>
        </w:rPr>
        <w:t>2.1.1.</w:t>
      </w:r>
      <w:r w:rsidRPr="00A652EA">
        <w:rPr>
          <w:rFonts w:ascii="Tahoma" w:hAnsi="Tahoma" w:cs="Tahoma"/>
          <w:sz w:val="22"/>
          <w:szCs w:val="22"/>
        </w:rPr>
        <w:tab/>
        <w:t>Como o FUNDO é destinado exclusivamente a Investidores Qualificados, fica dispensada a elaboração da lâmina de</w:t>
      </w:r>
      <w:r w:rsidRPr="00A652EA">
        <w:rPr>
          <w:rFonts w:ascii="Tahoma" w:hAnsi="Tahoma" w:cs="Tahoma"/>
          <w:color w:val="000000"/>
          <w:sz w:val="22"/>
          <w:szCs w:val="22"/>
        </w:rPr>
        <w:t xml:space="preserve"> informações essenciais do </w:t>
      </w:r>
      <w:r w:rsidRPr="00A652EA">
        <w:rPr>
          <w:rFonts w:ascii="Tahoma" w:hAnsi="Tahoma" w:cs="Tahoma"/>
          <w:sz w:val="22"/>
          <w:szCs w:val="22"/>
        </w:rPr>
        <w:t>FUNDO.</w:t>
      </w:r>
    </w:p>
    <w:p w14:paraId="7C59660E" w14:textId="77777777" w:rsidR="00675364" w:rsidRPr="00A652EA" w:rsidRDefault="00675364" w:rsidP="00675364">
      <w:pPr>
        <w:pBdr>
          <w:bottom w:val="single" w:sz="6" w:space="1" w:color="auto"/>
        </w:pBdr>
        <w:spacing w:line="280" w:lineRule="atLeast"/>
        <w:jc w:val="both"/>
        <w:rPr>
          <w:rFonts w:ascii="Tahoma" w:hAnsi="Tahoma" w:cs="Tahoma"/>
          <w:sz w:val="22"/>
          <w:szCs w:val="22"/>
        </w:rPr>
      </w:pPr>
    </w:p>
    <w:p w14:paraId="0CAD1383" w14:textId="77777777" w:rsidR="00675364" w:rsidRPr="00A652EA" w:rsidRDefault="00675364" w:rsidP="00675364">
      <w:pPr>
        <w:pBdr>
          <w:bottom w:val="single" w:sz="6" w:space="1" w:color="auto"/>
        </w:pBdr>
        <w:spacing w:line="280" w:lineRule="atLeast"/>
        <w:jc w:val="both"/>
        <w:rPr>
          <w:rFonts w:ascii="Tahoma" w:hAnsi="Tahoma" w:cs="Tahoma"/>
          <w:sz w:val="22"/>
          <w:szCs w:val="22"/>
        </w:rPr>
      </w:pPr>
      <w:r w:rsidRPr="00A652EA">
        <w:rPr>
          <w:rFonts w:ascii="Tahoma" w:hAnsi="Tahoma" w:cs="Tahoma"/>
          <w:sz w:val="22"/>
          <w:szCs w:val="22"/>
        </w:rPr>
        <w:t>2.2.</w:t>
      </w:r>
      <w:r w:rsidRPr="00A652EA">
        <w:rPr>
          <w:rFonts w:ascii="Tahoma" w:hAnsi="Tahoma" w:cs="Tahoma"/>
          <w:sz w:val="22"/>
          <w:szCs w:val="22"/>
        </w:rPr>
        <w:tab/>
        <w:t xml:space="preserve">O enquadramento dos Cotistas no </w:t>
      </w:r>
      <w:proofErr w:type="gramStart"/>
      <w:r w:rsidRPr="00A652EA">
        <w:rPr>
          <w:rFonts w:ascii="Tahoma" w:hAnsi="Tahoma" w:cs="Tahoma"/>
          <w:sz w:val="22"/>
          <w:szCs w:val="22"/>
        </w:rPr>
        <w:t>Público Alvo</w:t>
      </w:r>
      <w:proofErr w:type="gramEnd"/>
      <w:r w:rsidRPr="00A652EA">
        <w:rPr>
          <w:rFonts w:ascii="Tahoma" w:hAnsi="Tahoma" w:cs="Tahoma"/>
          <w:sz w:val="22"/>
          <w:szCs w:val="22"/>
        </w:rPr>
        <w:t xml:space="preserve"> descrito no item anterior será verificado, pelo distribuidor das cotas do FUNDO, no ato do ingresso dos Cotistas. </w:t>
      </w:r>
    </w:p>
    <w:p w14:paraId="66D235C5" w14:textId="77777777" w:rsidR="00675364" w:rsidRPr="00A652EA" w:rsidRDefault="00675364" w:rsidP="00675364">
      <w:pPr>
        <w:pBdr>
          <w:bottom w:val="single" w:sz="6" w:space="1" w:color="auto"/>
        </w:pBdr>
        <w:spacing w:line="280" w:lineRule="atLeast"/>
        <w:jc w:val="both"/>
        <w:rPr>
          <w:rFonts w:ascii="Tahoma" w:hAnsi="Tahoma" w:cs="Tahoma"/>
          <w:sz w:val="22"/>
          <w:szCs w:val="22"/>
        </w:rPr>
      </w:pPr>
    </w:p>
    <w:p w14:paraId="2965B4B6" w14:textId="77777777" w:rsidR="00675364" w:rsidRPr="00A652EA" w:rsidRDefault="00675364" w:rsidP="00675364">
      <w:pPr>
        <w:pBdr>
          <w:bottom w:val="single" w:sz="6" w:space="1" w:color="auto"/>
        </w:pBdr>
        <w:spacing w:line="280" w:lineRule="atLeast"/>
        <w:jc w:val="center"/>
        <w:rPr>
          <w:rFonts w:ascii="Tahoma" w:hAnsi="Tahoma" w:cs="Tahoma"/>
          <w:b/>
          <w:sz w:val="22"/>
          <w:szCs w:val="22"/>
        </w:rPr>
      </w:pPr>
      <w:r w:rsidRPr="00A652EA">
        <w:rPr>
          <w:rFonts w:ascii="Tahoma" w:hAnsi="Tahoma" w:cs="Tahoma"/>
          <w:b/>
          <w:sz w:val="22"/>
          <w:szCs w:val="22"/>
        </w:rPr>
        <w:t>CLÁUSULA TERCEIRA – DO OBJETIVO E DA POLÍTICA DE INVESTIMENTO</w:t>
      </w:r>
    </w:p>
    <w:p w14:paraId="3DD28468" w14:textId="77777777" w:rsidR="00675364" w:rsidRPr="00A652EA" w:rsidRDefault="00675364" w:rsidP="00675364">
      <w:pPr>
        <w:spacing w:line="280" w:lineRule="atLeast"/>
        <w:jc w:val="both"/>
        <w:rPr>
          <w:rFonts w:ascii="Tahoma" w:hAnsi="Tahoma" w:cs="Tahoma"/>
          <w:sz w:val="22"/>
          <w:szCs w:val="22"/>
        </w:rPr>
      </w:pPr>
    </w:p>
    <w:p w14:paraId="502E5EE6" w14:textId="77777777" w:rsidR="00675364" w:rsidRPr="00A652EA" w:rsidRDefault="00675364" w:rsidP="00675364">
      <w:pPr>
        <w:tabs>
          <w:tab w:val="left" w:pos="426"/>
          <w:tab w:val="left" w:pos="1843"/>
        </w:tabs>
        <w:jc w:val="both"/>
        <w:rPr>
          <w:rFonts w:ascii="Tahoma" w:hAnsi="Tahoma" w:cs="Tahoma"/>
          <w:sz w:val="22"/>
          <w:szCs w:val="22"/>
        </w:rPr>
      </w:pPr>
      <w:r w:rsidRPr="00A652EA">
        <w:rPr>
          <w:rFonts w:ascii="Tahoma" w:hAnsi="Tahoma" w:cs="Tahoma"/>
          <w:sz w:val="22"/>
          <w:szCs w:val="22"/>
        </w:rPr>
        <w:t xml:space="preserve">3.1. O FUNDO tem como objetivo investir em ativos financeiros e/ou modalidades operacionais de renda variável, disponíveis nos mercados financeiros e de capitais em geral, por meio da aplicação de seus recursos, preponderantemente, em cotas do SANTANDER PB ALOCAÇÃO AÇÕES LONG ONLY FUNDO DE INVESTIMENTO, inscrito no CNPJ 37.267.363/0001-06 (PB ALOCAÇÃO AÇÕES LONG ONLY FIA). </w:t>
      </w:r>
    </w:p>
    <w:p w14:paraId="1DFB8495" w14:textId="77777777" w:rsidR="00675364" w:rsidRPr="00A652EA" w:rsidRDefault="00675364" w:rsidP="00675364">
      <w:pPr>
        <w:jc w:val="both"/>
        <w:rPr>
          <w:rFonts w:ascii="Tahoma" w:hAnsi="Tahoma" w:cs="Tahoma"/>
          <w:bCs/>
          <w:color w:val="000000"/>
          <w:sz w:val="22"/>
          <w:szCs w:val="22"/>
        </w:rPr>
      </w:pPr>
    </w:p>
    <w:p w14:paraId="551A189A"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Cs/>
          <w:color w:val="000000"/>
          <w:sz w:val="22"/>
          <w:szCs w:val="22"/>
        </w:rPr>
        <w:t>3.1.1. Para atingir o objetivo de investimento descrito acima, o FUNDO alocará seus recursos de acordo com as regras e limites previstos nos quadros a seguir:</w:t>
      </w:r>
    </w:p>
    <w:p w14:paraId="652EA8EE" w14:textId="77777777" w:rsidR="00675364" w:rsidRPr="00A652EA" w:rsidRDefault="00675364" w:rsidP="00675364">
      <w:pPr>
        <w:jc w:val="both"/>
        <w:rPr>
          <w:rFonts w:ascii="Tahoma" w:hAnsi="Tahoma" w:cs="Tahoma"/>
          <w:bCs/>
          <w:color w:val="000000"/>
          <w:sz w:val="22"/>
          <w:szCs w:val="22"/>
        </w:rPr>
      </w:pPr>
    </w:p>
    <w:tbl>
      <w:tblPr>
        <w:tblW w:w="10490" w:type="dxa"/>
        <w:tblInd w:w="-5" w:type="dxa"/>
        <w:tblCellMar>
          <w:left w:w="70" w:type="dxa"/>
          <w:right w:w="70" w:type="dxa"/>
        </w:tblCellMar>
        <w:tblLook w:val="04A0" w:firstRow="1" w:lastRow="0" w:firstColumn="1" w:lastColumn="0" w:noHBand="0" w:noVBand="1"/>
      </w:tblPr>
      <w:tblGrid>
        <w:gridCol w:w="7655"/>
        <w:gridCol w:w="1417"/>
        <w:gridCol w:w="1418"/>
      </w:tblGrid>
      <w:tr w:rsidR="00675364" w:rsidRPr="00A652EA" w14:paraId="5CCBA90A" w14:textId="77777777" w:rsidTr="00C40E25">
        <w:trPr>
          <w:trHeight w:val="283"/>
        </w:trPr>
        <w:tc>
          <w:tcPr>
            <w:tcW w:w="7655" w:type="dxa"/>
            <w:vMerge w:val="restart"/>
            <w:tcBorders>
              <w:top w:val="single" w:sz="4" w:space="0" w:color="auto"/>
              <w:left w:val="single" w:sz="4" w:space="0" w:color="auto"/>
              <w:right w:val="single" w:sz="4" w:space="0" w:color="auto"/>
            </w:tcBorders>
            <w:shd w:val="clear" w:color="auto" w:fill="D9D9D9"/>
            <w:vAlign w:val="center"/>
          </w:tcPr>
          <w:p w14:paraId="4A139C42"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COMPOSIÇÃO DA CARTEIRA DO FUNDO (“CARTEIRA”)</w:t>
            </w:r>
          </w:p>
        </w:tc>
        <w:tc>
          <w:tcPr>
            <w:tcW w:w="283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6D5E7C18"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 do PL</w:t>
            </w:r>
          </w:p>
        </w:tc>
      </w:tr>
      <w:tr w:rsidR="00675364" w:rsidRPr="00A652EA" w14:paraId="7897CD11" w14:textId="77777777" w:rsidTr="00C40E25">
        <w:trPr>
          <w:trHeight w:val="283"/>
        </w:trPr>
        <w:tc>
          <w:tcPr>
            <w:tcW w:w="7655" w:type="dxa"/>
            <w:vMerge/>
            <w:tcBorders>
              <w:left w:val="single" w:sz="4" w:space="0" w:color="auto"/>
              <w:bottom w:val="single" w:sz="4" w:space="0" w:color="auto"/>
              <w:right w:val="single" w:sz="4" w:space="0" w:color="auto"/>
            </w:tcBorders>
            <w:shd w:val="clear" w:color="auto" w:fill="D9D9D9"/>
          </w:tcPr>
          <w:p w14:paraId="0C20DC72" w14:textId="77777777" w:rsidR="00675364" w:rsidRPr="00A652EA" w:rsidRDefault="00675364" w:rsidP="00C40E25">
            <w:pPr>
              <w:jc w:val="center"/>
              <w:rPr>
                <w:rFonts w:ascii="Tahoma" w:hAnsi="Tahoma" w:cs="Tahoma"/>
                <w:bCs/>
                <w:color w:val="000000"/>
                <w:sz w:val="22"/>
                <w:szCs w:val="22"/>
              </w:rPr>
            </w:pPr>
          </w:p>
        </w:tc>
        <w:tc>
          <w:tcPr>
            <w:tcW w:w="1417" w:type="dxa"/>
            <w:tcBorders>
              <w:top w:val="single" w:sz="4" w:space="0" w:color="auto"/>
              <w:left w:val="nil"/>
              <w:bottom w:val="single" w:sz="4" w:space="0" w:color="auto"/>
              <w:right w:val="single" w:sz="4" w:space="0" w:color="auto"/>
            </w:tcBorders>
            <w:shd w:val="clear" w:color="auto" w:fill="D9D9D9"/>
            <w:noWrap/>
            <w:vAlign w:val="center"/>
            <w:hideMark/>
          </w:tcPr>
          <w:p w14:paraId="63B5C5E6"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Mín.</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F75E324"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Máx.</w:t>
            </w:r>
          </w:p>
        </w:tc>
      </w:tr>
      <w:tr w:rsidR="00675364" w:rsidRPr="00A652EA" w14:paraId="47AE9F69" w14:textId="77777777" w:rsidTr="00C40E25">
        <w:trPr>
          <w:trHeight w:val="283"/>
        </w:trPr>
        <w:tc>
          <w:tcPr>
            <w:tcW w:w="7655" w:type="dxa"/>
            <w:tcBorders>
              <w:top w:val="nil"/>
              <w:left w:val="single" w:sz="4" w:space="0" w:color="auto"/>
              <w:bottom w:val="single" w:sz="4" w:space="0" w:color="auto"/>
              <w:right w:val="single" w:sz="4" w:space="0" w:color="auto"/>
            </w:tcBorders>
          </w:tcPr>
          <w:p w14:paraId="72A30214"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sz w:val="22"/>
                <w:szCs w:val="22"/>
              </w:rPr>
              <w:t>Cotas do PB ALOCAÇÃO AÇÕES LONG ONLY FIA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293B1AC"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95%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40FCB"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100%</w:t>
            </w:r>
          </w:p>
        </w:tc>
      </w:tr>
      <w:tr w:rsidR="00675364" w:rsidRPr="00A652EA" w14:paraId="2CE2AF2D" w14:textId="77777777" w:rsidTr="00C40E25">
        <w:trPr>
          <w:trHeight w:val="283"/>
        </w:trPr>
        <w:tc>
          <w:tcPr>
            <w:tcW w:w="7655" w:type="dxa"/>
            <w:tcBorders>
              <w:top w:val="single" w:sz="4" w:space="0" w:color="auto"/>
              <w:left w:val="single" w:sz="4" w:space="0" w:color="auto"/>
              <w:bottom w:val="single" w:sz="4" w:space="0" w:color="auto"/>
              <w:right w:val="single" w:sz="4" w:space="0" w:color="auto"/>
            </w:tcBorders>
          </w:tcPr>
          <w:p w14:paraId="11264F9F"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Depósitos à vista</w:t>
            </w:r>
          </w:p>
        </w:tc>
        <w:tc>
          <w:tcPr>
            <w:tcW w:w="1417"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05C93D63"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0%</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444C267"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5%</w:t>
            </w:r>
          </w:p>
        </w:tc>
      </w:tr>
      <w:tr w:rsidR="00675364" w:rsidRPr="00A652EA" w14:paraId="4AE3CEB1" w14:textId="77777777" w:rsidTr="00C40E25">
        <w:trPr>
          <w:trHeight w:val="283"/>
        </w:trPr>
        <w:tc>
          <w:tcPr>
            <w:tcW w:w="7655" w:type="dxa"/>
            <w:tcBorders>
              <w:top w:val="single" w:sz="4" w:space="0" w:color="auto"/>
              <w:left w:val="single" w:sz="4" w:space="0" w:color="auto"/>
              <w:bottom w:val="single" w:sz="4" w:space="0" w:color="auto"/>
              <w:right w:val="single" w:sz="4" w:space="0" w:color="auto"/>
            </w:tcBorders>
          </w:tcPr>
          <w:p w14:paraId="0F672F50"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Títulos Públicos Federais</w:t>
            </w:r>
          </w:p>
        </w:tc>
        <w:tc>
          <w:tcPr>
            <w:tcW w:w="1417" w:type="dxa"/>
            <w:vMerge/>
            <w:tcBorders>
              <w:top w:val="single" w:sz="4" w:space="0" w:color="auto"/>
              <w:left w:val="nil"/>
              <w:bottom w:val="single" w:sz="4" w:space="0" w:color="auto"/>
              <w:right w:val="single" w:sz="4" w:space="0" w:color="auto"/>
            </w:tcBorders>
            <w:shd w:val="clear" w:color="auto" w:fill="auto"/>
            <w:noWrap/>
            <w:vAlign w:val="center"/>
          </w:tcPr>
          <w:p w14:paraId="048EBB00" w14:textId="77777777" w:rsidR="00675364" w:rsidRPr="00A652EA" w:rsidRDefault="00675364" w:rsidP="00C40E25">
            <w:pPr>
              <w:jc w:val="center"/>
              <w:rPr>
                <w:rFonts w:ascii="Tahoma" w:hAnsi="Tahoma" w:cs="Tahoma"/>
                <w:bCs/>
                <w:color w:val="000000"/>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2A8A58C" w14:textId="77777777" w:rsidR="00675364" w:rsidRPr="00A652EA" w:rsidRDefault="00675364" w:rsidP="00C40E25">
            <w:pPr>
              <w:jc w:val="center"/>
              <w:rPr>
                <w:rFonts w:ascii="Tahoma" w:hAnsi="Tahoma" w:cs="Tahoma"/>
                <w:bCs/>
                <w:color w:val="000000"/>
                <w:sz w:val="22"/>
                <w:szCs w:val="22"/>
              </w:rPr>
            </w:pPr>
          </w:p>
        </w:tc>
      </w:tr>
      <w:tr w:rsidR="00675364" w:rsidRPr="00A652EA" w14:paraId="5F64FF64" w14:textId="77777777" w:rsidTr="00C40E25">
        <w:trPr>
          <w:trHeight w:val="283"/>
        </w:trPr>
        <w:tc>
          <w:tcPr>
            <w:tcW w:w="7655" w:type="dxa"/>
            <w:tcBorders>
              <w:top w:val="single" w:sz="4" w:space="0" w:color="auto"/>
              <w:left w:val="single" w:sz="4" w:space="0" w:color="auto"/>
              <w:bottom w:val="single" w:sz="4" w:space="0" w:color="auto"/>
              <w:right w:val="single" w:sz="4" w:space="0" w:color="auto"/>
            </w:tcBorders>
          </w:tcPr>
          <w:p w14:paraId="207D2642"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Títulos de Renda Fixa de emissão de instituição financeira</w:t>
            </w:r>
          </w:p>
        </w:tc>
        <w:tc>
          <w:tcPr>
            <w:tcW w:w="1417" w:type="dxa"/>
            <w:vMerge/>
            <w:tcBorders>
              <w:top w:val="single" w:sz="4" w:space="0" w:color="auto"/>
              <w:left w:val="nil"/>
              <w:bottom w:val="single" w:sz="4" w:space="0" w:color="auto"/>
              <w:right w:val="single" w:sz="4" w:space="0" w:color="auto"/>
            </w:tcBorders>
            <w:shd w:val="clear" w:color="auto" w:fill="auto"/>
            <w:noWrap/>
            <w:vAlign w:val="center"/>
          </w:tcPr>
          <w:p w14:paraId="7C31702A" w14:textId="77777777" w:rsidR="00675364" w:rsidRPr="00A652EA" w:rsidRDefault="00675364" w:rsidP="00C40E25">
            <w:pPr>
              <w:jc w:val="center"/>
              <w:rPr>
                <w:rFonts w:ascii="Tahoma" w:hAnsi="Tahoma" w:cs="Tahoma"/>
                <w:bCs/>
                <w:color w:val="000000"/>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FA8F252" w14:textId="77777777" w:rsidR="00675364" w:rsidRPr="00A652EA" w:rsidRDefault="00675364" w:rsidP="00C40E25">
            <w:pPr>
              <w:jc w:val="center"/>
              <w:rPr>
                <w:rFonts w:ascii="Tahoma" w:hAnsi="Tahoma" w:cs="Tahoma"/>
                <w:bCs/>
                <w:color w:val="000000"/>
                <w:sz w:val="22"/>
                <w:szCs w:val="22"/>
              </w:rPr>
            </w:pPr>
          </w:p>
        </w:tc>
      </w:tr>
      <w:tr w:rsidR="00675364" w:rsidRPr="00A652EA" w14:paraId="5B905E07" w14:textId="77777777" w:rsidTr="00C40E25">
        <w:trPr>
          <w:trHeight w:val="283"/>
        </w:trPr>
        <w:tc>
          <w:tcPr>
            <w:tcW w:w="7655" w:type="dxa"/>
            <w:tcBorders>
              <w:top w:val="single" w:sz="4" w:space="0" w:color="auto"/>
              <w:left w:val="single" w:sz="4" w:space="0" w:color="auto"/>
              <w:bottom w:val="single" w:sz="4" w:space="0" w:color="auto"/>
              <w:right w:val="single" w:sz="4" w:space="0" w:color="auto"/>
            </w:tcBorders>
          </w:tcPr>
          <w:p w14:paraId="40A683BB"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Operações compromissadas</w:t>
            </w:r>
          </w:p>
        </w:tc>
        <w:tc>
          <w:tcPr>
            <w:tcW w:w="1417" w:type="dxa"/>
            <w:vMerge/>
            <w:tcBorders>
              <w:top w:val="single" w:sz="4" w:space="0" w:color="auto"/>
              <w:left w:val="nil"/>
              <w:bottom w:val="single" w:sz="4" w:space="0" w:color="auto"/>
              <w:right w:val="single" w:sz="4" w:space="0" w:color="auto"/>
            </w:tcBorders>
            <w:shd w:val="clear" w:color="auto" w:fill="auto"/>
            <w:noWrap/>
            <w:vAlign w:val="center"/>
          </w:tcPr>
          <w:p w14:paraId="4F18860F" w14:textId="77777777" w:rsidR="00675364" w:rsidRPr="00A652EA" w:rsidRDefault="00675364" w:rsidP="00C40E25">
            <w:pPr>
              <w:jc w:val="center"/>
              <w:rPr>
                <w:rFonts w:ascii="Tahoma" w:hAnsi="Tahoma" w:cs="Tahoma"/>
                <w:bCs/>
                <w:color w:val="000000"/>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ADBC137" w14:textId="77777777" w:rsidR="00675364" w:rsidRPr="00A652EA" w:rsidRDefault="00675364" w:rsidP="00C40E25">
            <w:pPr>
              <w:jc w:val="center"/>
              <w:rPr>
                <w:rFonts w:ascii="Tahoma" w:hAnsi="Tahoma" w:cs="Tahoma"/>
                <w:bCs/>
                <w:color w:val="000000"/>
                <w:sz w:val="22"/>
                <w:szCs w:val="22"/>
              </w:rPr>
            </w:pPr>
          </w:p>
        </w:tc>
      </w:tr>
      <w:tr w:rsidR="00675364" w:rsidRPr="00A652EA" w14:paraId="5A6AF14B" w14:textId="77777777" w:rsidTr="00C40E25">
        <w:trPr>
          <w:trHeight w:val="283"/>
        </w:trPr>
        <w:tc>
          <w:tcPr>
            <w:tcW w:w="7655" w:type="dxa"/>
            <w:tcBorders>
              <w:top w:val="single" w:sz="4" w:space="0" w:color="auto"/>
              <w:left w:val="single" w:sz="4" w:space="0" w:color="auto"/>
              <w:bottom w:val="single" w:sz="4" w:space="0" w:color="auto"/>
              <w:right w:val="single" w:sz="4" w:space="0" w:color="auto"/>
            </w:tcBorders>
          </w:tcPr>
          <w:p w14:paraId="4C7426E8"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Cotas de fundos de índice que reflitam as variações e a rentabilidade de índices de renda fixa (“Fundos Investidos”)</w:t>
            </w:r>
          </w:p>
        </w:tc>
        <w:tc>
          <w:tcPr>
            <w:tcW w:w="1417" w:type="dxa"/>
            <w:vMerge/>
            <w:tcBorders>
              <w:top w:val="single" w:sz="4" w:space="0" w:color="auto"/>
              <w:left w:val="nil"/>
              <w:bottom w:val="single" w:sz="4" w:space="0" w:color="auto"/>
              <w:right w:val="single" w:sz="4" w:space="0" w:color="auto"/>
            </w:tcBorders>
            <w:shd w:val="clear" w:color="auto" w:fill="auto"/>
            <w:noWrap/>
            <w:vAlign w:val="center"/>
          </w:tcPr>
          <w:p w14:paraId="1F056F7F" w14:textId="77777777" w:rsidR="00675364" w:rsidRPr="00A652EA" w:rsidRDefault="00675364" w:rsidP="00C40E25">
            <w:pPr>
              <w:jc w:val="center"/>
              <w:rPr>
                <w:rFonts w:ascii="Tahoma" w:hAnsi="Tahoma" w:cs="Tahoma"/>
                <w:bCs/>
                <w:color w:val="000000"/>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E930D1E" w14:textId="77777777" w:rsidR="00675364" w:rsidRPr="00A652EA" w:rsidRDefault="00675364" w:rsidP="00C40E25">
            <w:pPr>
              <w:jc w:val="center"/>
              <w:rPr>
                <w:rFonts w:ascii="Tahoma" w:hAnsi="Tahoma" w:cs="Tahoma"/>
                <w:bCs/>
                <w:color w:val="000000"/>
                <w:sz w:val="22"/>
                <w:szCs w:val="22"/>
              </w:rPr>
            </w:pPr>
          </w:p>
        </w:tc>
      </w:tr>
      <w:tr w:rsidR="00675364" w:rsidRPr="00A652EA" w14:paraId="1DF48E3A" w14:textId="77777777" w:rsidTr="00C40E25">
        <w:trPr>
          <w:trHeight w:val="283"/>
        </w:trPr>
        <w:tc>
          <w:tcPr>
            <w:tcW w:w="7655" w:type="dxa"/>
            <w:tcBorders>
              <w:top w:val="single" w:sz="4" w:space="0" w:color="auto"/>
              <w:left w:val="single" w:sz="4" w:space="0" w:color="auto"/>
              <w:bottom w:val="single" w:sz="4" w:space="0" w:color="auto"/>
              <w:right w:val="single" w:sz="4" w:space="0" w:color="auto"/>
            </w:tcBorders>
          </w:tcPr>
          <w:p w14:paraId="53B7A954"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Cotas de fundos de investimento da classe Renda Fixa Curto Prazo, Renda Fixa Referenciado, desde que o seu indicador de desempenho seja a variação do CDI ou SELIC e Renda Fixa Simples (“Fundos Investidos”)</w:t>
            </w:r>
          </w:p>
        </w:tc>
        <w:tc>
          <w:tcPr>
            <w:tcW w:w="1417" w:type="dxa"/>
            <w:vMerge/>
            <w:tcBorders>
              <w:top w:val="single" w:sz="4" w:space="0" w:color="auto"/>
              <w:left w:val="nil"/>
              <w:bottom w:val="single" w:sz="4" w:space="0" w:color="auto"/>
              <w:right w:val="single" w:sz="4" w:space="0" w:color="auto"/>
            </w:tcBorders>
            <w:shd w:val="clear" w:color="auto" w:fill="auto"/>
            <w:noWrap/>
            <w:vAlign w:val="center"/>
          </w:tcPr>
          <w:p w14:paraId="47E7E89C" w14:textId="77777777" w:rsidR="00675364" w:rsidRPr="00A652EA" w:rsidRDefault="00675364" w:rsidP="00C40E25">
            <w:pPr>
              <w:jc w:val="center"/>
              <w:rPr>
                <w:rFonts w:ascii="Tahoma" w:hAnsi="Tahoma" w:cs="Tahoma"/>
                <w:bCs/>
                <w:color w:val="000000"/>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6D3947F" w14:textId="77777777" w:rsidR="00675364" w:rsidRPr="00A652EA" w:rsidRDefault="00675364" w:rsidP="00C40E25">
            <w:pPr>
              <w:jc w:val="center"/>
              <w:rPr>
                <w:rFonts w:ascii="Tahoma" w:hAnsi="Tahoma" w:cs="Tahoma"/>
                <w:bCs/>
                <w:color w:val="000000"/>
                <w:sz w:val="22"/>
                <w:szCs w:val="22"/>
              </w:rPr>
            </w:pPr>
          </w:p>
        </w:tc>
      </w:tr>
      <w:tr w:rsidR="00675364" w:rsidRPr="00A652EA" w14:paraId="7D2E7934" w14:textId="77777777" w:rsidTr="00C40E25">
        <w:trPr>
          <w:gridAfter w:val="1"/>
          <w:wAfter w:w="1418" w:type="dxa"/>
          <w:trHeight w:val="330"/>
        </w:trPr>
        <w:tc>
          <w:tcPr>
            <w:tcW w:w="7655" w:type="dxa"/>
            <w:tcBorders>
              <w:top w:val="nil"/>
              <w:left w:val="nil"/>
              <w:bottom w:val="nil"/>
              <w:right w:val="nil"/>
            </w:tcBorders>
            <w:shd w:val="clear" w:color="auto" w:fill="auto"/>
            <w:noWrap/>
            <w:vAlign w:val="bottom"/>
          </w:tcPr>
          <w:p w14:paraId="4A01027D" w14:textId="77777777" w:rsidR="00675364" w:rsidRPr="00A652EA" w:rsidRDefault="00675364" w:rsidP="00C40E25">
            <w:pPr>
              <w:rPr>
                <w:rFonts w:ascii="Tahoma" w:hAnsi="Tahoma" w:cs="Tahoma"/>
                <w:bCs/>
                <w:color w:val="000000"/>
                <w:sz w:val="22"/>
                <w:szCs w:val="22"/>
              </w:rPr>
            </w:pPr>
          </w:p>
        </w:tc>
        <w:tc>
          <w:tcPr>
            <w:tcW w:w="1417" w:type="dxa"/>
            <w:tcBorders>
              <w:top w:val="nil"/>
              <w:left w:val="nil"/>
              <w:bottom w:val="nil"/>
              <w:right w:val="nil"/>
            </w:tcBorders>
            <w:shd w:val="clear" w:color="auto" w:fill="auto"/>
            <w:noWrap/>
            <w:vAlign w:val="bottom"/>
          </w:tcPr>
          <w:p w14:paraId="23C950D3" w14:textId="77777777" w:rsidR="00675364" w:rsidRPr="00A652EA" w:rsidRDefault="00675364" w:rsidP="00C40E25">
            <w:pPr>
              <w:rPr>
                <w:rFonts w:ascii="Tahoma" w:hAnsi="Tahoma" w:cs="Tahoma"/>
                <w:bCs/>
                <w:color w:val="000000"/>
                <w:sz w:val="22"/>
                <w:szCs w:val="22"/>
              </w:rPr>
            </w:pPr>
          </w:p>
        </w:tc>
      </w:tr>
      <w:tr w:rsidR="00675364" w:rsidRPr="00A652EA" w14:paraId="74B29308" w14:textId="77777777" w:rsidTr="00C40E25">
        <w:trPr>
          <w:trHeight w:val="283"/>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ECB5D3"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CRÉDITO PRIVADO</w:t>
            </w:r>
          </w:p>
        </w:tc>
        <w:tc>
          <w:tcPr>
            <w:tcW w:w="1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085C42"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Permitido / Vedado</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69C82C83"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Limite aplicável</w:t>
            </w:r>
          </w:p>
          <w:p w14:paraId="3F6083F1"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
                <w:color w:val="000000"/>
                <w:sz w:val="22"/>
                <w:szCs w:val="22"/>
              </w:rPr>
              <w:t>(% do PL)</w:t>
            </w:r>
          </w:p>
        </w:tc>
      </w:tr>
      <w:tr w:rsidR="00675364" w:rsidRPr="00A652EA" w14:paraId="36D90A38" w14:textId="77777777" w:rsidTr="00C40E25">
        <w:trPr>
          <w:trHeight w:val="960"/>
        </w:trPr>
        <w:tc>
          <w:tcPr>
            <w:tcW w:w="76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F9BFC"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Ativos de crédito privado e/ou títulos públicos que não da União, considerando-se a consolidação dos investimentos do FUNDO e dos Fundos Investidos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ECFD29D"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Permitido</w:t>
            </w:r>
          </w:p>
        </w:tc>
        <w:tc>
          <w:tcPr>
            <w:tcW w:w="1418" w:type="dxa"/>
            <w:tcBorders>
              <w:top w:val="single" w:sz="4" w:space="0" w:color="auto"/>
              <w:left w:val="nil"/>
              <w:bottom w:val="single" w:sz="4" w:space="0" w:color="auto"/>
              <w:right w:val="single" w:sz="4" w:space="0" w:color="auto"/>
            </w:tcBorders>
            <w:shd w:val="clear" w:color="auto" w:fill="auto"/>
            <w:vAlign w:val="center"/>
          </w:tcPr>
          <w:p w14:paraId="75CF9020"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Até 33%</w:t>
            </w:r>
          </w:p>
        </w:tc>
      </w:tr>
      <w:tr w:rsidR="00675364" w:rsidRPr="00A652EA" w14:paraId="5ED6C717" w14:textId="77777777" w:rsidTr="00C40E25">
        <w:trPr>
          <w:gridAfter w:val="1"/>
          <w:wAfter w:w="1418" w:type="dxa"/>
          <w:trHeight w:val="330"/>
        </w:trPr>
        <w:tc>
          <w:tcPr>
            <w:tcW w:w="7655" w:type="dxa"/>
            <w:tcBorders>
              <w:top w:val="nil"/>
              <w:left w:val="nil"/>
              <w:bottom w:val="single" w:sz="4" w:space="0" w:color="auto"/>
              <w:right w:val="nil"/>
            </w:tcBorders>
            <w:shd w:val="clear" w:color="auto" w:fill="auto"/>
            <w:noWrap/>
            <w:vAlign w:val="bottom"/>
            <w:hideMark/>
          </w:tcPr>
          <w:p w14:paraId="3F69E414" w14:textId="77777777" w:rsidR="00675364" w:rsidRPr="00A652EA" w:rsidRDefault="00675364" w:rsidP="00C40E25">
            <w:pPr>
              <w:jc w:val="center"/>
              <w:rPr>
                <w:rFonts w:ascii="Tahoma" w:hAnsi="Tahoma" w:cs="Tahoma"/>
                <w:bCs/>
                <w:color w:val="000000"/>
                <w:sz w:val="22"/>
                <w:szCs w:val="22"/>
              </w:rPr>
            </w:pPr>
          </w:p>
        </w:tc>
        <w:tc>
          <w:tcPr>
            <w:tcW w:w="1417" w:type="dxa"/>
            <w:tcBorders>
              <w:top w:val="nil"/>
              <w:left w:val="nil"/>
              <w:bottom w:val="single" w:sz="4" w:space="0" w:color="auto"/>
              <w:right w:val="nil"/>
            </w:tcBorders>
            <w:shd w:val="clear" w:color="auto" w:fill="auto"/>
            <w:noWrap/>
            <w:vAlign w:val="bottom"/>
            <w:hideMark/>
          </w:tcPr>
          <w:p w14:paraId="5C5FB605" w14:textId="77777777" w:rsidR="00675364" w:rsidRPr="00A652EA" w:rsidRDefault="00675364" w:rsidP="00C40E25">
            <w:pPr>
              <w:rPr>
                <w:rFonts w:ascii="Tahoma" w:hAnsi="Tahoma" w:cs="Tahoma"/>
                <w:bCs/>
                <w:color w:val="000000"/>
                <w:sz w:val="22"/>
                <w:szCs w:val="22"/>
              </w:rPr>
            </w:pPr>
          </w:p>
        </w:tc>
      </w:tr>
      <w:tr w:rsidR="00675364" w:rsidRPr="00A652EA" w14:paraId="05C39C28" w14:textId="77777777" w:rsidTr="00C40E25">
        <w:trPr>
          <w:trHeight w:val="283"/>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A09F0F"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INVESTIMENTO NO EXTERIOR</w:t>
            </w:r>
          </w:p>
        </w:tc>
        <w:tc>
          <w:tcPr>
            <w:tcW w:w="1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02FD41"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Permitido / Vedado</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56BA9BBA"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Limite aplicável</w:t>
            </w:r>
          </w:p>
          <w:p w14:paraId="4FF504BD"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
                <w:color w:val="000000"/>
                <w:sz w:val="22"/>
                <w:szCs w:val="22"/>
              </w:rPr>
              <w:t>(% do PL)</w:t>
            </w:r>
          </w:p>
        </w:tc>
      </w:tr>
      <w:tr w:rsidR="00675364" w:rsidRPr="00A652EA" w14:paraId="5A2D0BCB" w14:textId="77777777" w:rsidTr="00C40E25">
        <w:trPr>
          <w:trHeight w:val="283"/>
        </w:trPr>
        <w:tc>
          <w:tcPr>
            <w:tcW w:w="76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A67AC"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 xml:space="preserve">Ativos financeiros negociados no exterior que tenham a mesma natureza econômica dos ativos financeiros no Brasil e/ou </w:t>
            </w:r>
            <w:proofErr w:type="spellStart"/>
            <w:r w:rsidRPr="00A652EA">
              <w:rPr>
                <w:rFonts w:ascii="Tahoma" w:hAnsi="Tahoma" w:cs="Tahoma"/>
                <w:bCs/>
                <w:color w:val="000000"/>
                <w:sz w:val="22"/>
                <w:szCs w:val="22"/>
              </w:rPr>
              <w:t>Brazilian</w:t>
            </w:r>
            <w:proofErr w:type="spellEnd"/>
            <w:r w:rsidRPr="00A652EA">
              <w:rPr>
                <w:rFonts w:ascii="Tahoma" w:hAnsi="Tahoma" w:cs="Tahoma"/>
                <w:bCs/>
                <w:color w:val="000000"/>
                <w:sz w:val="22"/>
                <w:szCs w:val="22"/>
              </w:rPr>
              <w:t xml:space="preserve"> Depositary </w:t>
            </w:r>
            <w:proofErr w:type="spellStart"/>
            <w:r w:rsidRPr="00A652EA">
              <w:rPr>
                <w:rFonts w:ascii="Tahoma" w:hAnsi="Tahoma" w:cs="Tahoma"/>
                <w:bCs/>
                <w:color w:val="000000"/>
                <w:sz w:val="22"/>
                <w:szCs w:val="22"/>
              </w:rPr>
              <w:t>Receipt</w:t>
            </w:r>
            <w:proofErr w:type="spellEnd"/>
            <w:r w:rsidRPr="00A652EA">
              <w:rPr>
                <w:rFonts w:ascii="Tahoma" w:hAnsi="Tahoma" w:cs="Tahoma"/>
                <w:bCs/>
                <w:color w:val="000000"/>
                <w:sz w:val="22"/>
                <w:szCs w:val="22"/>
              </w:rPr>
              <w:t xml:space="preserve"> - Nível I (exceto no caso de fundos de investimento que adotem o sufixo Ações – BDR-Nível I), considerando-se a consolidação dos investimentos dos Fundos Investidos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D7813B8"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Permitido</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2993257"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Até 40%</w:t>
            </w:r>
          </w:p>
        </w:tc>
      </w:tr>
      <w:tr w:rsidR="00675364" w:rsidRPr="00A652EA" w14:paraId="2E222BCA" w14:textId="77777777" w:rsidTr="00C40E25">
        <w:trPr>
          <w:trHeight w:val="283"/>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2A62EF"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r w:rsidR="00675364" w:rsidRPr="00A652EA" w14:paraId="64F2A4A6" w14:textId="77777777" w:rsidTr="00C40E25">
        <w:trPr>
          <w:trHeight w:val="283"/>
        </w:trPr>
        <w:tc>
          <w:tcPr>
            <w:tcW w:w="10490" w:type="dxa"/>
            <w:gridSpan w:val="3"/>
            <w:tcBorders>
              <w:top w:val="single" w:sz="4" w:space="0" w:color="auto"/>
            </w:tcBorders>
            <w:shd w:val="clear" w:color="auto" w:fill="auto"/>
            <w:vAlign w:val="center"/>
          </w:tcPr>
          <w:p w14:paraId="6FF6AA5D" w14:textId="77777777" w:rsidR="00675364" w:rsidRPr="00A652EA" w:rsidRDefault="00675364" w:rsidP="00C40E25">
            <w:pPr>
              <w:jc w:val="both"/>
              <w:rPr>
                <w:rFonts w:ascii="Tahoma" w:hAnsi="Tahoma" w:cs="Tahoma"/>
                <w:bCs/>
                <w:color w:val="000000"/>
                <w:sz w:val="22"/>
                <w:szCs w:val="22"/>
              </w:rPr>
            </w:pPr>
          </w:p>
        </w:tc>
      </w:tr>
    </w:tbl>
    <w:p w14:paraId="4BA35FAD" w14:textId="77777777" w:rsidR="00675364" w:rsidRPr="00A652EA" w:rsidRDefault="00675364" w:rsidP="00675364">
      <w:pPr>
        <w:jc w:val="center"/>
        <w:rPr>
          <w:rFonts w:ascii="Tahoma" w:hAnsi="Tahoma" w:cs="Tahoma"/>
          <w:bCs/>
          <w:color w:val="000000"/>
          <w:sz w:val="22"/>
          <w:szCs w:val="22"/>
        </w:rPr>
      </w:pPr>
    </w:p>
    <w:p w14:paraId="559A54DA" w14:textId="77777777" w:rsidR="00675364" w:rsidRPr="00A652EA" w:rsidRDefault="00675364" w:rsidP="00675364">
      <w:pPr>
        <w:jc w:val="center"/>
        <w:rPr>
          <w:rFonts w:ascii="Tahoma" w:hAnsi="Tahoma" w:cs="Tahoma"/>
          <w:b/>
          <w:color w:val="000000"/>
          <w:sz w:val="22"/>
          <w:szCs w:val="22"/>
        </w:rPr>
      </w:pPr>
      <w:r w:rsidRPr="00A652EA">
        <w:rPr>
          <w:rFonts w:ascii="Tahoma" w:hAnsi="Tahoma" w:cs="Tahoma"/>
          <w:b/>
          <w:color w:val="000000"/>
          <w:sz w:val="22"/>
          <w:szCs w:val="22"/>
        </w:rPr>
        <w:t>DOS FUNDOS INVESTIDOS</w:t>
      </w:r>
    </w:p>
    <w:p w14:paraId="1CB60358" w14:textId="77777777" w:rsidR="00675364" w:rsidRPr="00A652EA" w:rsidRDefault="00675364" w:rsidP="00675364">
      <w:pPr>
        <w:jc w:val="center"/>
        <w:rPr>
          <w:rFonts w:ascii="Tahoma" w:hAnsi="Tahoma" w:cs="Tahoma"/>
          <w:bCs/>
          <w:color w:val="000000"/>
          <w:sz w:val="22"/>
          <w:szCs w:val="22"/>
        </w:rPr>
      </w:pPr>
    </w:p>
    <w:tbl>
      <w:tblPr>
        <w:tblW w:w="11223" w:type="dxa"/>
        <w:tblInd w:w="-5" w:type="dxa"/>
        <w:tblCellMar>
          <w:left w:w="70" w:type="dxa"/>
          <w:right w:w="70" w:type="dxa"/>
        </w:tblCellMar>
        <w:tblLook w:val="04A0" w:firstRow="1" w:lastRow="0" w:firstColumn="1" w:lastColumn="0" w:noHBand="0" w:noVBand="1"/>
      </w:tblPr>
      <w:tblGrid>
        <w:gridCol w:w="5954"/>
        <w:gridCol w:w="859"/>
        <w:gridCol w:w="842"/>
        <w:gridCol w:w="1000"/>
        <w:gridCol w:w="369"/>
        <w:gridCol w:w="1466"/>
        <w:gridCol w:w="733"/>
      </w:tblGrid>
      <w:tr w:rsidR="00675364" w:rsidRPr="00A652EA" w14:paraId="008DA15F" w14:textId="77777777" w:rsidTr="00C40E25">
        <w:trPr>
          <w:gridAfter w:val="1"/>
          <w:wAfter w:w="733" w:type="dxa"/>
          <w:trHeight w:val="283"/>
        </w:trPr>
        <w:tc>
          <w:tcPr>
            <w:tcW w:w="7655" w:type="dxa"/>
            <w:gridSpan w:val="3"/>
            <w:vMerge w:val="restart"/>
            <w:tcBorders>
              <w:top w:val="single" w:sz="4" w:space="0" w:color="auto"/>
              <w:left w:val="single" w:sz="4" w:space="0" w:color="auto"/>
              <w:right w:val="single" w:sz="4" w:space="0" w:color="auto"/>
            </w:tcBorders>
            <w:shd w:val="clear" w:color="auto" w:fill="D9D9D9"/>
            <w:noWrap/>
            <w:vAlign w:val="center"/>
            <w:hideMark/>
          </w:tcPr>
          <w:p w14:paraId="0DAAF9C6"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 xml:space="preserve">COMPOSIÇÃO DA CARTEIRA </w:t>
            </w:r>
          </w:p>
        </w:tc>
        <w:tc>
          <w:tcPr>
            <w:tcW w:w="2835" w:type="dxa"/>
            <w:gridSpan w:val="3"/>
            <w:tcBorders>
              <w:top w:val="single" w:sz="4" w:space="0" w:color="auto"/>
              <w:left w:val="nil"/>
              <w:bottom w:val="single" w:sz="4" w:space="0" w:color="auto"/>
              <w:right w:val="single" w:sz="4" w:space="0" w:color="auto"/>
            </w:tcBorders>
            <w:shd w:val="clear" w:color="auto" w:fill="D9D9D9"/>
            <w:noWrap/>
            <w:vAlign w:val="center"/>
            <w:hideMark/>
          </w:tcPr>
          <w:p w14:paraId="733CDA3F"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 do PL</w:t>
            </w:r>
          </w:p>
        </w:tc>
      </w:tr>
      <w:tr w:rsidR="00675364" w:rsidRPr="00A652EA" w14:paraId="10392834" w14:textId="77777777" w:rsidTr="00C40E25">
        <w:trPr>
          <w:gridAfter w:val="1"/>
          <w:wAfter w:w="733" w:type="dxa"/>
          <w:trHeight w:val="283"/>
        </w:trPr>
        <w:tc>
          <w:tcPr>
            <w:tcW w:w="7655" w:type="dxa"/>
            <w:gridSpan w:val="3"/>
            <w:vMerge/>
            <w:tcBorders>
              <w:left w:val="single" w:sz="4" w:space="0" w:color="auto"/>
              <w:bottom w:val="single" w:sz="4" w:space="0" w:color="auto"/>
              <w:right w:val="single" w:sz="4" w:space="0" w:color="auto"/>
            </w:tcBorders>
            <w:shd w:val="clear" w:color="auto" w:fill="D9D9D9"/>
            <w:noWrap/>
            <w:vAlign w:val="center"/>
            <w:hideMark/>
          </w:tcPr>
          <w:p w14:paraId="54745E00" w14:textId="77777777" w:rsidR="00675364" w:rsidRPr="00A652EA" w:rsidRDefault="00675364" w:rsidP="00C40E25">
            <w:pPr>
              <w:spacing w:line="256" w:lineRule="auto"/>
              <w:rPr>
                <w:rFonts w:ascii="Tahoma" w:hAnsi="Tahoma" w:cs="Tahoma"/>
                <w:bCs/>
                <w:color w:val="000000"/>
                <w:sz w:val="22"/>
                <w:szCs w:val="22"/>
              </w:rPr>
            </w:pPr>
          </w:p>
        </w:tc>
        <w:tc>
          <w:tcPr>
            <w:tcW w:w="1369" w:type="dxa"/>
            <w:gridSpan w:val="2"/>
            <w:tcBorders>
              <w:top w:val="nil"/>
              <w:left w:val="nil"/>
              <w:bottom w:val="single" w:sz="4" w:space="0" w:color="auto"/>
              <w:right w:val="single" w:sz="4" w:space="0" w:color="auto"/>
            </w:tcBorders>
            <w:shd w:val="clear" w:color="auto" w:fill="D9D9D9"/>
            <w:noWrap/>
            <w:vAlign w:val="center"/>
            <w:hideMark/>
          </w:tcPr>
          <w:p w14:paraId="0F471174"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Mín.</w:t>
            </w:r>
          </w:p>
        </w:tc>
        <w:tc>
          <w:tcPr>
            <w:tcW w:w="1466" w:type="dxa"/>
            <w:tcBorders>
              <w:top w:val="nil"/>
              <w:left w:val="nil"/>
              <w:bottom w:val="single" w:sz="4" w:space="0" w:color="auto"/>
              <w:right w:val="single" w:sz="4" w:space="0" w:color="auto"/>
            </w:tcBorders>
            <w:shd w:val="clear" w:color="auto" w:fill="D9D9D9"/>
            <w:noWrap/>
            <w:vAlign w:val="center"/>
            <w:hideMark/>
          </w:tcPr>
          <w:p w14:paraId="347539DA"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Máx.</w:t>
            </w:r>
          </w:p>
        </w:tc>
      </w:tr>
      <w:tr w:rsidR="00675364" w:rsidRPr="00A652EA" w14:paraId="5980F518" w14:textId="77777777" w:rsidTr="00C40E25">
        <w:trPr>
          <w:gridAfter w:val="1"/>
          <w:wAfter w:w="733" w:type="dxa"/>
          <w:trHeight w:val="283"/>
        </w:trPr>
        <w:tc>
          <w:tcPr>
            <w:tcW w:w="7655" w:type="dxa"/>
            <w:gridSpan w:val="3"/>
            <w:tcBorders>
              <w:top w:val="nil"/>
              <w:left w:val="single" w:sz="4" w:space="0" w:color="auto"/>
              <w:bottom w:val="single" w:sz="4" w:space="0" w:color="auto"/>
              <w:right w:val="single" w:sz="4" w:space="0" w:color="auto"/>
            </w:tcBorders>
            <w:shd w:val="clear" w:color="auto" w:fill="auto"/>
            <w:vAlign w:val="center"/>
          </w:tcPr>
          <w:p w14:paraId="7BC81BB8"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Ações admitidas à negociação em mercado organizado</w:t>
            </w:r>
          </w:p>
        </w:tc>
        <w:tc>
          <w:tcPr>
            <w:tcW w:w="1369" w:type="dxa"/>
            <w:gridSpan w:val="2"/>
            <w:vMerge w:val="restart"/>
            <w:tcBorders>
              <w:top w:val="nil"/>
              <w:left w:val="nil"/>
              <w:right w:val="single" w:sz="4" w:space="0" w:color="auto"/>
            </w:tcBorders>
            <w:shd w:val="clear" w:color="auto" w:fill="auto"/>
            <w:noWrap/>
            <w:vAlign w:val="center"/>
          </w:tcPr>
          <w:p w14:paraId="46DC50F6"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67%</w:t>
            </w:r>
          </w:p>
        </w:tc>
        <w:tc>
          <w:tcPr>
            <w:tcW w:w="1466" w:type="dxa"/>
            <w:vMerge w:val="restart"/>
            <w:tcBorders>
              <w:top w:val="nil"/>
              <w:left w:val="nil"/>
              <w:right w:val="single" w:sz="4" w:space="0" w:color="auto"/>
            </w:tcBorders>
            <w:shd w:val="clear" w:color="auto" w:fill="auto"/>
            <w:noWrap/>
            <w:vAlign w:val="center"/>
          </w:tcPr>
          <w:p w14:paraId="0D1AD599"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100%</w:t>
            </w:r>
          </w:p>
        </w:tc>
      </w:tr>
      <w:tr w:rsidR="00675364" w:rsidRPr="00A652EA" w14:paraId="51297B1B" w14:textId="77777777" w:rsidTr="00C40E25">
        <w:trPr>
          <w:gridAfter w:val="1"/>
          <w:wAfter w:w="733" w:type="dxa"/>
          <w:trHeight w:val="283"/>
        </w:trPr>
        <w:tc>
          <w:tcPr>
            <w:tcW w:w="7655" w:type="dxa"/>
            <w:gridSpan w:val="3"/>
            <w:tcBorders>
              <w:top w:val="nil"/>
              <w:left w:val="single" w:sz="4" w:space="0" w:color="auto"/>
              <w:bottom w:val="single" w:sz="4" w:space="0" w:color="auto"/>
              <w:right w:val="single" w:sz="4" w:space="0" w:color="auto"/>
            </w:tcBorders>
            <w:shd w:val="clear" w:color="auto" w:fill="auto"/>
            <w:vAlign w:val="center"/>
          </w:tcPr>
          <w:p w14:paraId="4347817F"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Bônus ou recibos de subscrição e certificados de depósito de ações admitidas à negociação em mercado organizado</w:t>
            </w:r>
          </w:p>
        </w:tc>
        <w:tc>
          <w:tcPr>
            <w:tcW w:w="1369" w:type="dxa"/>
            <w:gridSpan w:val="2"/>
            <w:vMerge/>
            <w:tcBorders>
              <w:left w:val="nil"/>
              <w:right w:val="single" w:sz="4" w:space="0" w:color="auto"/>
            </w:tcBorders>
            <w:shd w:val="clear" w:color="auto" w:fill="auto"/>
            <w:noWrap/>
            <w:vAlign w:val="center"/>
          </w:tcPr>
          <w:p w14:paraId="293FAE91" w14:textId="77777777" w:rsidR="00675364" w:rsidRPr="00A652EA" w:rsidRDefault="00675364" w:rsidP="00C40E25">
            <w:pPr>
              <w:jc w:val="center"/>
              <w:rPr>
                <w:rFonts w:ascii="Tahoma" w:hAnsi="Tahoma" w:cs="Tahoma"/>
                <w:bCs/>
                <w:color w:val="000000"/>
                <w:sz w:val="22"/>
                <w:szCs w:val="22"/>
              </w:rPr>
            </w:pPr>
          </w:p>
        </w:tc>
        <w:tc>
          <w:tcPr>
            <w:tcW w:w="1466" w:type="dxa"/>
            <w:vMerge/>
            <w:tcBorders>
              <w:left w:val="nil"/>
              <w:right w:val="single" w:sz="4" w:space="0" w:color="auto"/>
            </w:tcBorders>
            <w:shd w:val="clear" w:color="auto" w:fill="auto"/>
            <w:noWrap/>
            <w:vAlign w:val="center"/>
          </w:tcPr>
          <w:p w14:paraId="0B18CAD1" w14:textId="77777777" w:rsidR="00675364" w:rsidRPr="00A652EA" w:rsidRDefault="00675364" w:rsidP="00C40E25">
            <w:pPr>
              <w:jc w:val="center"/>
              <w:rPr>
                <w:rFonts w:ascii="Tahoma" w:hAnsi="Tahoma" w:cs="Tahoma"/>
                <w:bCs/>
                <w:color w:val="000000"/>
                <w:sz w:val="22"/>
                <w:szCs w:val="22"/>
              </w:rPr>
            </w:pPr>
          </w:p>
        </w:tc>
      </w:tr>
      <w:tr w:rsidR="00675364" w:rsidRPr="00A652EA" w14:paraId="23596CD6" w14:textId="77777777" w:rsidTr="00C40E25">
        <w:trPr>
          <w:gridAfter w:val="1"/>
          <w:wAfter w:w="733" w:type="dxa"/>
          <w:trHeight w:val="283"/>
        </w:trPr>
        <w:tc>
          <w:tcPr>
            <w:tcW w:w="7655" w:type="dxa"/>
            <w:gridSpan w:val="3"/>
            <w:tcBorders>
              <w:top w:val="nil"/>
              <w:left w:val="single" w:sz="4" w:space="0" w:color="auto"/>
              <w:bottom w:val="single" w:sz="4" w:space="0" w:color="auto"/>
              <w:right w:val="single" w:sz="4" w:space="0" w:color="auto"/>
            </w:tcBorders>
            <w:shd w:val="clear" w:color="auto" w:fill="auto"/>
            <w:vAlign w:val="center"/>
          </w:tcPr>
          <w:p w14:paraId="3F64AA14"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Cotas de fundos de investimento e cotas de fundos de investimento em cotas da classe Ações e cotas dos fundos de índice de ações negociadas em mercado organizado</w:t>
            </w:r>
          </w:p>
        </w:tc>
        <w:tc>
          <w:tcPr>
            <w:tcW w:w="1369" w:type="dxa"/>
            <w:gridSpan w:val="2"/>
            <w:vMerge/>
            <w:tcBorders>
              <w:left w:val="nil"/>
              <w:right w:val="single" w:sz="4" w:space="0" w:color="auto"/>
            </w:tcBorders>
            <w:shd w:val="clear" w:color="auto" w:fill="auto"/>
            <w:noWrap/>
            <w:vAlign w:val="center"/>
          </w:tcPr>
          <w:p w14:paraId="13DD90FE" w14:textId="77777777" w:rsidR="00675364" w:rsidRPr="00A652EA" w:rsidRDefault="00675364" w:rsidP="00C40E25">
            <w:pPr>
              <w:jc w:val="center"/>
              <w:rPr>
                <w:rFonts w:ascii="Tahoma" w:hAnsi="Tahoma" w:cs="Tahoma"/>
                <w:bCs/>
                <w:color w:val="000000"/>
                <w:sz w:val="22"/>
                <w:szCs w:val="22"/>
              </w:rPr>
            </w:pPr>
          </w:p>
        </w:tc>
        <w:tc>
          <w:tcPr>
            <w:tcW w:w="1466" w:type="dxa"/>
            <w:vMerge/>
            <w:tcBorders>
              <w:left w:val="nil"/>
              <w:right w:val="single" w:sz="4" w:space="0" w:color="auto"/>
            </w:tcBorders>
            <w:shd w:val="clear" w:color="auto" w:fill="auto"/>
            <w:noWrap/>
            <w:vAlign w:val="center"/>
          </w:tcPr>
          <w:p w14:paraId="36101DF1" w14:textId="77777777" w:rsidR="00675364" w:rsidRPr="00A652EA" w:rsidRDefault="00675364" w:rsidP="00C40E25">
            <w:pPr>
              <w:jc w:val="center"/>
              <w:rPr>
                <w:rFonts w:ascii="Tahoma" w:hAnsi="Tahoma" w:cs="Tahoma"/>
                <w:bCs/>
                <w:color w:val="000000"/>
                <w:sz w:val="22"/>
                <w:szCs w:val="22"/>
              </w:rPr>
            </w:pPr>
          </w:p>
        </w:tc>
      </w:tr>
      <w:tr w:rsidR="00675364" w:rsidRPr="00A652EA" w14:paraId="5B92C91B" w14:textId="77777777" w:rsidTr="00C40E25">
        <w:trPr>
          <w:gridAfter w:val="1"/>
          <w:wAfter w:w="733" w:type="dxa"/>
          <w:trHeight w:val="283"/>
        </w:trPr>
        <w:tc>
          <w:tcPr>
            <w:tcW w:w="7655" w:type="dxa"/>
            <w:gridSpan w:val="3"/>
            <w:tcBorders>
              <w:top w:val="nil"/>
              <w:left w:val="single" w:sz="4" w:space="0" w:color="auto"/>
              <w:bottom w:val="single" w:sz="4" w:space="0" w:color="auto"/>
              <w:right w:val="single" w:sz="4" w:space="0" w:color="auto"/>
            </w:tcBorders>
            <w:shd w:val="clear" w:color="auto" w:fill="auto"/>
            <w:vAlign w:val="center"/>
          </w:tcPr>
          <w:p w14:paraId="38B10FC1" w14:textId="77777777" w:rsidR="00675364" w:rsidRPr="00A652EA" w:rsidRDefault="00675364" w:rsidP="00C40E25">
            <w:pPr>
              <w:jc w:val="both"/>
              <w:rPr>
                <w:rFonts w:ascii="Tahoma" w:hAnsi="Tahoma" w:cs="Tahoma"/>
                <w:bCs/>
                <w:color w:val="000000"/>
                <w:sz w:val="22"/>
                <w:szCs w:val="22"/>
              </w:rPr>
            </w:pPr>
            <w:proofErr w:type="spellStart"/>
            <w:r w:rsidRPr="00A652EA">
              <w:rPr>
                <w:rFonts w:ascii="Tahoma" w:hAnsi="Tahoma" w:cs="Tahoma"/>
                <w:bCs/>
                <w:color w:val="000000"/>
                <w:sz w:val="22"/>
                <w:szCs w:val="22"/>
              </w:rPr>
              <w:t>Brazilian</w:t>
            </w:r>
            <w:proofErr w:type="spellEnd"/>
            <w:r w:rsidRPr="00A652EA">
              <w:rPr>
                <w:rFonts w:ascii="Tahoma" w:hAnsi="Tahoma" w:cs="Tahoma"/>
                <w:bCs/>
                <w:color w:val="000000"/>
                <w:sz w:val="22"/>
                <w:szCs w:val="22"/>
              </w:rPr>
              <w:t xml:space="preserve"> Depositary </w:t>
            </w:r>
            <w:proofErr w:type="spellStart"/>
            <w:r w:rsidRPr="00A652EA">
              <w:rPr>
                <w:rFonts w:ascii="Tahoma" w:hAnsi="Tahoma" w:cs="Tahoma"/>
                <w:bCs/>
                <w:color w:val="000000"/>
                <w:sz w:val="22"/>
                <w:szCs w:val="22"/>
              </w:rPr>
              <w:t>Receipts</w:t>
            </w:r>
            <w:proofErr w:type="spellEnd"/>
            <w:r w:rsidRPr="00A652EA">
              <w:rPr>
                <w:rFonts w:ascii="Tahoma" w:hAnsi="Tahoma" w:cs="Tahoma"/>
                <w:bCs/>
                <w:color w:val="000000"/>
                <w:sz w:val="22"/>
                <w:szCs w:val="22"/>
              </w:rPr>
              <w:t xml:space="preserve"> (“BDR”) classificados como nível II e III</w:t>
            </w:r>
          </w:p>
        </w:tc>
        <w:tc>
          <w:tcPr>
            <w:tcW w:w="1369" w:type="dxa"/>
            <w:gridSpan w:val="2"/>
            <w:vMerge/>
            <w:tcBorders>
              <w:left w:val="nil"/>
              <w:bottom w:val="single" w:sz="4" w:space="0" w:color="auto"/>
              <w:right w:val="single" w:sz="4" w:space="0" w:color="auto"/>
            </w:tcBorders>
            <w:shd w:val="clear" w:color="auto" w:fill="auto"/>
            <w:noWrap/>
            <w:vAlign w:val="center"/>
          </w:tcPr>
          <w:p w14:paraId="7BB639EC" w14:textId="77777777" w:rsidR="00675364" w:rsidRPr="00A652EA" w:rsidRDefault="00675364" w:rsidP="00C40E25">
            <w:pPr>
              <w:jc w:val="center"/>
              <w:rPr>
                <w:rFonts w:ascii="Tahoma" w:hAnsi="Tahoma" w:cs="Tahoma"/>
                <w:bCs/>
                <w:color w:val="000000"/>
                <w:sz w:val="22"/>
                <w:szCs w:val="22"/>
              </w:rPr>
            </w:pPr>
          </w:p>
        </w:tc>
        <w:tc>
          <w:tcPr>
            <w:tcW w:w="1466" w:type="dxa"/>
            <w:vMerge/>
            <w:tcBorders>
              <w:left w:val="nil"/>
              <w:bottom w:val="single" w:sz="4" w:space="0" w:color="auto"/>
              <w:right w:val="single" w:sz="4" w:space="0" w:color="auto"/>
            </w:tcBorders>
            <w:shd w:val="clear" w:color="auto" w:fill="auto"/>
            <w:noWrap/>
            <w:vAlign w:val="center"/>
          </w:tcPr>
          <w:p w14:paraId="18D918A2" w14:textId="77777777" w:rsidR="00675364" w:rsidRPr="00A652EA" w:rsidRDefault="00675364" w:rsidP="00C40E25">
            <w:pPr>
              <w:jc w:val="center"/>
              <w:rPr>
                <w:rFonts w:ascii="Tahoma" w:hAnsi="Tahoma" w:cs="Tahoma"/>
                <w:bCs/>
                <w:color w:val="000000"/>
                <w:sz w:val="22"/>
                <w:szCs w:val="22"/>
              </w:rPr>
            </w:pPr>
          </w:p>
        </w:tc>
      </w:tr>
      <w:tr w:rsidR="00675364" w:rsidRPr="00A652EA" w14:paraId="1C577174" w14:textId="77777777" w:rsidTr="00C40E25">
        <w:trPr>
          <w:gridAfter w:val="1"/>
          <w:wAfter w:w="733" w:type="dxa"/>
          <w:trHeight w:val="283"/>
        </w:trPr>
        <w:tc>
          <w:tcPr>
            <w:tcW w:w="7655" w:type="dxa"/>
            <w:gridSpan w:val="3"/>
            <w:tcBorders>
              <w:top w:val="nil"/>
              <w:left w:val="single" w:sz="4" w:space="0" w:color="auto"/>
              <w:bottom w:val="single" w:sz="4" w:space="0" w:color="auto"/>
              <w:right w:val="single" w:sz="4" w:space="0" w:color="auto"/>
            </w:tcBorders>
            <w:shd w:val="clear" w:color="auto" w:fill="auto"/>
            <w:vAlign w:val="center"/>
            <w:hideMark/>
          </w:tcPr>
          <w:p w14:paraId="2939EAE0"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 xml:space="preserve">Outros ativos financeiros e/ou modalidades operacionais </w:t>
            </w:r>
          </w:p>
        </w:tc>
        <w:tc>
          <w:tcPr>
            <w:tcW w:w="1369" w:type="dxa"/>
            <w:gridSpan w:val="2"/>
            <w:tcBorders>
              <w:top w:val="nil"/>
              <w:left w:val="nil"/>
              <w:bottom w:val="single" w:sz="4" w:space="0" w:color="auto"/>
              <w:right w:val="single" w:sz="4" w:space="0" w:color="auto"/>
            </w:tcBorders>
            <w:shd w:val="clear" w:color="auto" w:fill="auto"/>
            <w:noWrap/>
            <w:vAlign w:val="center"/>
            <w:hideMark/>
          </w:tcPr>
          <w:p w14:paraId="2DF45397"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0%</w:t>
            </w:r>
          </w:p>
        </w:tc>
        <w:tc>
          <w:tcPr>
            <w:tcW w:w="1466" w:type="dxa"/>
            <w:tcBorders>
              <w:top w:val="nil"/>
              <w:left w:val="nil"/>
              <w:bottom w:val="single" w:sz="4" w:space="0" w:color="auto"/>
              <w:right w:val="single" w:sz="4" w:space="0" w:color="auto"/>
            </w:tcBorders>
            <w:shd w:val="clear" w:color="auto" w:fill="auto"/>
            <w:noWrap/>
            <w:vAlign w:val="center"/>
            <w:hideMark/>
          </w:tcPr>
          <w:p w14:paraId="113794E3"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33%</w:t>
            </w:r>
          </w:p>
        </w:tc>
      </w:tr>
      <w:tr w:rsidR="00675364" w:rsidRPr="00A652EA" w14:paraId="6548ADCA" w14:textId="77777777" w:rsidTr="00C40E25">
        <w:trPr>
          <w:gridAfter w:val="1"/>
          <w:wAfter w:w="733" w:type="dxa"/>
          <w:trHeight w:val="328"/>
        </w:trPr>
        <w:tc>
          <w:tcPr>
            <w:tcW w:w="7655" w:type="dxa"/>
            <w:gridSpan w:val="3"/>
            <w:tcBorders>
              <w:top w:val="nil"/>
              <w:left w:val="single" w:sz="4" w:space="0" w:color="auto"/>
              <w:bottom w:val="single" w:sz="4" w:space="0" w:color="auto"/>
              <w:right w:val="single" w:sz="4" w:space="0" w:color="auto"/>
            </w:tcBorders>
            <w:shd w:val="clear" w:color="auto" w:fill="auto"/>
            <w:vAlign w:val="center"/>
          </w:tcPr>
          <w:p w14:paraId="61A83054"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Títulos Públicos Federais e operações compromissadas lastreadas nestes títulos</w:t>
            </w:r>
          </w:p>
        </w:tc>
        <w:tc>
          <w:tcPr>
            <w:tcW w:w="1369" w:type="dxa"/>
            <w:gridSpan w:val="2"/>
            <w:tcBorders>
              <w:top w:val="nil"/>
              <w:left w:val="nil"/>
              <w:bottom w:val="single" w:sz="4" w:space="0" w:color="auto"/>
              <w:right w:val="single" w:sz="4" w:space="0" w:color="auto"/>
            </w:tcBorders>
            <w:shd w:val="clear" w:color="auto" w:fill="auto"/>
            <w:noWrap/>
            <w:vAlign w:val="center"/>
          </w:tcPr>
          <w:p w14:paraId="0C52E168"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Sem Limite</w:t>
            </w:r>
          </w:p>
        </w:tc>
        <w:tc>
          <w:tcPr>
            <w:tcW w:w="1466" w:type="dxa"/>
            <w:tcBorders>
              <w:top w:val="nil"/>
              <w:left w:val="nil"/>
              <w:bottom w:val="single" w:sz="4" w:space="0" w:color="auto"/>
              <w:right w:val="single" w:sz="4" w:space="0" w:color="auto"/>
            </w:tcBorders>
            <w:shd w:val="clear" w:color="auto" w:fill="auto"/>
            <w:noWrap/>
            <w:vAlign w:val="center"/>
          </w:tcPr>
          <w:p w14:paraId="629E12EB"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Sem Limite</w:t>
            </w:r>
          </w:p>
        </w:tc>
      </w:tr>
      <w:tr w:rsidR="00675364" w:rsidRPr="00A652EA" w14:paraId="752E36D2" w14:textId="77777777" w:rsidTr="00C40E25">
        <w:trPr>
          <w:trHeight w:val="330"/>
        </w:trPr>
        <w:tc>
          <w:tcPr>
            <w:tcW w:w="5954" w:type="dxa"/>
            <w:tcBorders>
              <w:top w:val="nil"/>
              <w:left w:val="nil"/>
              <w:bottom w:val="single" w:sz="4" w:space="0" w:color="auto"/>
              <w:right w:val="nil"/>
            </w:tcBorders>
            <w:shd w:val="clear" w:color="auto" w:fill="auto"/>
            <w:noWrap/>
            <w:vAlign w:val="bottom"/>
            <w:hideMark/>
          </w:tcPr>
          <w:p w14:paraId="30401838" w14:textId="77777777" w:rsidR="00675364" w:rsidRPr="00A652EA" w:rsidRDefault="00675364" w:rsidP="00C40E25">
            <w:pPr>
              <w:rPr>
                <w:rFonts w:ascii="Tahoma" w:hAnsi="Tahoma" w:cs="Tahoma"/>
                <w:bCs/>
                <w:color w:val="000000"/>
                <w:sz w:val="22"/>
                <w:szCs w:val="22"/>
              </w:rPr>
            </w:pPr>
          </w:p>
        </w:tc>
        <w:tc>
          <w:tcPr>
            <w:tcW w:w="859" w:type="dxa"/>
            <w:tcBorders>
              <w:top w:val="nil"/>
              <w:left w:val="nil"/>
              <w:bottom w:val="single" w:sz="4" w:space="0" w:color="auto"/>
              <w:right w:val="nil"/>
            </w:tcBorders>
            <w:shd w:val="clear" w:color="auto" w:fill="auto"/>
            <w:noWrap/>
            <w:vAlign w:val="bottom"/>
            <w:hideMark/>
          </w:tcPr>
          <w:p w14:paraId="25EDDD29" w14:textId="77777777" w:rsidR="00675364" w:rsidRPr="00A652EA" w:rsidRDefault="00675364" w:rsidP="00C40E25">
            <w:pPr>
              <w:rPr>
                <w:rFonts w:ascii="Tahoma" w:hAnsi="Tahoma" w:cs="Tahoma"/>
                <w:bCs/>
                <w:color w:val="000000"/>
                <w:sz w:val="22"/>
                <w:szCs w:val="22"/>
              </w:rPr>
            </w:pPr>
          </w:p>
        </w:tc>
        <w:tc>
          <w:tcPr>
            <w:tcW w:w="1842" w:type="dxa"/>
            <w:gridSpan w:val="2"/>
            <w:tcBorders>
              <w:top w:val="nil"/>
              <w:left w:val="nil"/>
              <w:bottom w:val="single" w:sz="4" w:space="0" w:color="auto"/>
              <w:right w:val="nil"/>
            </w:tcBorders>
            <w:shd w:val="clear" w:color="auto" w:fill="auto"/>
            <w:noWrap/>
            <w:vAlign w:val="center"/>
          </w:tcPr>
          <w:p w14:paraId="314A25F1" w14:textId="77777777" w:rsidR="00675364" w:rsidRPr="00A652EA" w:rsidRDefault="00675364" w:rsidP="00C40E25">
            <w:pPr>
              <w:jc w:val="center"/>
              <w:rPr>
                <w:rFonts w:ascii="Tahoma" w:hAnsi="Tahoma" w:cs="Tahoma"/>
                <w:bCs/>
                <w:color w:val="000000"/>
                <w:sz w:val="22"/>
                <w:szCs w:val="22"/>
              </w:rPr>
            </w:pPr>
          </w:p>
        </w:tc>
        <w:tc>
          <w:tcPr>
            <w:tcW w:w="369" w:type="dxa"/>
            <w:tcBorders>
              <w:top w:val="nil"/>
              <w:left w:val="nil"/>
              <w:bottom w:val="single" w:sz="4" w:space="0" w:color="auto"/>
              <w:right w:val="nil"/>
            </w:tcBorders>
            <w:shd w:val="clear" w:color="auto" w:fill="auto"/>
            <w:noWrap/>
            <w:vAlign w:val="center"/>
          </w:tcPr>
          <w:p w14:paraId="049E634C" w14:textId="77777777" w:rsidR="00675364" w:rsidRPr="00A652EA" w:rsidRDefault="00675364" w:rsidP="00C40E25">
            <w:pPr>
              <w:jc w:val="center"/>
              <w:rPr>
                <w:rFonts w:ascii="Tahoma" w:hAnsi="Tahoma" w:cs="Tahoma"/>
                <w:bCs/>
                <w:color w:val="000000"/>
                <w:sz w:val="22"/>
                <w:szCs w:val="22"/>
              </w:rPr>
            </w:pPr>
          </w:p>
        </w:tc>
        <w:tc>
          <w:tcPr>
            <w:tcW w:w="2199" w:type="dxa"/>
            <w:gridSpan w:val="2"/>
            <w:tcBorders>
              <w:top w:val="nil"/>
              <w:left w:val="nil"/>
              <w:right w:val="nil"/>
            </w:tcBorders>
            <w:shd w:val="clear" w:color="auto" w:fill="auto"/>
            <w:noWrap/>
            <w:vAlign w:val="center"/>
          </w:tcPr>
          <w:p w14:paraId="4B541ECB" w14:textId="77777777" w:rsidR="00675364" w:rsidRPr="00A652EA" w:rsidRDefault="00675364" w:rsidP="00C40E25">
            <w:pPr>
              <w:jc w:val="center"/>
              <w:rPr>
                <w:rFonts w:ascii="Tahoma" w:hAnsi="Tahoma" w:cs="Tahoma"/>
                <w:bCs/>
                <w:color w:val="000000"/>
                <w:sz w:val="22"/>
                <w:szCs w:val="22"/>
              </w:rPr>
            </w:pPr>
          </w:p>
        </w:tc>
      </w:tr>
      <w:tr w:rsidR="00675364" w:rsidRPr="00A652EA" w14:paraId="63016A94" w14:textId="77777777" w:rsidTr="00C40E25">
        <w:trPr>
          <w:gridAfter w:val="1"/>
          <w:wAfter w:w="733" w:type="dxa"/>
          <w:trHeight w:val="283"/>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FA17C5"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DERIVATIVOS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6E8F3E"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 xml:space="preserve">Permitido / Vedado </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57A43F3"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Limite aplicável</w:t>
            </w:r>
          </w:p>
          <w:p w14:paraId="0E8D6FA9"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(%do PL)</w:t>
            </w:r>
          </w:p>
        </w:tc>
      </w:tr>
      <w:tr w:rsidR="00675364" w:rsidRPr="00A652EA" w14:paraId="5913020B" w14:textId="77777777" w:rsidTr="00C40E25">
        <w:trPr>
          <w:gridAfter w:val="1"/>
          <w:wAfter w:w="733" w:type="dxa"/>
          <w:trHeight w:val="283"/>
        </w:trPr>
        <w:tc>
          <w:tcPr>
            <w:tcW w:w="59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294D8" w14:textId="77777777" w:rsidR="00675364" w:rsidRPr="00A652EA" w:rsidRDefault="00675364" w:rsidP="00C40E25">
            <w:pPr>
              <w:rPr>
                <w:rFonts w:ascii="Tahoma" w:hAnsi="Tahoma" w:cs="Tahoma"/>
                <w:bCs/>
                <w:color w:val="000000"/>
                <w:sz w:val="22"/>
                <w:szCs w:val="22"/>
              </w:rPr>
            </w:pPr>
            <w:r w:rsidRPr="00A652EA">
              <w:rPr>
                <w:rFonts w:ascii="Tahoma" w:hAnsi="Tahoma" w:cs="Tahoma"/>
                <w:bCs/>
                <w:color w:val="000000"/>
                <w:sz w:val="22"/>
                <w:szCs w:val="22"/>
              </w:rPr>
              <w:t>Proteção da carteira (hedge)</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08F4FD96"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Permitido</w:t>
            </w:r>
          </w:p>
        </w:tc>
        <w:tc>
          <w:tcPr>
            <w:tcW w:w="2835" w:type="dxa"/>
            <w:gridSpan w:val="3"/>
            <w:tcBorders>
              <w:top w:val="single" w:sz="4" w:space="0" w:color="auto"/>
              <w:left w:val="nil"/>
              <w:bottom w:val="single" w:sz="4" w:space="0" w:color="auto"/>
              <w:right w:val="single" w:sz="4" w:space="0" w:color="auto"/>
            </w:tcBorders>
            <w:shd w:val="clear" w:color="auto" w:fill="auto"/>
            <w:noWrap/>
            <w:vAlign w:val="center"/>
          </w:tcPr>
          <w:p w14:paraId="39B1122C"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Até 100%</w:t>
            </w:r>
          </w:p>
        </w:tc>
      </w:tr>
      <w:tr w:rsidR="00675364" w:rsidRPr="00A652EA" w14:paraId="4E2B9E96" w14:textId="77777777" w:rsidTr="00C40E25">
        <w:trPr>
          <w:gridAfter w:val="1"/>
          <w:wAfter w:w="733" w:type="dxa"/>
          <w:trHeight w:val="283"/>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14:paraId="49423497" w14:textId="77777777" w:rsidR="00675364" w:rsidRPr="00A652EA" w:rsidRDefault="00675364" w:rsidP="00C40E25">
            <w:pPr>
              <w:rPr>
                <w:rFonts w:ascii="Tahoma" w:hAnsi="Tahoma" w:cs="Tahoma"/>
                <w:bCs/>
                <w:color w:val="000000"/>
                <w:sz w:val="22"/>
                <w:szCs w:val="22"/>
              </w:rPr>
            </w:pPr>
            <w:r w:rsidRPr="00A652EA">
              <w:rPr>
                <w:rFonts w:ascii="Tahoma" w:hAnsi="Tahoma" w:cs="Tahoma"/>
                <w:bCs/>
                <w:color w:val="000000"/>
                <w:sz w:val="22"/>
                <w:szCs w:val="22"/>
              </w:rPr>
              <w:t>Assunção de risco</w:t>
            </w:r>
          </w:p>
        </w:tc>
        <w:tc>
          <w:tcPr>
            <w:tcW w:w="1701" w:type="dxa"/>
            <w:gridSpan w:val="2"/>
            <w:tcBorders>
              <w:top w:val="nil"/>
              <w:left w:val="nil"/>
              <w:bottom w:val="single" w:sz="4" w:space="0" w:color="auto"/>
              <w:right w:val="single" w:sz="4" w:space="0" w:color="auto"/>
            </w:tcBorders>
            <w:shd w:val="clear" w:color="auto" w:fill="auto"/>
            <w:vAlign w:val="center"/>
            <w:hideMark/>
          </w:tcPr>
          <w:p w14:paraId="0BE86178"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Permitido</w:t>
            </w:r>
          </w:p>
        </w:tc>
        <w:tc>
          <w:tcPr>
            <w:tcW w:w="2835" w:type="dxa"/>
            <w:gridSpan w:val="3"/>
            <w:tcBorders>
              <w:top w:val="nil"/>
              <w:left w:val="nil"/>
              <w:bottom w:val="single" w:sz="4" w:space="0" w:color="auto"/>
              <w:right w:val="single" w:sz="4" w:space="0" w:color="auto"/>
            </w:tcBorders>
            <w:shd w:val="clear" w:color="auto" w:fill="auto"/>
            <w:noWrap/>
            <w:vAlign w:val="center"/>
          </w:tcPr>
          <w:p w14:paraId="6CEFFF8C"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Até 100%</w:t>
            </w:r>
          </w:p>
        </w:tc>
      </w:tr>
      <w:tr w:rsidR="00675364" w:rsidRPr="00A652EA" w14:paraId="7D8D0D7D" w14:textId="77777777" w:rsidTr="00C40E25">
        <w:trPr>
          <w:gridAfter w:val="1"/>
          <w:wAfter w:w="733" w:type="dxa"/>
          <w:trHeight w:val="283"/>
        </w:trPr>
        <w:tc>
          <w:tcPr>
            <w:tcW w:w="5954" w:type="dxa"/>
            <w:tcBorders>
              <w:top w:val="nil"/>
              <w:left w:val="single" w:sz="4" w:space="0" w:color="auto"/>
              <w:bottom w:val="single" w:sz="4" w:space="0" w:color="auto"/>
              <w:right w:val="single" w:sz="4" w:space="0" w:color="auto"/>
            </w:tcBorders>
            <w:shd w:val="clear" w:color="auto" w:fill="auto"/>
            <w:noWrap/>
            <w:vAlign w:val="center"/>
            <w:hideMark/>
          </w:tcPr>
          <w:p w14:paraId="7A6FBCBA" w14:textId="77777777" w:rsidR="00675364" w:rsidRPr="00A652EA" w:rsidRDefault="00675364" w:rsidP="00C40E25">
            <w:pPr>
              <w:rPr>
                <w:rFonts w:ascii="Tahoma" w:hAnsi="Tahoma" w:cs="Tahoma"/>
                <w:bCs/>
                <w:color w:val="000000"/>
                <w:sz w:val="22"/>
                <w:szCs w:val="22"/>
              </w:rPr>
            </w:pPr>
            <w:r w:rsidRPr="00A652EA">
              <w:rPr>
                <w:rFonts w:ascii="Tahoma" w:hAnsi="Tahoma" w:cs="Tahoma"/>
                <w:bCs/>
                <w:color w:val="000000"/>
                <w:sz w:val="22"/>
                <w:szCs w:val="22"/>
              </w:rPr>
              <w:t>Alavancagem</w:t>
            </w:r>
          </w:p>
        </w:tc>
        <w:tc>
          <w:tcPr>
            <w:tcW w:w="1701" w:type="dxa"/>
            <w:gridSpan w:val="2"/>
            <w:tcBorders>
              <w:top w:val="nil"/>
              <w:left w:val="nil"/>
              <w:bottom w:val="single" w:sz="4" w:space="0" w:color="auto"/>
              <w:right w:val="single" w:sz="4" w:space="0" w:color="auto"/>
            </w:tcBorders>
            <w:shd w:val="clear" w:color="auto" w:fill="auto"/>
            <w:vAlign w:val="center"/>
            <w:hideMark/>
          </w:tcPr>
          <w:p w14:paraId="2BA81C6A"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Permitido</w:t>
            </w:r>
          </w:p>
        </w:tc>
        <w:tc>
          <w:tcPr>
            <w:tcW w:w="2835" w:type="dxa"/>
            <w:gridSpan w:val="3"/>
            <w:tcBorders>
              <w:top w:val="nil"/>
              <w:left w:val="nil"/>
              <w:bottom w:val="single" w:sz="4" w:space="0" w:color="auto"/>
              <w:right w:val="single" w:sz="4" w:space="0" w:color="auto"/>
            </w:tcBorders>
            <w:shd w:val="clear" w:color="auto" w:fill="auto"/>
            <w:noWrap/>
            <w:vAlign w:val="center"/>
          </w:tcPr>
          <w:p w14:paraId="6B56D743"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Sem limite máximo definido</w:t>
            </w:r>
          </w:p>
        </w:tc>
      </w:tr>
      <w:tr w:rsidR="00675364" w:rsidRPr="00A652EA" w14:paraId="11CE9EED" w14:textId="77777777" w:rsidTr="00C40E25">
        <w:trPr>
          <w:gridAfter w:val="2"/>
          <w:wAfter w:w="2199" w:type="dxa"/>
          <w:trHeight w:val="114"/>
        </w:trPr>
        <w:tc>
          <w:tcPr>
            <w:tcW w:w="9024" w:type="dxa"/>
            <w:gridSpan w:val="5"/>
            <w:tcBorders>
              <w:top w:val="single" w:sz="4" w:space="0" w:color="auto"/>
            </w:tcBorders>
            <w:shd w:val="clear" w:color="auto" w:fill="auto"/>
            <w:noWrap/>
            <w:vAlign w:val="center"/>
          </w:tcPr>
          <w:p w14:paraId="274B60D5" w14:textId="77777777" w:rsidR="00675364" w:rsidRPr="00A652EA" w:rsidRDefault="00675364" w:rsidP="00C40E25">
            <w:pPr>
              <w:jc w:val="both"/>
              <w:rPr>
                <w:rFonts w:ascii="Tahoma" w:hAnsi="Tahoma" w:cs="Tahoma"/>
                <w:bCs/>
                <w:color w:val="000000"/>
                <w:sz w:val="22"/>
                <w:szCs w:val="22"/>
              </w:rPr>
            </w:pPr>
          </w:p>
        </w:tc>
      </w:tr>
    </w:tbl>
    <w:p w14:paraId="3EB3B1E1" w14:textId="77777777" w:rsidR="00675364" w:rsidRPr="00A652EA" w:rsidRDefault="00675364" w:rsidP="00675364">
      <w:pPr>
        <w:jc w:val="both"/>
        <w:rPr>
          <w:rFonts w:ascii="Tahoma" w:hAnsi="Tahoma" w:cs="Tahoma"/>
          <w:bCs/>
          <w:color w:val="000000"/>
          <w:sz w:val="22"/>
          <w:szCs w:val="22"/>
        </w:rPr>
      </w:pPr>
    </w:p>
    <w:p w14:paraId="0EBBDF08" w14:textId="77777777" w:rsidR="00675364" w:rsidRPr="00A652EA" w:rsidRDefault="00675364" w:rsidP="00675364">
      <w:pPr>
        <w:jc w:val="center"/>
        <w:rPr>
          <w:rFonts w:ascii="Tahoma" w:hAnsi="Tahoma" w:cs="Tahoma"/>
          <w:b/>
          <w:color w:val="000000"/>
          <w:sz w:val="22"/>
          <w:szCs w:val="22"/>
        </w:rPr>
      </w:pPr>
      <w:r w:rsidRPr="00A652EA">
        <w:rPr>
          <w:rFonts w:ascii="Tahoma" w:hAnsi="Tahoma" w:cs="Tahoma"/>
          <w:b/>
          <w:color w:val="000000"/>
          <w:sz w:val="22"/>
          <w:szCs w:val="22"/>
        </w:rPr>
        <w:t>DAS OPERAÇÕES COM O ADMINISTRADOR, GESTOR E LIGADAS PELO FUNDO E/OU PELOS FUNDOS INVESTIDOS</w:t>
      </w:r>
    </w:p>
    <w:p w14:paraId="5867E4A9" w14:textId="77777777" w:rsidR="00675364" w:rsidRPr="00A652EA" w:rsidRDefault="00675364" w:rsidP="00675364">
      <w:pPr>
        <w:rPr>
          <w:rFonts w:ascii="Tahoma" w:hAnsi="Tahoma" w:cs="Tahoma"/>
          <w:bCs/>
          <w:color w:val="000000"/>
          <w:sz w:val="22"/>
          <w:szCs w:val="22"/>
        </w:rPr>
      </w:pPr>
    </w:p>
    <w:tbl>
      <w:tblPr>
        <w:tblW w:w="10490" w:type="dxa"/>
        <w:tblCellMar>
          <w:left w:w="70" w:type="dxa"/>
          <w:right w:w="70" w:type="dxa"/>
        </w:tblCellMar>
        <w:tblLook w:val="04A0" w:firstRow="1" w:lastRow="0" w:firstColumn="1" w:lastColumn="0" w:noHBand="0" w:noVBand="1"/>
      </w:tblPr>
      <w:tblGrid>
        <w:gridCol w:w="6733"/>
        <w:gridCol w:w="1559"/>
        <w:gridCol w:w="2198"/>
      </w:tblGrid>
      <w:tr w:rsidR="00675364" w:rsidRPr="00A652EA" w14:paraId="5D8215B5" w14:textId="77777777" w:rsidTr="00C40E25">
        <w:trPr>
          <w:gridAfter w:val="2"/>
          <w:wAfter w:w="3757" w:type="dxa"/>
          <w:trHeight w:val="282"/>
        </w:trPr>
        <w:tc>
          <w:tcPr>
            <w:tcW w:w="6733" w:type="dxa"/>
            <w:tcBorders>
              <w:top w:val="nil"/>
              <w:left w:val="nil"/>
              <w:bottom w:val="single" w:sz="4" w:space="0" w:color="auto"/>
              <w:right w:val="nil"/>
            </w:tcBorders>
            <w:noWrap/>
            <w:vAlign w:val="bottom"/>
            <w:hideMark/>
          </w:tcPr>
          <w:p w14:paraId="24BC0E6C" w14:textId="77777777" w:rsidR="00675364" w:rsidRPr="00A652EA" w:rsidRDefault="00675364" w:rsidP="00C40E25">
            <w:pPr>
              <w:rPr>
                <w:rFonts w:ascii="Tahoma" w:hAnsi="Tahoma" w:cs="Tahoma"/>
                <w:bCs/>
                <w:color w:val="000000"/>
                <w:sz w:val="22"/>
                <w:szCs w:val="22"/>
              </w:rPr>
            </w:pPr>
          </w:p>
        </w:tc>
      </w:tr>
      <w:tr w:rsidR="00675364" w:rsidRPr="00A652EA" w14:paraId="15A0024B" w14:textId="77777777" w:rsidTr="00C40E25">
        <w:trPr>
          <w:trHeight w:val="283"/>
        </w:trPr>
        <w:tc>
          <w:tcPr>
            <w:tcW w:w="673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879DBD"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 xml:space="preserve">OPERAÇÕES COM O ADMINISTRADOR, GESTOR E LIGADAS </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BB4576"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Permitido / Vedado</w:t>
            </w:r>
          </w:p>
        </w:tc>
        <w:tc>
          <w:tcPr>
            <w:tcW w:w="21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6485A0"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Limite aplicável</w:t>
            </w:r>
          </w:p>
          <w:p w14:paraId="49672916" w14:textId="77777777" w:rsidR="00675364" w:rsidRPr="00A652EA" w:rsidRDefault="00675364" w:rsidP="00C40E25">
            <w:pPr>
              <w:jc w:val="center"/>
              <w:rPr>
                <w:rFonts w:ascii="Tahoma" w:hAnsi="Tahoma" w:cs="Tahoma"/>
                <w:b/>
                <w:color w:val="000000"/>
                <w:sz w:val="22"/>
                <w:szCs w:val="22"/>
              </w:rPr>
            </w:pPr>
            <w:r w:rsidRPr="00A652EA">
              <w:rPr>
                <w:rFonts w:ascii="Tahoma" w:hAnsi="Tahoma" w:cs="Tahoma"/>
                <w:b/>
                <w:color w:val="000000"/>
                <w:sz w:val="22"/>
                <w:szCs w:val="22"/>
              </w:rPr>
              <w:t>(% do PL)</w:t>
            </w:r>
          </w:p>
        </w:tc>
      </w:tr>
      <w:tr w:rsidR="00675364" w:rsidRPr="00A652EA" w14:paraId="1DEDCAA6" w14:textId="77777777" w:rsidTr="00C40E25">
        <w:trPr>
          <w:trHeight w:val="283"/>
        </w:trPr>
        <w:tc>
          <w:tcPr>
            <w:tcW w:w="6733" w:type="dxa"/>
            <w:tcBorders>
              <w:top w:val="single" w:sz="4" w:space="0" w:color="auto"/>
              <w:left w:val="single" w:sz="4" w:space="0" w:color="auto"/>
              <w:bottom w:val="single" w:sz="4" w:space="0" w:color="auto"/>
              <w:right w:val="single" w:sz="4" w:space="0" w:color="auto"/>
            </w:tcBorders>
            <w:vAlign w:val="center"/>
            <w:hideMark/>
          </w:tcPr>
          <w:p w14:paraId="3684ADCB"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Títulos ou valores mobiliários de emissão do ADMINISTRADOR, do GESTOR ou de empresas a eles ligadas, sendo vedada a aquisição de ações do ADMINISTRADOR, exceto nas hipóteses em que o Fundo Investido busque reproduzir índice de mercado do qual estas ações façam parte, exclusivamente na proporção desta participação</w:t>
            </w:r>
          </w:p>
        </w:tc>
        <w:tc>
          <w:tcPr>
            <w:tcW w:w="1559" w:type="dxa"/>
            <w:tcBorders>
              <w:top w:val="single" w:sz="4" w:space="0" w:color="auto"/>
              <w:left w:val="nil"/>
              <w:bottom w:val="single" w:sz="4" w:space="0" w:color="auto"/>
              <w:right w:val="single" w:sz="4" w:space="0" w:color="auto"/>
            </w:tcBorders>
            <w:vAlign w:val="center"/>
            <w:hideMark/>
          </w:tcPr>
          <w:p w14:paraId="1B0C2794"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Permitido</w:t>
            </w:r>
          </w:p>
        </w:tc>
        <w:tc>
          <w:tcPr>
            <w:tcW w:w="2198" w:type="dxa"/>
            <w:tcBorders>
              <w:top w:val="single" w:sz="4" w:space="0" w:color="auto"/>
              <w:left w:val="nil"/>
              <w:bottom w:val="single" w:sz="4" w:space="0" w:color="auto"/>
              <w:right w:val="single" w:sz="4" w:space="0" w:color="auto"/>
            </w:tcBorders>
            <w:noWrap/>
            <w:vAlign w:val="center"/>
            <w:hideMark/>
          </w:tcPr>
          <w:p w14:paraId="3C5722A5"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FUNDO:</w:t>
            </w:r>
          </w:p>
          <w:p w14:paraId="75D8F186"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Até 5%</w:t>
            </w:r>
          </w:p>
          <w:p w14:paraId="1EB69CDD"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Fundos Investidos:</w:t>
            </w:r>
          </w:p>
          <w:p w14:paraId="5EAC9570"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Até 20%</w:t>
            </w:r>
          </w:p>
        </w:tc>
      </w:tr>
      <w:tr w:rsidR="00675364" w:rsidRPr="00A652EA" w14:paraId="0B2C2CF9" w14:textId="77777777" w:rsidTr="00C40E25">
        <w:trPr>
          <w:trHeight w:val="283"/>
        </w:trPr>
        <w:tc>
          <w:tcPr>
            <w:tcW w:w="6733" w:type="dxa"/>
            <w:tcBorders>
              <w:top w:val="nil"/>
              <w:left w:val="single" w:sz="4" w:space="0" w:color="auto"/>
              <w:bottom w:val="single" w:sz="4" w:space="0" w:color="auto"/>
              <w:right w:val="single" w:sz="4" w:space="0" w:color="auto"/>
            </w:tcBorders>
            <w:vAlign w:val="center"/>
            <w:hideMark/>
          </w:tcPr>
          <w:p w14:paraId="4683F76E"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lastRenderedPageBreak/>
              <w:t>Cotas de fundos de investimento administrados pelo ADMINISTRADOR, GESTOR ou empresas a eles ligadas</w:t>
            </w:r>
          </w:p>
        </w:tc>
        <w:tc>
          <w:tcPr>
            <w:tcW w:w="1559" w:type="dxa"/>
            <w:tcBorders>
              <w:top w:val="nil"/>
              <w:left w:val="nil"/>
              <w:bottom w:val="single" w:sz="4" w:space="0" w:color="auto"/>
              <w:right w:val="single" w:sz="4" w:space="0" w:color="auto"/>
            </w:tcBorders>
            <w:vAlign w:val="center"/>
            <w:hideMark/>
          </w:tcPr>
          <w:p w14:paraId="4FB8087B"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Permitido</w:t>
            </w:r>
          </w:p>
        </w:tc>
        <w:tc>
          <w:tcPr>
            <w:tcW w:w="2198" w:type="dxa"/>
            <w:tcBorders>
              <w:top w:val="nil"/>
              <w:left w:val="nil"/>
              <w:bottom w:val="single" w:sz="4" w:space="0" w:color="auto"/>
              <w:right w:val="single" w:sz="4" w:space="0" w:color="auto"/>
            </w:tcBorders>
            <w:noWrap/>
            <w:vAlign w:val="center"/>
            <w:hideMark/>
          </w:tcPr>
          <w:p w14:paraId="622A487F"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Até 100%</w:t>
            </w:r>
          </w:p>
        </w:tc>
      </w:tr>
      <w:tr w:rsidR="00675364" w:rsidRPr="00A652EA" w14:paraId="3AF4EB1F" w14:textId="77777777" w:rsidTr="00C40E25">
        <w:trPr>
          <w:trHeight w:val="283"/>
        </w:trPr>
        <w:tc>
          <w:tcPr>
            <w:tcW w:w="6733" w:type="dxa"/>
            <w:tcBorders>
              <w:top w:val="nil"/>
              <w:left w:val="single" w:sz="4" w:space="0" w:color="auto"/>
              <w:bottom w:val="single" w:sz="4" w:space="0" w:color="auto"/>
              <w:right w:val="single" w:sz="4" w:space="0" w:color="auto"/>
            </w:tcBorders>
            <w:vAlign w:val="center"/>
            <w:hideMark/>
          </w:tcPr>
          <w:p w14:paraId="38C5F119" w14:textId="77777777" w:rsidR="00675364" w:rsidRPr="00A652EA" w:rsidRDefault="00675364" w:rsidP="00C40E25">
            <w:pPr>
              <w:jc w:val="both"/>
              <w:rPr>
                <w:rFonts w:ascii="Tahoma" w:hAnsi="Tahoma" w:cs="Tahoma"/>
                <w:bCs/>
                <w:color w:val="000000"/>
                <w:sz w:val="22"/>
                <w:szCs w:val="22"/>
              </w:rPr>
            </w:pPr>
            <w:r w:rsidRPr="00A652EA">
              <w:rPr>
                <w:rFonts w:ascii="Tahoma" w:hAnsi="Tahoma" w:cs="Tahoma"/>
                <w:bCs/>
                <w:color w:val="000000"/>
                <w:sz w:val="22"/>
                <w:szCs w:val="22"/>
              </w:rPr>
              <w:t>Operações tendo como contraparte o ADMINISTRADOR, o GESTOR e empresas a eles ligadas, bem como fundos de investimento, clubes de investimento e/ou carteiras administradas pelo ADMINISTRADOR, pelo GESTOR ou por empresas a eles ligadas</w:t>
            </w:r>
          </w:p>
        </w:tc>
        <w:tc>
          <w:tcPr>
            <w:tcW w:w="1559" w:type="dxa"/>
            <w:tcBorders>
              <w:top w:val="nil"/>
              <w:left w:val="nil"/>
              <w:bottom w:val="single" w:sz="4" w:space="0" w:color="auto"/>
              <w:right w:val="single" w:sz="4" w:space="0" w:color="auto"/>
            </w:tcBorders>
            <w:vAlign w:val="center"/>
            <w:hideMark/>
          </w:tcPr>
          <w:p w14:paraId="1CBF1F1B"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Permitido</w:t>
            </w:r>
          </w:p>
        </w:tc>
        <w:tc>
          <w:tcPr>
            <w:tcW w:w="2198" w:type="dxa"/>
            <w:tcBorders>
              <w:top w:val="nil"/>
              <w:left w:val="nil"/>
              <w:bottom w:val="single" w:sz="4" w:space="0" w:color="auto"/>
              <w:right w:val="single" w:sz="4" w:space="0" w:color="auto"/>
            </w:tcBorders>
            <w:noWrap/>
            <w:vAlign w:val="center"/>
            <w:hideMark/>
          </w:tcPr>
          <w:p w14:paraId="6B190C2C" w14:textId="77777777" w:rsidR="00675364" w:rsidRPr="00A652EA" w:rsidRDefault="00675364" w:rsidP="00C40E25">
            <w:pPr>
              <w:jc w:val="center"/>
              <w:rPr>
                <w:rFonts w:ascii="Tahoma" w:hAnsi="Tahoma" w:cs="Tahoma"/>
                <w:bCs/>
                <w:color w:val="000000"/>
                <w:sz w:val="22"/>
                <w:szCs w:val="22"/>
              </w:rPr>
            </w:pPr>
            <w:r w:rsidRPr="00A652EA">
              <w:rPr>
                <w:rFonts w:ascii="Tahoma" w:hAnsi="Tahoma" w:cs="Tahoma"/>
                <w:bCs/>
                <w:color w:val="000000"/>
                <w:sz w:val="22"/>
                <w:szCs w:val="22"/>
              </w:rPr>
              <w:t>Até 100%</w:t>
            </w:r>
          </w:p>
        </w:tc>
      </w:tr>
    </w:tbl>
    <w:p w14:paraId="60ECD6E8" w14:textId="77777777" w:rsidR="00675364" w:rsidRPr="00A652EA" w:rsidRDefault="00675364" w:rsidP="00675364">
      <w:pPr>
        <w:jc w:val="both"/>
        <w:rPr>
          <w:rFonts w:ascii="Tahoma" w:hAnsi="Tahoma" w:cs="Tahoma"/>
          <w:bCs/>
          <w:color w:val="000000"/>
          <w:sz w:val="22"/>
          <w:szCs w:val="22"/>
        </w:rPr>
      </w:pPr>
    </w:p>
    <w:p w14:paraId="78FD6987"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Cs/>
          <w:color w:val="000000"/>
          <w:sz w:val="22"/>
          <w:szCs w:val="22"/>
        </w:rPr>
        <w:t>3.3. O FUNDO poderá concentrar a totalidade de suas aplicações em cotas de um mesmo fundo de investimento, inclusive em fundos de investimento administrados pelo ADMINISTRADOR ou empresas a ele ligadas.</w:t>
      </w:r>
    </w:p>
    <w:p w14:paraId="2CC66BC9" w14:textId="77777777" w:rsidR="00675364" w:rsidRPr="00A652EA" w:rsidRDefault="00675364" w:rsidP="00675364">
      <w:pPr>
        <w:jc w:val="both"/>
        <w:rPr>
          <w:rFonts w:ascii="Tahoma" w:hAnsi="Tahoma" w:cs="Tahoma"/>
          <w:bCs/>
          <w:color w:val="000000"/>
          <w:sz w:val="22"/>
          <w:szCs w:val="22"/>
        </w:rPr>
      </w:pPr>
    </w:p>
    <w:p w14:paraId="5321CEB7"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Cs/>
          <w:color w:val="000000"/>
          <w:sz w:val="22"/>
          <w:szCs w:val="22"/>
        </w:rPr>
        <w:t>3.4. Os limites indicados nos quadros acima serão considerados em conjunto e cumulativamente.</w:t>
      </w:r>
    </w:p>
    <w:p w14:paraId="5304345F" w14:textId="77777777" w:rsidR="00675364" w:rsidRPr="00A652EA" w:rsidRDefault="00675364" w:rsidP="00675364">
      <w:pPr>
        <w:jc w:val="both"/>
        <w:rPr>
          <w:rFonts w:ascii="Tahoma" w:hAnsi="Tahoma" w:cs="Tahoma"/>
          <w:bCs/>
          <w:color w:val="000000"/>
          <w:sz w:val="22"/>
          <w:szCs w:val="22"/>
        </w:rPr>
      </w:pPr>
    </w:p>
    <w:p w14:paraId="6359FDF2"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Cs/>
          <w:color w:val="000000"/>
          <w:sz w:val="22"/>
          <w:szCs w:val="22"/>
        </w:rPr>
        <w:t>3.5. Observado o disposto nos quadros acima, cada Fundo Investido observará os limites por emissor e por modalidade de ativo previstos na regulamentação aplicável.</w:t>
      </w:r>
    </w:p>
    <w:p w14:paraId="0E701A2A" w14:textId="77777777" w:rsidR="00675364" w:rsidRPr="00A652EA" w:rsidRDefault="00675364" w:rsidP="00675364">
      <w:pPr>
        <w:jc w:val="both"/>
        <w:rPr>
          <w:rFonts w:ascii="Tahoma" w:hAnsi="Tahoma" w:cs="Tahoma"/>
          <w:bCs/>
          <w:color w:val="000000"/>
          <w:sz w:val="22"/>
          <w:szCs w:val="22"/>
        </w:rPr>
      </w:pPr>
    </w:p>
    <w:p w14:paraId="7DA86A49"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Cs/>
          <w:color w:val="000000"/>
          <w:sz w:val="22"/>
          <w:szCs w:val="22"/>
        </w:rPr>
        <w:t>3.6. O FUNDO não será obrigado a consolidar as aplicações em cotas de fundos de índice negociados em mercados organizados e em cotas de Fundos Investidos cujas carteiras sejam geridas por terceiros não ligados ao ADMINISTRADOR ou ao GESTOR do FUNDO, exceto se referidas cotas forem destinadas a investidores profissionais.</w:t>
      </w:r>
    </w:p>
    <w:p w14:paraId="41027917" w14:textId="77777777" w:rsidR="00675364" w:rsidRPr="00A652EA" w:rsidRDefault="00675364" w:rsidP="00675364">
      <w:pPr>
        <w:jc w:val="both"/>
        <w:rPr>
          <w:rFonts w:ascii="Tahoma" w:hAnsi="Tahoma" w:cs="Tahoma"/>
          <w:bCs/>
          <w:color w:val="000000"/>
          <w:sz w:val="22"/>
          <w:szCs w:val="22"/>
        </w:rPr>
      </w:pPr>
    </w:p>
    <w:p w14:paraId="16EC49E4"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Cs/>
          <w:color w:val="000000"/>
          <w:sz w:val="22"/>
          <w:szCs w:val="22"/>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01DB5DD7" w14:textId="77777777" w:rsidR="00675364" w:rsidRPr="00A652EA" w:rsidRDefault="00675364" w:rsidP="00675364">
      <w:pPr>
        <w:jc w:val="both"/>
        <w:rPr>
          <w:rFonts w:ascii="Tahoma" w:hAnsi="Tahoma" w:cs="Tahoma"/>
          <w:bCs/>
          <w:color w:val="000000"/>
          <w:sz w:val="22"/>
          <w:szCs w:val="22"/>
        </w:rPr>
      </w:pPr>
    </w:p>
    <w:p w14:paraId="57ABA273"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Cs/>
          <w:color w:val="000000"/>
          <w:sz w:val="22"/>
          <w:szCs w:val="22"/>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6E83E919" w14:textId="77777777" w:rsidR="00675364" w:rsidRPr="00A652EA" w:rsidRDefault="00675364" w:rsidP="00675364">
      <w:pPr>
        <w:jc w:val="both"/>
        <w:rPr>
          <w:rFonts w:ascii="Tahoma" w:hAnsi="Tahoma" w:cs="Tahoma"/>
          <w:bCs/>
          <w:color w:val="000000"/>
          <w:sz w:val="22"/>
          <w:szCs w:val="22"/>
        </w:rPr>
      </w:pPr>
    </w:p>
    <w:p w14:paraId="55925453"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Cs/>
          <w:color w:val="000000"/>
          <w:sz w:val="22"/>
          <w:szCs w:val="22"/>
        </w:rPr>
        <w:t>3.9. Ficam vedadas as aplicações pelo FUNDO em cotas de fundos de investimento que invistam diretamente no FUNDO.</w:t>
      </w:r>
    </w:p>
    <w:p w14:paraId="69B9D1E3" w14:textId="77777777" w:rsidR="00675364" w:rsidRPr="00A652EA" w:rsidRDefault="00675364" w:rsidP="00675364">
      <w:pPr>
        <w:jc w:val="both"/>
        <w:rPr>
          <w:rFonts w:ascii="Tahoma" w:hAnsi="Tahoma" w:cs="Tahoma"/>
          <w:bCs/>
          <w:color w:val="000000"/>
          <w:sz w:val="22"/>
          <w:szCs w:val="22"/>
        </w:rPr>
      </w:pPr>
    </w:p>
    <w:p w14:paraId="18B5D439"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Cs/>
          <w:color w:val="000000"/>
          <w:sz w:val="22"/>
          <w:szCs w:val="22"/>
        </w:rPr>
        <w:t xml:space="preserve">3.10. O ADMINISTRADOR, o GESTOR e qualquer empresa pertencente ao mesmo conglomerado financeiro, bem como diretores, gerentes e funcionários dessas empresas poderão ter posições </w:t>
      </w:r>
      <w:proofErr w:type="gramStart"/>
      <w:r w:rsidRPr="00A652EA">
        <w:rPr>
          <w:rFonts w:ascii="Tahoma" w:hAnsi="Tahoma" w:cs="Tahoma"/>
          <w:bCs/>
          <w:color w:val="000000"/>
          <w:sz w:val="22"/>
          <w:szCs w:val="22"/>
        </w:rPr>
        <w:t>em, subscrever ou operar</w:t>
      </w:r>
      <w:proofErr w:type="gramEnd"/>
      <w:r w:rsidRPr="00A652EA">
        <w:rPr>
          <w:rFonts w:ascii="Tahoma" w:hAnsi="Tahoma" w:cs="Tahoma"/>
          <w:bCs/>
          <w:color w:val="000000"/>
          <w:sz w:val="22"/>
          <w:szCs w:val="22"/>
        </w:rPr>
        <w:t xml:space="preserve"> com ativos financeiros que integrem ou venham a integrar a CARTEIRA do FUNDO e/ou a carteira dos Fundos Investidos.</w:t>
      </w:r>
    </w:p>
    <w:p w14:paraId="129B519F" w14:textId="77777777" w:rsidR="00675364" w:rsidRPr="00A652EA" w:rsidRDefault="00675364" w:rsidP="00675364">
      <w:pPr>
        <w:jc w:val="both"/>
        <w:rPr>
          <w:rFonts w:ascii="Tahoma" w:hAnsi="Tahoma" w:cs="Tahoma"/>
          <w:bCs/>
          <w:color w:val="000000"/>
          <w:sz w:val="22"/>
          <w:szCs w:val="22"/>
        </w:rPr>
      </w:pPr>
    </w:p>
    <w:p w14:paraId="6B96FC1A"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Cs/>
          <w:color w:val="000000"/>
          <w:sz w:val="22"/>
          <w:szCs w:val="22"/>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1A526C41" w14:textId="77777777" w:rsidR="00675364" w:rsidRPr="00A652EA" w:rsidRDefault="00675364" w:rsidP="00675364">
      <w:pPr>
        <w:tabs>
          <w:tab w:val="left" w:pos="426"/>
          <w:tab w:val="left" w:pos="1843"/>
        </w:tabs>
        <w:jc w:val="both"/>
        <w:rPr>
          <w:rFonts w:ascii="Tahoma" w:hAnsi="Tahoma" w:cs="Tahoma"/>
          <w:sz w:val="22"/>
          <w:szCs w:val="22"/>
        </w:rPr>
      </w:pPr>
    </w:p>
    <w:p w14:paraId="670FC85C" w14:textId="77777777" w:rsidR="00675364" w:rsidRPr="00A652EA" w:rsidRDefault="00675364" w:rsidP="00675364">
      <w:pPr>
        <w:pBdr>
          <w:bottom w:val="single" w:sz="6" w:space="1" w:color="auto"/>
        </w:pBdr>
        <w:spacing w:line="280" w:lineRule="atLeast"/>
        <w:jc w:val="center"/>
        <w:rPr>
          <w:rFonts w:ascii="Tahoma" w:hAnsi="Tahoma" w:cs="Tahoma"/>
          <w:b/>
          <w:sz w:val="22"/>
          <w:szCs w:val="22"/>
        </w:rPr>
      </w:pPr>
      <w:r w:rsidRPr="00A652EA">
        <w:rPr>
          <w:rFonts w:ascii="Tahoma" w:hAnsi="Tahoma" w:cs="Tahoma"/>
          <w:b/>
          <w:sz w:val="22"/>
          <w:szCs w:val="22"/>
        </w:rPr>
        <w:t xml:space="preserve">CLÁUSULA QUARTA – DOS RISCOS </w:t>
      </w:r>
    </w:p>
    <w:p w14:paraId="63866DF3" w14:textId="77777777" w:rsidR="00675364" w:rsidRPr="00A652EA" w:rsidRDefault="00675364" w:rsidP="00675364">
      <w:pPr>
        <w:spacing w:line="280" w:lineRule="atLeast"/>
        <w:jc w:val="both"/>
        <w:rPr>
          <w:rFonts w:ascii="Tahoma" w:hAnsi="Tahoma" w:cs="Tahoma"/>
          <w:sz w:val="22"/>
          <w:szCs w:val="22"/>
        </w:rPr>
      </w:pPr>
    </w:p>
    <w:p w14:paraId="3734FF22" w14:textId="77777777" w:rsidR="00675364" w:rsidRPr="00A652EA" w:rsidRDefault="00675364" w:rsidP="00675364">
      <w:pPr>
        <w:jc w:val="both"/>
        <w:rPr>
          <w:rFonts w:ascii="Tahoma" w:hAnsi="Tahoma" w:cs="Tahoma"/>
          <w:color w:val="000000"/>
          <w:sz w:val="22"/>
          <w:szCs w:val="22"/>
        </w:rPr>
      </w:pPr>
      <w:r w:rsidRPr="00A652EA">
        <w:rPr>
          <w:rFonts w:ascii="Tahoma" w:hAnsi="Tahoma" w:cs="Tahoma"/>
          <w:sz w:val="22"/>
          <w:szCs w:val="22"/>
        </w:rPr>
        <w:t xml:space="preserve">4.1. </w:t>
      </w:r>
      <w:r w:rsidRPr="00A652EA">
        <w:rPr>
          <w:rFonts w:ascii="Tahoma" w:hAnsi="Tahoma" w:cs="Tahoma"/>
          <w:color w:val="000000"/>
          <w:sz w:val="22"/>
          <w:szCs w:val="22"/>
        </w:rPr>
        <w:t>O FUNDO e seus Cotistas estão sujeitos, principalmente, aos seguintes riscos:</w:t>
      </w:r>
    </w:p>
    <w:p w14:paraId="072C9EDC" w14:textId="77777777" w:rsidR="00675364" w:rsidRPr="00A652EA" w:rsidRDefault="00675364" w:rsidP="00675364">
      <w:pPr>
        <w:jc w:val="both"/>
        <w:rPr>
          <w:rFonts w:ascii="Tahoma" w:hAnsi="Tahoma" w:cs="Tahoma"/>
          <w:b/>
          <w:bCs/>
          <w:color w:val="000000"/>
          <w:sz w:val="22"/>
          <w:szCs w:val="22"/>
        </w:rPr>
      </w:pPr>
    </w:p>
    <w:p w14:paraId="55D719CA"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
          <w:bCs/>
          <w:color w:val="000000"/>
          <w:sz w:val="22"/>
          <w:szCs w:val="22"/>
        </w:rPr>
        <w:t>Risco de Mercado:</w:t>
      </w:r>
      <w:r w:rsidRPr="00A652EA">
        <w:rPr>
          <w:rFonts w:ascii="Tahoma" w:hAnsi="Tahoma" w:cs="Tahoma"/>
          <w:bCs/>
          <w:color w:val="000000"/>
          <w:sz w:val="22"/>
          <w:szCs w:val="22"/>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w:t>
      </w:r>
    </w:p>
    <w:p w14:paraId="3805393E" w14:textId="77777777" w:rsidR="00675364" w:rsidRPr="00A652EA" w:rsidRDefault="00675364" w:rsidP="00675364">
      <w:pPr>
        <w:jc w:val="both"/>
        <w:rPr>
          <w:rFonts w:ascii="Tahoma" w:hAnsi="Tahoma" w:cs="Tahoma"/>
          <w:bCs/>
          <w:color w:val="000000"/>
          <w:sz w:val="22"/>
          <w:szCs w:val="22"/>
        </w:rPr>
      </w:pPr>
    </w:p>
    <w:p w14:paraId="3B71D7B7" w14:textId="77777777" w:rsidR="00675364" w:rsidRPr="00A652EA" w:rsidRDefault="00675364" w:rsidP="00675364">
      <w:pPr>
        <w:jc w:val="both"/>
        <w:rPr>
          <w:rFonts w:ascii="Tahoma" w:hAnsi="Tahoma" w:cs="Tahoma"/>
          <w:b/>
          <w:bCs/>
          <w:color w:val="000000"/>
          <w:sz w:val="22"/>
          <w:szCs w:val="22"/>
        </w:rPr>
      </w:pPr>
      <w:r w:rsidRPr="00A652EA">
        <w:rPr>
          <w:rFonts w:ascii="Tahoma" w:hAnsi="Tahoma" w:cs="Tahoma"/>
          <w:b/>
          <w:bCs/>
          <w:color w:val="000000"/>
          <w:sz w:val="22"/>
          <w:szCs w:val="22"/>
        </w:rPr>
        <w:t>Risco Relacionado aos Fundos Investidos:</w:t>
      </w:r>
      <w:r w:rsidRPr="00A652EA">
        <w:rPr>
          <w:rFonts w:ascii="Tahoma" w:hAnsi="Tahoma" w:cs="Tahoma"/>
          <w:bCs/>
          <w:color w:val="000000"/>
          <w:sz w:val="22"/>
          <w:szCs w:val="22"/>
        </w:rPr>
        <w:t xml:space="preserve"> o FUNDO, na qualidade de cotista dos Fundos Investidos, está sujeito a todos os riscos envolvidos nas aplicações realizadas por tais Fundos Investidos. O </w:t>
      </w:r>
      <w:r w:rsidRPr="00A652EA">
        <w:rPr>
          <w:rFonts w:ascii="Tahoma" w:hAnsi="Tahoma" w:cs="Tahoma"/>
          <w:bCs/>
          <w:color w:val="000000"/>
          <w:sz w:val="22"/>
          <w:szCs w:val="22"/>
        </w:rPr>
        <w:lastRenderedPageBreak/>
        <w:t>ADMINISTRADOR e o GESTOR não têm qualquer poder de decisão ou interferência na composição da carteira de investimento ou na definição de estratégias de gestão dos Fundos Investidos geridos por terceiros.</w:t>
      </w:r>
    </w:p>
    <w:p w14:paraId="196D594E" w14:textId="77777777" w:rsidR="00675364" w:rsidRPr="00A652EA" w:rsidRDefault="00675364" w:rsidP="00675364">
      <w:pPr>
        <w:jc w:val="both"/>
        <w:rPr>
          <w:rFonts w:ascii="Tahoma" w:hAnsi="Tahoma" w:cs="Tahoma"/>
          <w:bCs/>
          <w:color w:val="000000"/>
          <w:sz w:val="22"/>
          <w:szCs w:val="22"/>
        </w:rPr>
      </w:pPr>
    </w:p>
    <w:p w14:paraId="1307C64D"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
          <w:bCs/>
          <w:color w:val="000000"/>
          <w:sz w:val="22"/>
          <w:szCs w:val="22"/>
        </w:rPr>
        <w:t>Risco de Liquidez:</w:t>
      </w:r>
      <w:r w:rsidRPr="00A652EA">
        <w:rPr>
          <w:rFonts w:ascii="Tahoma" w:hAnsi="Tahoma" w:cs="Tahoma"/>
          <w:bCs/>
          <w:color w:val="000000"/>
          <w:sz w:val="22"/>
          <w:szCs w:val="22"/>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2C4F3DF5" w14:textId="77777777" w:rsidR="00675364" w:rsidRPr="00A652EA" w:rsidRDefault="00675364" w:rsidP="00675364">
      <w:pPr>
        <w:jc w:val="both"/>
        <w:rPr>
          <w:rFonts w:ascii="Tahoma" w:hAnsi="Tahoma" w:cs="Tahoma"/>
          <w:bCs/>
          <w:color w:val="000000"/>
          <w:sz w:val="22"/>
          <w:szCs w:val="22"/>
        </w:rPr>
      </w:pPr>
    </w:p>
    <w:p w14:paraId="7708AC81"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
          <w:bCs/>
          <w:color w:val="000000"/>
          <w:sz w:val="22"/>
          <w:szCs w:val="22"/>
        </w:rPr>
        <w:t>Risco de Concentração:</w:t>
      </w:r>
      <w:r w:rsidRPr="00A652EA">
        <w:rPr>
          <w:rFonts w:ascii="Tahoma" w:hAnsi="Tahoma" w:cs="Tahoma"/>
          <w:bCs/>
          <w:color w:val="000000"/>
          <w:sz w:val="22"/>
          <w:szCs w:val="22"/>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22CEBC2A" w14:textId="77777777" w:rsidR="00675364" w:rsidRPr="00A652EA" w:rsidRDefault="00675364" w:rsidP="00675364">
      <w:pPr>
        <w:jc w:val="both"/>
        <w:rPr>
          <w:rFonts w:ascii="Tahoma" w:hAnsi="Tahoma" w:cs="Tahoma"/>
          <w:bCs/>
          <w:color w:val="000000"/>
          <w:sz w:val="22"/>
          <w:szCs w:val="22"/>
        </w:rPr>
      </w:pPr>
    </w:p>
    <w:p w14:paraId="70154EED"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
          <w:bCs/>
          <w:color w:val="000000"/>
          <w:sz w:val="22"/>
          <w:szCs w:val="22"/>
        </w:rPr>
        <w:t>Risco de Perdas Patrimoniais:</w:t>
      </w:r>
      <w:r w:rsidRPr="00A652EA">
        <w:rPr>
          <w:rFonts w:ascii="Tahoma" w:hAnsi="Tahoma" w:cs="Tahoma"/>
          <w:bCs/>
          <w:color w:val="000000"/>
          <w:sz w:val="22"/>
          <w:szCs w:val="22"/>
        </w:rPr>
        <w:t xml:space="preserve">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7C81D8B9" w14:textId="77777777" w:rsidR="00675364" w:rsidRPr="00A652EA" w:rsidRDefault="00675364" w:rsidP="00675364">
      <w:pPr>
        <w:jc w:val="both"/>
        <w:rPr>
          <w:rFonts w:ascii="Tahoma" w:hAnsi="Tahoma" w:cs="Tahoma"/>
          <w:bCs/>
          <w:color w:val="000000"/>
          <w:sz w:val="22"/>
          <w:szCs w:val="22"/>
        </w:rPr>
      </w:pPr>
    </w:p>
    <w:p w14:paraId="1C643083"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
          <w:bCs/>
          <w:color w:val="000000"/>
          <w:sz w:val="22"/>
          <w:szCs w:val="22"/>
        </w:rPr>
        <w:t>Risco de Mercado Externo:</w:t>
      </w:r>
      <w:r w:rsidRPr="00A652EA">
        <w:rPr>
          <w:rFonts w:ascii="Tahoma" w:hAnsi="Tahoma" w:cs="Tahoma"/>
          <w:bCs/>
          <w:color w:val="000000"/>
          <w:sz w:val="22"/>
          <w:szCs w:val="22"/>
        </w:rPr>
        <w:t xml:space="preserve"> 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4AA5DC71" w14:textId="77777777" w:rsidR="00675364" w:rsidRPr="00A652EA" w:rsidRDefault="00675364" w:rsidP="00675364">
      <w:pPr>
        <w:jc w:val="both"/>
        <w:rPr>
          <w:rFonts w:ascii="Tahoma" w:hAnsi="Tahoma" w:cs="Tahoma"/>
          <w:bCs/>
          <w:color w:val="000000"/>
          <w:sz w:val="22"/>
          <w:szCs w:val="22"/>
        </w:rPr>
      </w:pPr>
    </w:p>
    <w:p w14:paraId="5806C67F"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
          <w:bCs/>
          <w:color w:val="000000"/>
          <w:sz w:val="22"/>
          <w:szCs w:val="22"/>
        </w:rPr>
        <w:t>Risco Decorrente da Precificação dos Ativos Financeiros:</w:t>
      </w:r>
      <w:r w:rsidRPr="00A652EA">
        <w:rPr>
          <w:rFonts w:ascii="Tahoma" w:hAnsi="Tahoma" w:cs="Tahoma"/>
          <w:bCs/>
          <w:color w:val="000000"/>
          <w:sz w:val="22"/>
          <w:szCs w:val="22"/>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16F9E21C" w14:textId="77777777" w:rsidR="00675364" w:rsidRPr="00A652EA" w:rsidRDefault="00675364" w:rsidP="00675364">
      <w:pPr>
        <w:jc w:val="both"/>
        <w:rPr>
          <w:rFonts w:ascii="Tahoma" w:hAnsi="Tahoma" w:cs="Tahoma"/>
          <w:bCs/>
          <w:color w:val="000000"/>
          <w:sz w:val="22"/>
          <w:szCs w:val="22"/>
        </w:rPr>
      </w:pPr>
    </w:p>
    <w:p w14:paraId="0B641C33"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
          <w:bCs/>
          <w:color w:val="000000"/>
          <w:sz w:val="22"/>
          <w:szCs w:val="22"/>
        </w:rPr>
        <w:t>Risco de Crédito:</w:t>
      </w:r>
      <w:r w:rsidRPr="00A652EA">
        <w:rPr>
          <w:rFonts w:ascii="Tahoma" w:hAnsi="Tahoma" w:cs="Tahoma"/>
          <w:bCs/>
          <w:color w:val="000000"/>
          <w:sz w:val="22"/>
          <w:szCs w:val="22"/>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1A9A83B5" w14:textId="77777777" w:rsidR="00675364" w:rsidRPr="00A652EA" w:rsidRDefault="00675364" w:rsidP="00675364">
      <w:pPr>
        <w:jc w:val="both"/>
        <w:rPr>
          <w:rFonts w:ascii="Tahoma" w:hAnsi="Tahoma" w:cs="Tahoma"/>
          <w:bCs/>
          <w:color w:val="000000"/>
          <w:sz w:val="22"/>
          <w:szCs w:val="22"/>
        </w:rPr>
      </w:pPr>
    </w:p>
    <w:p w14:paraId="34BB6C8E"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
          <w:bCs/>
          <w:color w:val="000000"/>
          <w:sz w:val="22"/>
          <w:szCs w:val="22"/>
        </w:rPr>
        <w:t>Risco de Concentração em Créditos Privados:</w:t>
      </w:r>
      <w:r w:rsidRPr="00A652EA">
        <w:rPr>
          <w:rFonts w:ascii="Tahoma" w:hAnsi="Tahoma" w:cs="Tahoma"/>
          <w:bCs/>
          <w:color w:val="000000"/>
          <w:sz w:val="22"/>
          <w:szCs w:val="22"/>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w:t>
      </w:r>
    </w:p>
    <w:p w14:paraId="15404719" w14:textId="77777777" w:rsidR="00675364" w:rsidRPr="00A652EA" w:rsidRDefault="00675364" w:rsidP="00675364">
      <w:pPr>
        <w:jc w:val="both"/>
        <w:rPr>
          <w:rFonts w:ascii="Tahoma" w:hAnsi="Tahoma" w:cs="Tahoma"/>
          <w:bCs/>
          <w:color w:val="000000"/>
          <w:sz w:val="22"/>
          <w:szCs w:val="22"/>
        </w:rPr>
      </w:pPr>
    </w:p>
    <w:p w14:paraId="5DF456CF"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
          <w:bCs/>
          <w:color w:val="000000"/>
          <w:sz w:val="22"/>
          <w:szCs w:val="22"/>
        </w:rPr>
        <w:t>Risco Regulatório:</w:t>
      </w:r>
      <w:r w:rsidRPr="00A652EA">
        <w:rPr>
          <w:rFonts w:ascii="Tahoma" w:hAnsi="Tahoma" w:cs="Tahoma"/>
          <w:bCs/>
          <w:color w:val="000000"/>
          <w:sz w:val="22"/>
          <w:szCs w:val="22"/>
        </w:rPr>
        <w:t xml:space="preserve"> 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w:t>
      </w:r>
      <w:r w:rsidRPr="00A652EA">
        <w:rPr>
          <w:rFonts w:ascii="Tahoma" w:hAnsi="Tahoma" w:cs="Tahoma"/>
          <w:bCs/>
          <w:color w:val="000000"/>
          <w:sz w:val="22"/>
          <w:szCs w:val="22"/>
        </w:rPr>
        <w:lastRenderedPageBreak/>
        <w:t>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01B31D0B" w14:textId="77777777" w:rsidR="00675364" w:rsidRPr="00A652EA" w:rsidRDefault="00675364" w:rsidP="00675364">
      <w:pPr>
        <w:jc w:val="both"/>
        <w:rPr>
          <w:rFonts w:ascii="Tahoma" w:hAnsi="Tahoma" w:cs="Tahoma"/>
          <w:bCs/>
          <w:color w:val="000000"/>
          <w:sz w:val="22"/>
          <w:szCs w:val="22"/>
        </w:rPr>
      </w:pPr>
    </w:p>
    <w:p w14:paraId="4F6DDA4E"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
          <w:bCs/>
          <w:color w:val="000000"/>
          <w:sz w:val="22"/>
          <w:szCs w:val="22"/>
        </w:rPr>
        <w:t>Risco de Perdas Patrimoniais:</w:t>
      </w:r>
      <w:r w:rsidRPr="00A652EA">
        <w:rPr>
          <w:rFonts w:ascii="Tahoma" w:hAnsi="Tahoma" w:cs="Tahoma"/>
          <w:bCs/>
          <w:color w:val="000000"/>
          <w:sz w:val="22"/>
          <w:szCs w:val="22"/>
        </w:rPr>
        <w:t xml:space="preserve"> Este FUNDO e/ou os Fundos Investidos utilizam estratégias, inclusive com derivativos, que podem resultar em significativas perdas patrimoniais para seus cotistas.</w:t>
      </w:r>
    </w:p>
    <w:p w14:paraId="445CBBBA" w14:textId="77777777" w:rsidR="00675364" w:rsidRPr="00A652EA" w:rsidRDefault="00675364" w:rsidP="00675364">
      <w:pPr>
        <w:jc w:val="both"/>
        <w:rPr>
          <w:rFonts w:ascii="Tahoma" w:hAnsi="Tahoma" w:cs="Tahoma"/>
          <w:bCs/>
          <w:color w:val="000000"/>
          <w:sz w:val="22"/>
          <w:szCs w:val="22"/>
        </w:rPr>
      </w:pPr>
    </w:p>
    <w:p w14:paraId="349AB3CD" w14:textId="77777777" w:rsidR="00675364" w:rsidRPr="00A652EA" w:rsidRDefault="00675364" w:rsidP="00675364">
      <w:pPr>
        <w:jc w:val="both"/>
        <w:rPr>
          <w:rFonts w:ascii="Tahoma" w:hAnsi="Tahoma" w:cs="Tahoma"/>
          <w:bCs/>
          <w:color w:val="000000"/>
          <w:sz w:val="22"/>
          <w:szCs w:val="22"/>
        </w:rPr>
      </w:pPr>
      <w:r w:rsidRPr="00A652EA">
        <w:rPr>
          <w:rFonts w:ascii="Tahoma" w:hAnsi="Tahoma" w:cs="Tahoma"/>
          <w:b/>
          <w:bCs/>
          <w:color w:val="000000"/>
          <w:sz w:val="22"/>
          <w:szCs w:val="22"/>
        </w:rPr>
        <w:t>Risco Cambial:</w:t>
      </w:r>
      <w:r w:rsidRPr="00A652EA">
        <w:rPr>
          <w:rFonts w:ascii="Tahoma" w:hAnsi="Tahoma" w:cs="Tahoma"/>
          <w:bCs/>
          <w:color w:val="000000"/>
          <w:sz w:val="22"/>
          <w:szCs w:val="22"/>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 </w:t>
      </w:r>
    </w:p>
    <w:p w14:paraId="2DF08229" w14:textId="77777777" w:rsidR="00675364" w:rsidRPr="00A652EA" w:rsidRDefault="00675364" w:rsidP="00675364">
      <w:pPr>
        <w:jc w:val="both"/>
        <w:rPr>
          <w:rFonts w:ascii="Tahoma" w:hAnsi="Tahoma" w:cs="Tahoma"/>
          <w:sz w:val="22"/>
          <w:szCs w:val="22"/>
        </w:rPr>
      </w:pPr>
    </w:p>
    <w:p w14:paraId="7EBE2BB1" w14:textId="77777777" w:rsidR="00675364" w:rsidRPr="00A652EA" w:rsidRDefault="00675364" w:rsidP="00675364">
      <w:pPr>
        <w:jc w:val="both"/>
        <w:rPr>
          <w:rFonts w:ascii="Tahoma" w:hAnsi="Tahoma" w:cs="Tahoma"/>
          <w:sz w:val="22"/>
          <w:szCs w:val="22"/>
        </w:rPr>
      </w:pPr>
      <w:r w:rsidRPr="00A652EA">
        <w:rPr>
          <w:rFonts w:ascii="Tahoma" w:hAnsi="Tahoma" w:cs="Tahoma"/>
          <w:sz w:val="22"/>
          <w:szCs w:val="22"/>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609F2C78" w14:textId="77777777" w:rsidR="00675364" w:rsidRPr="00A652EA" w:rsidRDefault="00675364" w:rsidP="00675364">
      <w:pPr>
        <w:jc w:val="both"/>
        <w:rPr>
          <w:rFonts w:ascii="Tahoma" w:hAnsi="Tahoma" w:cs="Tahoma"/>
          <w:sz w:val="22"/>
          <w:szCs w:val="22"/>
        </w:rPr>
      </w:pPr>
    </w:p>
    <w:p w14:paraId="5579EB82" w14:textId="77777777" w:rsidR="00675364" w:rsidRPr="00A652EA" w:rsidRDefault="00675364" w:rsidP="00675364">
      <w:pPr>
        <w:jc w:val="both"/>
        <w:rPr>
          <w:rFonts w:ascii="Tahoma" w:hAnsi="Tahoma" w:cs="Tahoma"/>
          <w:sz w:val="22"/>
          <w:szCs w:val="22"/>
        </w:rPr>
      </w:pPr>
      <w:r w:rsidRPr="00A652EA">
        <w:rPr>
          <w:rFonts w:ascii="Tahoma" w:hAnsi="Tahoma" w:cs="Tahoma"/>
          <w:sz w:val="22"/>
          <w:szCs w:val="22"/>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414CB3FE" w14:textId="77777777" w:rsidR="00675364" w:rsidRPr="00A652EA" w:rsidRDefault="00675364" w:rsidP="00675364">
      <w:pPr>
        <w:jc w:val="both"/>
        <w:rPr>
          <w:rFonts w:ascii="Tahoma" w:hAnsi="Tahoma" w:cs="Tahoma"/>
          <w:sz w:val="22"/>
          <w:szCs w:val="22"/>
        </w:rPr>
      </w:pPr>
    </w:p>
    <w:p w14:paraId="36A1E1FA" w14:textId="77777777" w:rsidR="00675364" w:rsidRPr="00A652EA" w:rsidRDefault="00675364" w:rsidP="00675364">
      <w:pPr>
        <w:jc w:val="both"/>
        <w:rPr>
          <w:rFonts w:ascii="Tahoma" w:hAnsi="Tahoma" w:cs="Tahoma"/>
          <w:sz w:val="22"/>
          <w:szCs w:val="22"/>
        </w:rPr>
      </w:pPr>
      <w:r w:rsidRPr="00A652EA">
        <w:rPr>
          <w:rFonts w:ascii="Tahoma" w:hAnsi="Tahoma" w:cs="Tahoma"/>
          <w:sz w:val="22"/>
          <w:szCs w:val="22"/>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7B671154" w14:textId="77777777" w:rsidR="00675364" w:rsidRPr="00A652EA" w:rsidRDefault="00675364" w:rsidP="00675364">
      <w:pPr>
        <w:spacing w:line="280" w:lineRule="atLeast"/>
        <w:jc w:val="both"/>
        <w:rPr>
          <w:rFonts w:ascii="Tahoma" w:hAnsi="Tahoma" w:cs="Tahoma"/>
          <w:sz w:val="22"/>
          <w:szCs w:val="22"/>
        </w:rPr>
      </w:pPr>
    </w:p>
    <w:p w14:paraId="3C10B7BB" w14:textId="77777777" w:rsidR="00675364" w:rsidRPr="00A652EA" w:rsidRDefault="00675364" w:rsidP="00675364">
      <w:pPr>
        <w:pBdr>
          <w:bottom w:val="single" w:sz="6" w:space="1" w:color="auto"/>
        </w:pBdr>
        <w:spacing w:line="280" w:lineRule="atLeast"/>
        <w:jc w:val="center"/>
        <w:rPr>
          <w:rFonts w:ascii="Tahoma" w:hAnsi="Tahoma" w:cs="Tahoma"/>
          <w:b/>
          <w:sz w:val="22"/>
          <w:szCs w:val="22"/>
        </w:rPr>
      </w:pPr>
      <w:r w:rsidRPr="00A652EA">
        <w:rPr>
          <w:rFonts w:ascii="Tahoma" w:hAnsi="Tahoma" w:cs="Tahoma"/>
          <w:b/>
          <w:sz w:val="22"/>
          <w:szCs w:val="22"/>
        </w:rPr>
        <w:t>CLÁUSULA QUINTA – DA ADMINISTRAÇÃO E DOS PRESTADORES DE SERVIÇOS</w:t>
      </w:r>
    </w:p>
    <w:p w14:paraId="68655048" w14:textId="77777777" w:rsidR="00675364" w:rsidRPr="00A652EA" w:rsidRDefault="00675364" w:rsidP="00675364">
      <w:pPr>
        <w:spacing w:line="280" w:lineRule="atLeast"/>
        <w:jc w:val="both"/>
        <w:rPr>
          <w:rFonts w:ascii="Tahoma" w:hAnsi="Tahoma" w:cs="Tahoma"/>
          <w:sz w:val="22"/>
          <w:szCs w:val="22"/>
        </w:rPr>
      </w:pPr>
    </w:p>
    <w:p w14:paraId="11C5C1B6" w14:textId="77777777" w:rsidR="00675364" w:rsidRPr="00A652EA" w:rsidRDefault="00675364" w:rsidP="00675364">
      <w:pPr>
        <w:jc w:val="both"/>
        <w:rPr>
          <w:rFonts w:ascii="Tahoma" w:hAnsi="Tahoma" w:cs="Tahoma"/>
          <w:sz w:val="22"/>
          <w:szCs w:val="22"/>
        </w:rPr>
      </w:pPr>
      <w:r w:rsidRPr="00A652EA">
        <w:rPr>
          <w:rFonts w:ascii="Tahoma" w:hAnsi="Tahoma" w:cs="Tahoma"/>
          <w:sz w:val="22"/>
          <w:szCs w:val="22"/>
        </w:rPr>
        <w:t xml:space="preserve">5.1. </w:t>
      </w:r>
      <w:r w:rsidRPr="004650F9">
        <w:rPr>
          <w:rFonts w:ascii="Tahoma" w:hAnsi="Tahoma" w:cs="Tahoma"/>
          <w:sz w:val="22"/>
          <w:szCs w:val="22"/>
        </w:rPr>
        <w:t xml:space="preserve">O FUNDO é administrado e gerido pela </w:t>
      </w:r>
      <w:r w:rsidRPr="009D7FD9">
        <w:rPr>
          <w:rFonts w:ascii="Tahoma" w:hAnsi="Tahoma" w:cs="Tahoma"/>
          <w:b/>
          <w:bCs/>
          <w:sz w:val="22"/>
          <w:szCs w:val="22"/>
        </w:rPr>
        <w:t>SANTANDER DISTRIBUIDORA DE TÍTULOS E VALORES MOBILIÁRIOS S.A.</w:t>
      </w:r>
      <w:r w:rsidRPr="004650F9">
        <w:rPr>
          <w:rFonts w:ascii="Tahoma" w:hAnsi="Tahoma" w:cs="Tahoma"/>
          <w:sz w:val="22"/>
          <w:szCs w:val="22"/>
        </w:rPr>
        <w:t xml:space="preserve">, com sede na Rua João </w:t>
      </w:r>
      <w:proofErr w:type="spellStart"/>
      <w:r w:rsidRPr="004650F9">
        <w:rPr>
          <w:rFonts w:ascii="Tahoma" w:hAnsi="Tahoma" w:cs="Tahoma"/>
          <w:sz w:val="22"/>
          <w:szCs w:val="22"/>
        </w:rPr>
        <w:t>Brícola</w:t>
      </w:r>
      <w:proofErr w:type="spellEnd"/>
      <w:r w:rsidRPr="004650F9">
        <w:rPr>
          <w:rFonts w:ascii="Tahoma" w:hAnsi="Tahoma" w:cs="Tahoma"/>
          <w:sz w:val="22"/>
          <w:szCs w:val="22"/>
        </w:rPr>
        <w:t>, 24 – 16º e 17º andares – Centro Histórico, São Paulo/SP, inscrita no CNPJ sob nº 03.502.968/0001-04 e credenciada na CVM para a administração de carteiras conforme Ato Declaratório CVM nº 20006, de 28/07/2022 (“ADMINISTRADOR” e “GESTOR”).</w:t>
      </w:r>
    </w:p>
    <w:p w14:paraId="6AA517A4" w14:textId="77777777" w:rsidR="00675364" w:rsidRPr="00A652EA" w:rsidRDefault="00675364" w:rsidP="00675364">
      <w:pPr>
        <w:spacing w:line="280" w:lineRule="atLeast"/>
        <w:jc w:val="both"/>
        <w:rPr>
          <w:rFonts w:ascii="Tahoma" w:hAnsi="Tahoma" w:cs="Tahoma"/>
          <w:sz w:val="22"/>
          <w:szCs w:val="22"/>
        </w:rPr>
      </w:pPr>
    </w:p>
    <w:p w14:paraId="5A88D514" w14:textId="77777777" w:rsidR="00675364" w:rsidRPr="00A652EA" w:rsidRDefault="00675364" w:rsidP="00675364">
      <w:pPr>
        <w:jc w:val="both"/>
        <w:rPr>
          <w:rFonts w:ascii="Tahoma" w:hAnsi="Tahoma" w:cs="Tahoma"/>
          <w:sz w:val="22"/>
          <w:szCs w:val="22"/>
        </w:rPr>
      </w:pPr>
      <w:r w:rsidRPr="00A652EA">
        <w:rPr>
          <w:rFonts w:ascii="Tahoma" w:hAnsi="Tahoma" w:cs="Tahoma"/>
          <w:sz w:val="22"/>
          <w:szCs w:val="22"/>
        </w:rPr>
        <w:t xml:space="preserve">5.2. O FUNDO é gerido pelo </w:t>
      </w:r>
      <w:r w:rsidRPr="00A652EA">
        <w:rPr>
          <w:rFonts w:ascii="Tahoma" w:hAnsi="Tahoma" w:cs="Tahoma"/>
          <w:b/>
          <w:sz w:val="22"/>
          <w:szCs w:val="22"/>
        </w:rPr>
        <w:t>BANCO SANTANDER (BRASIL) S.A.</w:t>
      </w:r>
      <w:r w:rsidRPr="00A652EA">
        <w:rPr>
          <w:rFonts w:ascii="Tahoma" w:hAnsi="Tahoma" w:cs="Tahoma"/>
          <w:sz w:val="22"/>
          <w:szCs w:val="22"/>
        </w:rPr>
        <w:t>, com sede na Av. Presidente Juscelino Kubitschek, 2041 e 2235 – Bloco A, São Paulo/SP, inscrito no CNPJ sob nº 90.400.888/0001-42 e credenciado na CVM para a administração de carteiras conforme Ato Declaratório CVM nº 8.951, de 12/09/2006 (“GESTOR”).</w:t>
      </w:r>
    </w:p>
    <w:p w14:paraId="4E634CB0" w14:textId="77777777" w:rsidR="00675364" w:rsidRPr="00A652EA" w:rsidRDefault="00675364" w:rsidP="00675364">
      <w:pPr>
        <w:spacing w:line="280" w:lineRule="atLeast"/>
        <w:jc w:val="both"/>
        <w:rPr>
          <w:rFonts w:ascii="Tahoma" w:hAnsi="Tahoma" w:cs="Tahoma"/>
          <w:sz w:val="22"/>
          <w:szCs w:val="22"/>
        </w:rPr>
      </w:pPr>
    </w:p>
    <w:p w14:paraId="5281CF68"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5.3. Os serviços de custódia, tesouraria, controladoria e processamento dos Ativos Financeiros</w:t>
      </w:r>
      <w:r w:rsidRPr="00A652EA" w:rsidDel="00FA248C">
        <w:rPr>
          <w:rFonts w:ascii="Tahoma" w:hAnsi="Tahoma" w:cs="Tahoma"/>
          <w:sz w:val="22"/>
          <w:szCs w:val="22"/>
        </w:rPr>
        <w:t xml:space="preserve"> </w:t>
      </w:r>
      <w:r w:rsidRPr="00A652EA">
        <w:rPr>
          <w:rFonts w:ascii="Tahoma" w:hAnsi="Tahoma" w:cs="Tahoma"/>
          <w:sz w:val="22"/>
          <w:szCs w:val="22"/>
        </w:rPr>
        <w:t xml:space="preserve">integrantes da Carteira do FUNDO serão realizados pela </w:t>
      </w:r>
      <w:r>
        <w:rPr>
          <w:rFonts w:ascii="Tahoma" w:hAnsi="Tahoma" w:cs="Tahoma"/>
          <w:b/>
          <w:sz w:val="22"/>
          <w:szCs w:val="22"/>
        </w:rPr>
        <w:t>S3</w:t>
      </w:r>
      <w:r w:rsidRPr="00A652EA">
        <w:rPr>
          <w:rFonts w:ascii="Tahoma" w:hAnsi="Tahoma" w:cs="Tahoma"/>
          <w:b/>
          <w:sz w:val="22"/>
          <w:szCs w:val="22"/>
        </w:rPr>
        <w:t xml:space="preserve"> CACEIS BRASIL DISTRIBUIDORA DE TÍTULOS E VALORES MOBILIÁRIOS S.A.</w:t>
      </w:r>
      <w:r w:rsidRPr="00A652EA">
        <w:rPr>
          <w:rFonts w:ascii="Tahoma" w:hAnsi="Tahoma" w:cs="Tahoma"/>
          <w:sz w:val="22"/>
          <w:szCs w:val="22"/>
        </w:rPr>
        <w:t>, com sede na Rua Amador Bueno, 474, 1º andar, Bloco D, Santo Amaro, São Paulo/SP, inscrita no CNPJ nº 62.318.407/0001-19, e credenciado na CVM para exercer a custódia de valores mobiliários conforme Ato Declaratório CVM nº 12.676, de 07/11/2012 (“CUSTODIANTE”).</w:t>
      </w:r>
    </w:p>
    <w:p w14:paraId="58FEAFF5" w14:textId="77777777" w:rsidR="00675364" w:rsidRPr="00A652EA" w:rsidRDefault="00675364" w:rsidP="00675364">
      <w:pPr>
        <w:spacing w:line="280" w:lineRule="atLeast"/>
        <w:jc w:val="both"/>
        <w:rPr>
          <w:rFonts w:ascii="Tahoma" w:hAnsi="Tahoma" w:cs="Tahoma"/>
          <w:sz w:val="22"/>
          <w:szCs w:val="22"/>
        </w:rPr>
      </w:pPr>
    </w:p>
    <w:p w14:paraId="3DB1286A"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 xml:space="preserve">5.4. </w:t>
      </w:r>
      <w:r w:rsidRPr="00314607">
        <w:rPr>
          <w:rFonts w:ascii="Tahoma" w:hAnsi="Tahoma" w:cs="Tahoma"/>
          <w:sz w:val="22"/>
          <w:szCs w:val="22"/>
        </w:rPr>
        <w:t>As informações sobre os prestadores de serviços de distribuição das cotas do FUNDO e de controladoria e processamento do passivo do FUNDO (escrituração de cotas) ficarão disponíveis para consulta, no site da CVM.</w:t>
      </w:r>
    </w:p>
    <w:p w14:paraId="50683F40" w14:textId="77777777" w:rsidR="00675364" w:rsidRPr="00A652EA" w:rsidRDefault="00675364" w:rsidP="00675364">
      <w:pPr>
        <w:spacing w:line="280" w:lineRule="atLeast"/>
        <w:jc w:val="both"/>
        <w:rPr>
          <w:rFonts w:ascii="Tahoma" w:hAnsi="Tahoma" w:cs="Tahoma"/>
          <w:sz w:val="22"/>
          <w:szCs w:val="22"/>
        </w:rPr>
      </w:pPr>
    </w:p>
    <w:p w14:paraId="4A4F64CC"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 xml:space="preserve">5.5. O ADMINISTRADOR poderá contratar terceiros, em nome do FUNDO, para prestação de demais serviços. </w:t>
      </w:r>
    </w:p>
    <w:p w14:paraId="62DACB30" w14:textId="77777777" w:rsidR="00675364" w:rsidRPr="00A652EA" w:rsidRDefault="00675364" w:rsidP="00675364">
      <w:pPr>
        <w:spacing w:line="280" w:lineRule="atLeast"/>
        <w:jc w:val="both"/>
        <w:rPr>
          <w:rFonts w:ascii="Tahoma" w:hAnsi="Tahoma" w:cs="Tahoma"/>
          <w:sz w:val="22"/>
          <w:szCs w:val="22"/>
        </w:rPr>
      </w:pPr>
    </w:p>
    <w:p w14:paraId="7EB1CB8C" w14:textId="77777777" w:rsidR="00675364" w:rsidRPr="00A652EA" w:rsidRDefault="00675364" w:rsidP="00675364">
      <w:pPr>
        <w:pBdr>
          <w:bottom w:val="single" w:sz="6" w:space="1" w:color="auto"/>
        </w:pBdr>
        <w:spacing w:line="280" w:lineRule="atLeast"/>
        <w:jc w:val="center"/>
        <w:rPr>
          <w:rFonts w:ascii="Tahoma" w:hAnsi="Tahoma" w:cs="Tahoma"/>
          <w:b/>
          <w:sz w:val="22"/>
          <w:szCs w:val="22"/>
        </w:rPr>
      </w:pPr>
      <w:r w:rsidRPr="00A652EA">
        <w:rPr>
          <w:rFonts w:ascii="Tahoma" w:hAnsi="Tahoma" w:cs="Tahoma"/>
          <w:b/>
          <w:sz w:val="22"/>
          <w:szCs w:val="22"/>
        </w:rPr>
        <w:lastRenderedPageBreak/>
        <w:t>CLÁUSULA SEXTA – DA REMUNERAÇÃO E DEMAIS ENCARGOS</w:t>
      </w:r>
    </w:p>
    <w:p w14:paraId="05DAB545" w14:textId="77777777" w:rsidR="00675364" w:rsidRPr="00A652EA" w:rsidRDefault="00675364" w:rsidP="00675364">
      <w:pPr>
        <w:spacing w:line="280" w:lineRule="atLeast"/>
        <w:jc w:val="both"/>
        <w:rPr>
          <w:rFonts w:ascii="Tahoma" w:hAnsi="Tahoma" w:cs="Tahoma"/>
          <w:sz w:val="22"/>
          <w:szCs w:val="22"/>
        </w:rPr>
      </w:pPr>
    </w:p>
    <w:p w14:paraId="3268D1D6"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7A46DA4D" w14:textId="77777777" w:rsidR="00675364" w:rsidRPr="00A652EA" w:rsidRDefault="00675364" w:rsidP="00675364">
      <w:pPr>
        <w:spacing w:line="280" w:lineRule="atLeast"/>
        <w:jc w:val="both"/>
        <w:rPr>
          <w:rFonts w:ascii="Tahoma" w:hAnsi="Tahoma" w:cs="Tahoma"/>
          <w:sz w:val="22"/>
          <w:szCs w:val="22"/>
        </w:rPr>
      </w:pPr>
    </w:p>
    <w:p w14:paraId="0B31BAD4"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b/>
          <w:sz w:val="22"/>
          <w:szCs w:val="22"/>
        </w:rPr>
        <w:t>Taxa de Administração Mínima</w:t>
      </w:r>
      <w:r w:rsidRPr="00A652EA">
        <w:rPr>
          <w:rFonts w:ascii="Tahoma" w:hAnsi="Tahoma" w:cs="Tahoma"/>
          <w:sz w:val="22"/>
          <w:szCs w:val="22"/>
        </w:rPr>
        <w:t xml:space="preserve">: 1,00% ao ano sobre o valor do patrimônio líquido do FUNDO. </w:t>
      </w:r>
    </w:p>
    <w:p w14:paraId="0DD91E6D" w14:textId="77777777" w:rsidR="00675364" w:rsidRPr="00A652EA" w:rsidRDefault="00675364" w:rsidP="00675364">
      <w:pPr>
        <w:spacing w:line="280" w:lineRule="atLeast"/>
        <w:jc w:val="both"/>
        <w:rPr>
          <w:rFonts w:ascii="Tahoma" w:hAnsi="Tahoma" w:cs="Tahoma"/>
          <w:sz w:val="22"/>
          <w:szCs w:val="22"/>
        </w:rPr>
      </w:pPr>
    </w:p>
    <w:p w14:paraId="5D70F30B"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b/>
          <w:bCs/>
          <w:sz w:val="22"/>
          <w:szCs w:val="22"/>
        </w:rPr>
        <w:t>Taxa de Administração Máxima</w:t>
      </w:r>
      <w:r w:rsidRPr="00A652EA">
        <w:rPr>
          <w:rFonts w:ascii="Tahoma" w:hAnsi="Tahoma" w:cs="Tahoma"/>
          <w:sz w:val="22"/>
          <w:szCs w:val="22"/>
        </w:rPr>
        <w:t>:</w:t>
      </w:r>
      <w:r w:rsidRPr="00A652EA" w:rsidDel="00B03ECA">
        <w:rPr>
          <w:rFonts w:ascii="Tahoma" w:hAnsi="Tahoma" w:cs="Tahoma"/>
          <w:sz w:val="22"/>
          <w:szCs w:val="22"/>
        </w:rPr>
        <w:t xml:space="preserve"> </w:t>
      </w:r>
      <w:r w:rsidRPr="00A652EA">
        <w:rPr>
          <w:rFonts w:ascii="Tahoma" w:hAnsi="Tahoma" w:cs="Tahoma"/>
          <w:sz w:val="22"/>
          <w:szCs w:val="22"/>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5128D6B8" w14:textId="77777777" w:rsidR="00675364" w:rsidRPr="00A652EA" w:rsidRDefault="00675364" w:rsidP="00675364">
      <w:pPr>
        <w:spacing w:line="280" w:lineRule="atLeast"/>
        <w:jc w:val="both"/>
        <w:rPr>
          <w:rFonts w:ascii="Tahoma" w:hAnsi="Tahoma" w:cs="Tahoma"/>
          <w:sz w:val="22"/>
          <w:szCs w:val="22"/>
        </w:rPr>
      </w:pPr>
    </w:p>
    <w:p w14:paraId="26C23600"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039E59B9" w14:textId="77777777" w:rsidR="00675364" w:rsidRPr="00A652EA" w:rsidRDefault="00675364" w:rsidP="00675364">
      <w:pPr>
        <w:spacing w:line="280" w:lineRule="atLeast"/>
        <w:jc w:val="both"/>
        <w:rPr>
          <w:rFonts w:ascii="Tahoma" w:hAnsi="Tahoma" w:cs="Tahoma"/>
          <w:sz w:val="22"/>
          <w:szCs w:val="22"/>
        </w:rPr>
      </w:pPr>
    </w:p>
    <w:p w14:paraId="6CE4B8C4"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6.1.2. O FUNDO poderá também aplicar seus recursos em fundos de investimento que cobrem taxa de performance, ingresso e saída.</w:t>
      </w:r>
      <w:r w:rsidRPr="00A652EA">
        <w:rPr>
          <w:rFonts w:ascii="Tahoma" w:hAnsi="Tahoma" w:cs="Tahoma"/>
          <w:sz w:val="22"/>
          <w:szCs w:val="22"/>
          <w:vertAlign w:val="superscript"/>
        </w:rPr>
        <w:t xml:space="preserve"> </w:t>
      </w:r>
    </w:p>
    <w:p w14:paraId="1D9117A3" w14:textId="77777777" w:rsidR="00675364" w:rsidRPr="00A652EA" w:rsidRDefault="00675364" w:rsidP="00675364">
      <w:pPr>
        <w:spacing w:line="280" w:lineRule="atLeast"/>
        <w:jc w:val="both"/>
        <w:rPr>
          <w:rFonts w:ascii="Tahoma" w:hAnsi="Tahoma" w:cs="Tahoma"/>
          <w:sz w:val="22"/>
          <w:szCs w:val="22"/>
        </w:rPr>
      </w:pPr>
    </w:p>
    <w:p w14:paraId="6244995C"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6.1.3. Não haverá cobrança taxa de custódia no FUNDO.</w:t>
      </w:r>
    </w:p>
    <w:p w14:paraId="7CBC53C2" w14:textId="77777777" w:rsidR="00675364" w:rsidRPr="00A652EA" w:rsidRDefault="00675364" w:rsidP="00675364">
      <w:pPr>
        <w:spacing w:line="280" w:lineRule="atLeast"/>
        <w:jc w:val="both"/>
        <w:rPr>
          <w:rFonts w:ascii="Tahoma" w:hAnsi="Tahoma" w:cs="Tahoma"/>
          <w:sz w:val="22"/>
          <w:szCs w:val="22"/>
        </w:rPr>
      </w:pPr>
    </w:p>
    <w:p w14:paraId="5FE6248C" w14:textId="77777777" w:rsidR="00675364" w:rsidRPr="00A652EA" w:rsidRDefault="00675364" w:rsidP="00675364">
      <w:pPr>
        <w:autoSpaceDE w:val="0"/>
        <w:autoSpaceDN w:val="0"/>
        <w:adjustRightInd w:val="0"/>
        <w:jc w:val="both"/>
        <w:rPr>
          <w:rFonts w:ascii="Tahoma" w:eastAsia="Calibri" w:hAnsi="Tahoma" w:cs="Tahoma"/>
          <w:sz w:val="22"/>
          <w:szCs w:val="22"/>
        </w:rPr>
      </w:pPr>
      <w:r w:rsidRPr="00A652EA">
        <w:rPr>
          <w:rFonts w:ascii="Tahoma" w:hAnsi="Tahoma" w:cs="Tahoma"/>
          <w:sz w:val="22"/>
          <w:szCs w:val="22"/>
        </w:rPr>
        <w:t xml:space="preserve">6.2. </w:t>
      </w:r>
      <w:r w:rsidRPr="00A652EA">
        <w:rPr>
          <w:rFonts w:ascii="Tahoma" w:eastAsia="Calibri" w:hAnsi="Tahoma" w:cs="Tahoma"/>
          <w:sz w:val="22"/>
          <w:szCs w:val="22"/>
        </w:rPr>
        <w:t>Será cobrada do FUNDO uma Taxa de Performance com base no resultado de cada aplicação efetuada pelos Cotistas (</w:t>
      </w:r>
      <w:r w:rsidRPr="00A652EA">
        <w:rPr>
          <w:rFonts w:ascii="Tahoma" w:eastAsia="Calibri" w:hAnsi="Tahoma" w:cs="Tahoma"/>
          <w:b/>
          <w:sz w:val="22"/>
          <w:szCs w:val="22"/>
        </w:rPr>
        <w:t>método do passivo</w:t>
      </w:r>
      <w:r w:rsidRPr="00A652EA">
        <w:rPr>
          <w:rFonts w:ascii="Tahoma" w:eastAsia="Calibri" w:hAnsi="Tahoma" w:cs="Tahoma"/>
          <w:sz w:val="22"/>
          <w:szCs w:val="22"/>
        </w:rPr>
        <w:t>), correspondente a 10% sobre a variação positiva, se houver, entre o valor do seu patrimônio líquido, já descontados todos os custos e despesas de Taxa de Administração, e o valor do seu PATRIMÔNIO TEÓRICO somado ao equivalente a 100% do valor acumulado do IPCA (Índice de Preços ao Consumidor Amplo), divulgado pelo Instituto Brasileiro de Geografia e Estatística, acrescido de X% ao ano</w:t>
      </w:r>
      <w:r w:rsidRPr="00A652EA">
        <w:rPr>
          <w:rFonts w:ascii="Tahoma" w:eastAsia="Calibri" w:hAnsi="Tahoma" w:cs="Tahoma"/>
          <w:sz w:val="22"/>
          <w:szCs w:val="22"/>
          <w:vertAlign w:val="superscript"/>
        </w:rPr>
        <w:footnoteReference w:id="1"/>
      </w:r>
      <w:r w:rsidRPr="00A652EA">
        <w:rPr>
          <w:rFonts w:ascii="Tahoma" w:eastAsia="Calibri" w:hAnsi="Tahoma" w:cs="Tahoma"/>
          <w:sz w:val="22"/>
          <w:szCs w:val="22"/>
        </w:rPr>
        <w:t xml:space="preserve"> (“Índice de Referência”), acumulado na forma de capitalização composta em cada período de avaliação, conforme segue:</w:t>
      </w:r>
    </w:p>
    <w:p w14:paraId="1B14FE6E" w14:textId="77777777" w:rsidR="00675364" w:rsidRPr="00A652EA" w:rsidRDefault="00675364" w:rsidP="00675364">
      <w:pPr>
        <w:autoSpaceDE w:val="0"/>
        <w:autoSpaceDN w:val="0"/>
        <w:adjustRightInd w:val="0"/>
        <w:jc w:val="both"/>
        <w:rPr>
          <w:rFonts w:ascii="Tahoma" w:eastAsia="Calibri" w:hAnsi="Tahoma" w:cs="Tahoma"/>
          <w:sz w:val="22"/>
          <w:szCs w:val="22"/>
        </w:rPr>
      </w:pPr>
    </w:p>
    <w:p w14:paraId="0F718733" w14:textId="77777777" w:rsidR="00675364" w:rsidRPr="00A652EA" w:rsidRDefault="00675364" w:rsidP="00675364">
      <w:pPr>
        <w:pBdr>
          <w:top w:val="single" w:sz="4" w:space="1" w:color="auto"/>
          <w:left w:val="single" w:sz="4" w:space="1" w:color="auto"/>
          <w:bottom w:val="single" w:sz="4" w:space="1" w:color="auto"/>
          <w:right w:val="single" w:sz="4" w:space="1" w:color="auto"/>
        </w:pBdr>
        <w:autoSpaceDE w:val="0"/>
        <w:autoSpaceDN w:val="0"/>
        <w:adjustRightInd w:val="0"/>
        <w:contextualSpacing/>
        <w:jc w:val="center"/>
        <w:rPr>
          <w:rFonts w:ascii="Tahoma" w:eastAsia="Calibri" w:hAnsi="Tahoma" w:cs="Tahoma"/>
          <w:sz w:val="22"/>
          <w:szCs w:val="22"/>
        </w:rPr>
      </w:pPr>
      <w:r w:rsidRPr="00A652EA">
        <w:rPr>
          <w:rFonts w:ascii="Tahoma" w:eastAsia="Calibri" w:hAnsi="Tahoma" w:cs="Tahoma"/>
          <w:sz w:val="22"/>
          <w:szCs w:val="22"/>
        </w:rPr>
        <w:t>Performance = 10% * (PL – PATRIMÔNIO TEÓRICO)</w:t>
      </w:r>
    </w:p>
    <w:p w14:paraId="115C5CB6" w14:textId="77777777" w:rsidR="00675364" w:rsidRPr="00A652EA" w:rsidRDefault="00675364" w:rsidP="00675364">
      <w:pPr>
        <w:pBdr>
          <w:top w:val="single" w:sz="4" w:space="1" w:color="auto"/>
          <w:left w:val="single" w:sz="4" w:space="0" w:color="auto"/>
          <w:bottom w:val="single" w:sz="4" w:space="1" w:color="auto"/>
          <w:right w:val="single" w:sz="4" w:space="1" w:color="auto"/>
        </w:pBdr>
        <w:autoSpaceDE w:val="0"/>
        <w:autoSpaceDN w:val="0"/>
        <w:adjustRightInd w:val="0"/>
        <w:contextualSpacing/>
        <w:rPr>
          <w:rFonts w:ascii="Tahoma" w:eastAsia="Calibri" w:hAnsi="Tahoma" w:cs="Tahoma"/>
          <w:sz w:val="22"/>
          <w:szCs w:val="22"/>
        </w:rPr>
      </w:pPr>
      <w:r w:rsidRPr="00A652EA">
        <w:rPr>
          <w:rFonts w:ascii="Tahoma" w:eastAsia="Calibri" w:hAnsi="Tahoma" w:cs="Tahoma"/>
          <w:sz w:val="22"/>
          <w:szCs w:val="22"/>
        </w:rPr>
        <w:t>Onde:</w:t>
      </w:r>
    </w:p>
    <w:p w14:paraId="1F5D79E7" w14:textId="77777777" w:rsidR="00675364" w:rsidRPr="00A652EA" w:rsidRDefault="00675364" w:rsidP="00675364">
      <w:pPr>
        <w:pBdr>
          <w:top w:val="single" w:sz="4" w:space="1" w:color="auto"/>
          <w:left w:val="single" w:sz="4" w:space="0" w:color="auto"/>
          <w:bottom w:val="single" w:sz="4" w:space="1" w:color="auto"/>
          <w:right w:val="single" w:sz="4" w:space="1" w:color="auto"/>
        </w:pBdr>
        <w:autoSpaceDE w:val="0"/>
        <w:autoSpaceDN w:val="0"/>
        <w:adjustRightInd w:val="0"/>
        <w:contextualSpacing/>
        <w:rPr>
          <w:rFonts w:ascii="Tahoma" w:eastAsia="Calibri" w:hAnsi="Tahoma" w:cs="Tahoma"/>
          <w:sz w:val="22"/>
          <w:szCs w:val="22"/>
        </w:rPr>
      </w:pPr>
    </w:p>
    <w:p w14:paraId="601A46D7" w14:textId="77777777" w:rsidR="00675364" w:rsidRPr="00A652EA" w:rsidRDefault="00675364" w:rsidP="00675364">
      <w:pPr>
        <w:pBdr>
          <w:top w:val="single" w:sz="4" w:space="1" w:color="auto"/>
          <w:left w:val="single" w:sz="4" w:space="0" w:color="auto"/>
          <w:bottom w:val="single" w:sz="4" w:space="1" w:color="auto"/>
          <w:right w:val="single" w:sz="4" w:space="1" w:color="auto"/>
        </w:pBdr>
        <w:autoSpaceDE w:val="0"/>
        <w:autoSpaceDN w:val="0"/>
        <w:adjustRightInd w:val="0"/>
        <w:contextualSpacing/>
        <w:rPr>
          <w:rFonts w:ascii="Tahoma" w:eastAsia="Calibri" w:hAnsi="Tahoma" w:cs="Tahoma"/>
          <w:sz w:val="22"/>
          <w:szCs w:val="22"/>
        </w:rPr>
      </w:pPr>
      <w:r w:rsidRPr="00A652EA">
        <w:rPr>
          <w:rFonts w:ascii="Tahoma" w:eastAsia="Calibri" w:hAnsi="Tahoma" w:cs="Tahoma"/>
          <w:sz w:val="22"/>
          <w:szCs w:val="22"/>
        </w:rPr>
        <w:t>PL = patrimônio líquido, já descontada a remuneração descrita no item 6.1.</w:t>
      </w:r>
    </w:p>
    <w:p w14:paraId="6B1CA196" w14:textId="77777777" w:rsidR="00675364" w:rsidRPr="00A652EA" w:rsidRDefault="00675364" w:rsidP="00675364">
      <w:pPr>
        <w:pBdr>
          <w:top w:val="single" w:sz="4" w:space="1" w:color="auto"/>
          <w:left w:val="single" w:sz="4" w:space="0" w:color="auto"/>
          <w:bottom w:val="single" w:sz="4" w:space="1" w:color="auto"/>
          <w:right w:val="single" w:sz="4" w:space="1" w:color="auto"/>
        </w:pBdr>
        <w:autoSpaceDE w:val="0"/>
        <w:autoSpaceDN w:val="0"/>
        <w:adjustRightInd w:val="0"/>
        <w:contextualSpacing/>
        <w:rPr>
          <w:rFonts w:ascii="Tahoma" w:eastAsia="Calibri" w:hAnsi="Tahoma" w:cs="Tahoma"/>
          <w:sz w:val="22"/>
          <w:szCs w:val="22"/>
        </w:rPr>
      </w:pPr>
    </w:p>
    <w:p w14:paraId="446FDE85" w14:textId="77777777" w:rsidR="00675364" w:rsidRPr="00A652EA" w:rsidRDefault="00675364" w:rsidP="00675364">
      <w:pPr>
        <w:pBdr>
          <w:top w:val="single" w:sz="4" w:space="1" w:color="auto"/>
          <w:left w:val="single" w:sz="4" w:space="0" w:color="auto"/>
          <w:bottom w:val="single" w:sz="4" w:space="1" w:color="auto"/>
          <w:right w:val="single" w:sz="4" w:space="1" w:color="auto"/>
        </w:pBdr>
        <w:autoSpaceDE w:val="0"/>
        <w:autoSpaceDN w:val="0"/>
        <w:adjustRightInd w:val="0"/>
        <w:contextualSpacing/>
        <w:rPr>
          <w:rFonts w:ascii="Tahoma" w:eastAsia="Calibri" w:hAnsi="Tahoma" w:cs="Tahoma"/>
          <w:sz w:val="22"/>
          <w:szCs w:val="22"/>
        </w:rPr>
      </w:pPr>
      <w:r w:rsidRPr="00A652EA">
        <w:rPr>
          <w:rFonts w:ascii="Tahoma" w:eastAsia="Calibri" w:hAnsi="Tahoma" w:cs="Tahoma"/>
          <w:sz w:val="22"/>
          <w:szCs w:val="22"/>
        </w:rPr>
        <w:t>PATRIMÔNIO TEÓRICO = PATRIMÔNIO INICIAL * 100% da variação diária do IPCA+X% – Resgates Ponderados + Aplicações no período de apuração.</w:t>
      </w:r>
    </w:p>
    <w:p w14:paraId="12B864DE" w14:textId="77777777" w:rsidR="00675364" w:rsidRPr="00A652EA" w:rsidRDefault="00675364" w:rsidP="00675364">
      <w:pPr>
        <w:pBdr>
          <w:top w:val="single" w:sz="4" w:space="1" w:color="auto"/>
          <w:left w:val="single" w:sz="4" w:space="0" w:color="auto"/>
          <w:bottom w:val="single" w:sz="4" w:space="1" w:color="auto"/>
          <w:right w:val="single" w:sz="4" w:space="1" w:color="auto"/>
        </w:pBdr>
        <w:autoSpaceDE w:val="0"/>
        <w:autoSpaceDN w:val="0"/>
        <w:adjustRightInd w:val="0"/>
        <w:contextualSpacing/>
        <w:rPr>
          <w:rFonts w:ascii="Tahoma" w:eastAsia="Calibri" w:hAnsi="Tahoma" w:cs="Tahoma"/>
          <w:sz w:val="22"/>
          <w:szCs w:val="22"/>
        </w:rPr>
      </w:pPr>
    </w:p>
    <w:p w14:paraId="4702563D" w14:textId="77777777" w:rsidR="00675364" w:rsidRPr="00A652EA" w:rsidRDefault="00675364" w:rsidP="00675364">
      <w:pPr>
        <w:pBdr>
          <w:top w:val="single" w:sz="4" w:space="1" w:color="auto"/>
          <w:left w:val="single" w:sz="4" w:space="0" w:color="auto"/>
          <w:bottom w:val="single" w:sz="4" w:space="1" w:color="auto"/>
          <w:right w:val="single" w:sz="4" w:space="1" w:color="auto"/>
        </w:pBdr>
        <w:autoSpaceDE w:val="0"/>
        <w:autoSpaceDN w:val="0"/>
        <w:adjustRightInd w:val="0"/>
        <w:contextualSpacing/>
        <w:rPr>
          <w:rFonts w:ascii="Tahoma" w:eastAsia="Calibri" w:hAnsi="Tahoma" w:cs="Tahoma"/>
          <w:sz w:val="22"/>
          <w:szCs w:val="22"/>
        </w:rPr>
      </w:pPr>
      <w:r w:rsidRPr="00A652EA">
        <w:rPr>
          <w:rFonts w:ascii="Tahoma" w:eastAsia="Calibri" w:hAnsi="Tahoma" w:cs="Tahoma"/>
          <w:sz w:val="22"/>
          <w:szCs w:val="22"/>
        </w:rPr>
        <w:t>Resgates Ponderados = Resgates efetuados pelo cotista ÷ PL * PATRIMÔNIO TEÓRICO. De forma a considerar os resgates efetuados pelo cotista do FUNDO em relação ao patrimônio líquido e sua equivalência em relação no Patrimônio Teórico.</w:t>
      </w:r>
    </w:p>
    <w:p w14:paraId="3FB347D7" w14:textId="77777777" w:rsidR="00675364" w:rsidRPr="00A652EA" w:rsidRDefault="00675364" w:rsidP="00675364">
      <w:pPr>
        <w:pBdr>
          <w:top w:val="single" w:sz="4" w:space="1" w:color="auto"/>
          <w:left w:val="single" w:sz="4" w:space="0" w:color="auto"/>
          <w:bottom w:val="single" w:sz="4" w:space="1" w:color="auto"/>
          <w:right w:val="single" w:sz="4" w:space="1" w:color="auto"/>
        </w:pBdr>
        <w:autoSpaceDE w:val="0"/>
        <w:autoSpaceDN w:val="0"/>
        <w:adjustRightInd w:val="0"/>
        <w:contextualSpacing/>
        <w:rPr>
          <w:rFonts w:ascii="Tahoma" w:eastAsia="Calibri" w:hAnsi="Tahoma" w:cs="Tahoma"/>
          <w:sz w:val="22"/>
          <w:szCs w:val="22"/>
        </w:rPr>
      </w:pPr>
    </w:p>
    <w:p w14:paraId="5BD7C93D" w14:textId="77777777" w:rsidR="00675364" w:rsidRPr="00A652EA" w:rsidRDefault="00675364" w:rsidP="00675364">
      <w:pPr>
        <w:pBdr>
          <w:top w:val="single" w:sz="4" w:space="1" w:color="auto"/>
          <w:left w:val="single" w:sz="4" w:space="0" w:color="auto"/>
          <w:bottom w:val="single" w:sz="4" w:space="1" w:color="auto"/>
          <w:right w:val="single" w:sz="4" w:space="1" w:color="auto"/>
        </w:pBdr>
        <w:autoSpaceDE w:val="0"/>
        <w:autoSpaceDN w:val="0"/>
        <w:adjustRightInd w:val="0"/>
        <w:contextualSpacing/>
        <w:rPr>
          <w:rFonts w:ascii="Tahoma" w:eastAsia="Calibri" w:hAnsi="Tahoma" w:cs="Tahoma"/>
          <w:sz w:val="22"/>
          <w:szCs w:val="22"/>
        </w:rPr>
      </w:pPr>
      <w:r w:rsidRPr="00A652EA">
        <w:rPr>
          <w:rFonts w:ascii="Tahoma" w:eastAsia="Calibri" w:hAnsi="Tahoma" w:cs="Tahoma"/>
          <w:sz w:val="22"/>
          <w:szCs w:val="22"/>
        </w:rPr>
        <w:t>PATRIMÔNIO INICIAL = patrimônio líquido no início das atividades do FUNDO ou do dia útil imediatamente anterior à data do início do novo período de cálculo da Taxa de Performance.</w:t>
      </w:r>
    </w:p>
    <w:p w14:paraId="0050039A" w14:textId="77777777" w:rsidR="00675364" w:rsidRPr="00A652EA" w:rsidRDefault="00675364" w:rsidP="00675364">
      <w:pPr>
        <w:pBdr>
          <w:top w:val="single" w:sz="4" w:space="1" w:color="auto"/>
          <w:left w:val="single" w:sz="4" w:space="0" w:color="auto"/>
          <w:bottom w:val="single" w:sz="4" w:space="1" w:color="auto"/>
          <w:right w:val="single" w:sz="4" w:space="1" w:color="auto"/>
        </w:pBdr>
        <w:autoSpaceDE w:val="0"/>
        <w:autoSpaceDN w:val="0"/>
        <w:adjustRightInd w:val="0"/>
        <w:contextualSpacing/>
        <w:rPr>
          <w:rFonts w:ascii="Tahoma" w:eastAsia="Calibri" w:hAnsi="Tahoma" w:cs="Tahoma"/>
          <w:sz w:val="22"/>
          <w:szCs w:val="22"/>
        </w:rPr>
      </w:pPr>
    </w:p>
    <w:p w14:paraId="18A6E7A4" w14:textId="77777777" w:rsidR="00675364" w:rsidRPr="00A652EA" w:rsidRDefault="00675364" w:rsidP="00675364">
      <w:pPr>
        <w:pBdr>
          <w:top w:val="single" w:sz="4" w:space="1" w:color="auto"/>
          <w:left w:val="single" w:sz="4" w:space="0" w:color="auto"/>
          <w:bottom w:val="single" w:sz="4" w:space="1" w:color="auto"/>
          <w:right w:val="single" w:sz="4" w:space="1" w:color="auto"/>
        </w:pBdr>
        <w:autoSpaceDE w:val="0"/>
        <w:autoSpaceDN w:val="0"/>
        <w:adjustRightInd w:val="0"/>
        <w:contextualSpacing/>
        <w:jc w:val="both"/>
        <w:rPr>
          <w:rFonts w:ascii="Tahoma" w:eastAsia="Calibri" w:hAnsi="Tahoma" w:cs="Tahoma"/>
          <w:sz w:val="22"/>
          <w:szCs w:val="22"/>
        </w:rPr>
      </w:pPr>
      <w:r w:rsidRPr="00A652EA">
        <w:rPr>
          <w:rFonts w:ascii="Tahoma" w:eastAsia="Calibri" w:hAnsi="Tahoma" w:cs="Tahoma"/>
          <w:sz w:val="22"/>
          <w:szCs w:val="22"/>
        </w:rPr>
        <w:t xml:space="preserve">X é calculado de acordo com a seguinte fórmula: média ponderada, calculada diariamente, das taxas indicativas dos títulos que compõem o índice IMA-B de acordo com o peso dos títulos na composição do próprio índice, de acordo com as taxas diárias divulgadas pela ANBIMA - Associação Brasileira das Entidades dos Mercados Financeiro e de Capitais, em seu website no endereço </w:t>
      </w:r>
      <w:hyperlink r:id="rId8" w:history="1">
        <w:r w:rsidRPr="00A652EA">
          <w:rPr>
            <w:rFonts w:ascii="Tahoma" w:eastAsia="Calibri" w:hAnsi="Tahoma" w:cs="Tahoma"/>
            <w:color w:val="0000FF"/>
            <w:sz w:val="22"/>
            <w:szCs w:val="22"/>
            <w:u w:val="single"/>
          </w:rPr>
          <w:t>http://www.anbima.com.br</w:t>
        </w:r>
      </w:hyperlink>
      <w:r w:rsidRPr="00A652EA">
        <w:rPr>
          <w:rFonts w:ascii="Tahoma" w:eastAsia="Calibri" w:hAnsi="Tahoma" w:cs="Tahoma"/>
          <w:sz w:val="22"/>
          <w:szCs w:val="22"/>
        </w:rPr>
        <w:t>.</w:t>
      </w:r>
    </w:p>
    <w:p w14:paraId="56113700" w14:textId="77777777" w:rsidR="00675364" w:rsidRPr="00A652EA" w:rsidRDefault="00675364" w:rsidP="00675364">
      <w:pPr>
        <w:pBdr>
          <w:top w:val="single" w:sz="4" w:space="1" w:color="auto"/>
          <w:left w:val="single" w:sz="4" w:space="0" w:color="auto"/>
          <w:bottom w:val="single" w:sz="4" w:space="1" w:color="auto"/>
          <w:right w:val="single" w:sz="4" w:space="1" w:color="auto"/>
        </w:pBdr>
        <w:autoSpaceDE w:val="0"/>
        <w:autoSpaceDN w:val="0"/>
        <w:adjustRightInd w:val="0"/>
        <w:contextualSpacing/>
        <w:jc w:val="both"/>
        <w:rPr>
          <w:rFonts w:ascii="Tahoma" w:eastAsia="Calibri" w:hAnsi="Tahoma" w:cs="Tahoma"/>
          <w:sz w:val="22"/>
          <w:szCs w:val="22"/>
        </w:rPr>
      </w:pPr>
    </w:p>
    <w:p w14:paraId="6D77DA96" w14:textId="77777777" w:rsidR="00675364" w:rsidRPr="00A652EA" w:rsidRDefault="00675364" w:rsidP="00675364">
      <w:pPr>
        <w:jc w:val="both"/>
        <w:rPr>
          <w:rFonts w:ascii="Tahoma" w:eastAsia="Calibri" w:hAnsi="Tahoma" w:cs="Tahoma"/>
          <w:sz w:val="22"/>
          <w:szCs w:val="22"/>
        </w:rPr>
      </w:pPr>
    </w:p>
    <w:p w14:paraId="2A09ABDF" w14:textId="77777777" w:rsidR="00675364" w:rsidRPr="00A652EA" w:rsidRDefault="00675364" w:rsidP="00675364">
      <w:pPr>
        <w:jc w:val="both"/>
        <w:rPr>
          <w:rFonts w:ascii="Tahoma" w:eastAsia="Calibri" w:hAnsi="Tahoma" w:cs="Tahoma"/>
          <w:sz w:val="22"/>
          <w:szCs w:val="22"/>
        </w:rPr>
      </w:pPr>
      <w:r w:rsidRPr="00A652EA">
        <w:rPr>
          <w:rFonts w:ascii="Tahoma" w:eastAsia="Calibri" w:hAnsi="Tahoma" w:cs="Tahoma"/>
          <w:sz w:val="22"/>
          <w:szCs w:val="22"/>
        </w:rPr>
        <w:lastRenderedPageBreak/>
        <w:t>6.2.1. A Taxa de Performance prevista acima será provisionada diariamente, com base nos dias úteis do ano, para que seus efeitos reflitam no valor da apuração da cota do FUNDO e, consequentemente, nos resgates realizados ao longo dos períodos de apuração.</w:t>
      </w:r>
    </w:p>
    <w:p w14:paraId="50135BC2" w14:textId="77777777" w:rsidR="00675364" w:rsidRPr="00A652EA" w:rsidRDefault="00675364" w:rsidP="00675364">
      <w:pPr>
        <w:jc w:val="both"/>
        <w:rPr>
          <w:rFonts w:ascii="Tahoma" w:eastAsia="Calibri" w:hAnsi="Tahoma" w:cs="Tahoma"/>
          <w:sz w:val="22"/>
          <w:szCs w:val="22"/>
        </w:rPr>
      </w:pPr>
    </w:p>
    <w:p w14:paraId="11B401D6" w14:textId="77777777" w:rsidR="00675364" w:rsidRPr="00A652EA" w:rsidRDefault="00675364" w:rsidP="00675364">
      <w:pPr>
        <w:jc w:val="both"/>
        <w:rPr>
          <w:rFonts w:ascii="Tahoma" w:eastAsia="Calibri" w:hAnsi="Tahoma" w:cs="Tahoma"/>
          <w:sz w:val="22"/>
          <w:szCs w:val="22"/>
        </w:rPr>
      </w:pPr>
      <w:r w:rsidRPr="00A652EA">
        <w:rPr>
          <w:rFonts w:ascii="Tahoma" w:eastAsia="Calibri" w:hAnsi="Tahoma" w:cs="Tahoma"/>
          <w:sz w:val="22"/>
          <w:szCs w:val="22"/>
        </w:rPr>
        <w:t>6.2.2. A Taxa de Performance será paga pelo FUNDO observados os seguintes procedimentos:</w:t>
      </w:r>
    </w:p>
    <w:p w14:paraId="41B738D9" w14:textId="77777777" w:rsidR="00675364" w:rsidRPr="00A652EA" w:rsidRDefault="00675364" w:rsidP="00675364">
      <w:pPr>
        <w:jc w:val="both"/>
        <w:rPr>
          <w:rFonts w:ascii="Tahoma" w:eastAsia="Calibri" w:hAnsi="Tahoma" w:cs="Tahoma"/>
          <w:sz w:val="22"/>
          <w:szCs w:val="22"/>
        </w:rPr>
      </w:pPr>
    </w:p>
    <w:p w14:paraId="2D0CA8F6" w14:textId="77777777" w:rsidR="00675364" w:rsidRPr="00A652EA" w:rsidRDefault="00675364" w:rsidP="00675364">
      <w:pPr>
        <w:numPr>
          <w:ilvl w:val="0"/>
          <w:numId w:val="48"/>
        </w:numPr>
        <w:jc w:val="both"/>
        <w:rPr>
          <w:rFonts w:ascii="Tahoma" w:eastAsia="Calibri" w:hAnsi="Tahoma" w:cs="Tahoma"/>
          <w:sz w:val="22"/>
          <w:szCs w:val="22"/>
        </w:rPr>
      </w:pPr>
      <w:r w:rsidRPr="00A652EA">
        <w:rPr>
          <w:rFonts w:ascii="Tahoma" w:eastAsia="Calibri" w:hAnsi="Tahoma" w:cs="Tahoma"/>
          <w:sz w:val="22"/>
          <w:szCs w:val="22"/>
        </w:rPr>
        <w:t>o período de apuração da Taxa de Performance será semestral, nos períodos de 1º de janeiro a 30 de junho e de 1º de julho a 31 de dezembro de cada ano; e</w:t>
      </w:r>
    </w:p>
    <w:p w14:paraId="59BAADD2" w14:textId="77777777" w:rsidR="00675364" w:rsidRPr="00A652EA" w:rsidRDefault="00675364" w:rsidP="00675364">
      <w:pPr>
        <w:jc w:val="both"/>
        <w:rPr>
          <w:rFonts w:ascii="Tahoma" w:eastAsia="Calibri" w:hAnsi="Tahoma" w:cs="Tahoma"/>
          <w:sz w:val="22"/>
          <w:szCs w:val="22"/>
        </w:rPr>
      </w:pPr>
    </w:p>
    <w:p w14:paraId="69AB43ED" w14:textId="77777777" w:rsidR="00675364" w:rsidRPr="00A652EA" w:rsidRDefault="00675364" w:rsidP="00675364">
      <w:pPr>
        <w:numPr>
          <w:ilvl w:val="0"/>
          <w:numId w:val="48"/>
        </w:numPr>
        <w:jc w:val="both"/>
        <w:rPr>
          <w:rFonts w:ascii="Tahoma" w:eastAsia="Calibri" w:hAnsi="Tahoma" w:cs="Tahoma"/>
          <w:sz w:val="22"/>
          <w:szCs w:val="22"/>
        </w:rPr>
      </w:pPr>
      <w:r w:rsidRPr="00A652EA">
        <w:rPr>
          <w:rFonts w:ascii="Tahoma" w:eastAsia="Calibri" w:hAnsi="Tahoma" w:cs="Tahoma"/>
          <w:sz w:val="22"/>
          <w:szCs w:val="22"/>
        </w:rPr>
        <w:t>o pagamento da Taxa de Performance será efetuado até o 5º dia útil do mês subsequente ao período de apuração respectivo.</w:t>
      </w:r>
    </w:p>
    <w:p w14:paraId="6A59D7DA" w14:textId="77777777" w:rsidR="00675364" w:rsidRPr="00A652EA" w:rsidRDefault="00675364" w:rsidP="00675364">
      <w:pPr>
        <w:ind w:left="708"/>
        <w:rPr>
          <w:rFonts w:ascii="Tahoma" w:eastAsia="Calibri" w:hAnsi="Tahoma" w:cs="Tahoma"/>
          <w:sz w:val="22"/>
          <w:szCs w:val="22"/>
        </w:rPr>
      </w:pPr>
    </w:p>
    <w:p w14:paraId="13BAB099" w14:textId="77777777" w:rsidR="00675364" w:rsidRPr="00A652EA" w:rsidRDefault="00675364" w:rsidP="00675364">
      <w:pPr>
        <w:rPr>
          <w:rFonts w:ascii="Tahoma" w:hAnsi="Tahoma" w:cs="Tahoma"/>
          <w:sz w:val="22"/>
          <w:szCs w:val="22"/>
        </w:rPr>
      </w:pPr>
      <w:r w:rsidRPr="00A652EA">
        <w:rPr>
          <w:rFonts w:ascii="Tahoma" w:hAnsi="Tahoma" w:cs="Tahoma"/>
          <w:sz w:val="22"/>
          <w:szCs w:val="22"/>
        </w:rPr>
        <w:t>6.3. É vedada a cobrança de Taxa de Performance quando o Valor da Cota de Apuração for inferior ao Valor da Cota Base.</w:t>
      </w:r>
    </w:p>
    <w:p w14:paraId="7C158E5B" w14:textId="77777777" w:rsidR="00675364" w:rsidRPr="00A652EA" w:rsidRDefault="00675364" w:rsidP="00675364">
      <w:pPr>
        <w:rPr>
          <w:rFonts w:ascii="Tahoma" w:hAnsi="Tahoma" w:cs="Tahoma"/>
          <w:sz w:val="22"/>
          <w:szCs w:val="22"/>
        </w:rPr>
      </w:pPr>
    </w:p>
    <w:p w14:paraId="620342C6" w14:textId="77777777" w:rsidR="00675364" w:rsidRPr="00A652EA" w:rsidRDefault="00675364" w:rsidP="00675364">
      <w:pPr>
        <w:jc w:val="both"/>
        <w:rPr>
          <w:rFonts w:ascii="Tahoma" w:hAnsi="Tahoma" w:cs="Tahoma"/>
          <w:sz w:val="22"/>
          <w:szCs w:val="22"/>
        </w:rPr>
      </w:pPr>
      <w:r w:rsidRPr="00A652EA">
        <w:rPr>
          <w:rFonts w:ascii="Tahoma" w:hAnsi="Tahoma" w:cs="Tahoma"/>
          <w:sz w:val="22"/>
          <w:szCs w:val="22"/>
        </w:rPr>
        <w:t>6.3.1 Caso o Índice de Referência apresente variação negativa no período transcorrido desde a última Data Base, a Taxa de Performance a ser provisionada e paga deve ser calculada sobre a diferença entre o Valor da Cota de Apuração e o valor da Cota Índice, limitada à diferença entre o Valor da Cota de Apuração e a Cota Base.</w:t>
      </w:r>
    </w:p>
    <w:p w14:paraId="3225A0BD" w14:textId="77777777" w:rsidR="00675364" w:rsidRPr="00A652EA" w:rsidRDefault="00675364" w:rsidP="00675364">
      <w:pPr>
        <w:jc w:val="both"/>
        <w:rPr>
          <w:rFonts w:ascii="Tahoma" w:hAnsi="Tahoma" w:cs="Tahoma"/>
          <w:sz w:val="22"/>
          <w:szCs w:val="22"/>
        </w:rPr>
      </w:pPr>
    </w:p>
    <w:p w14:paraId="68944155" w14:textId="77777777" w:rsidR="00675364" w:rsidRPr="00A652EA" w:rsidRDefault="00675364" w:rsidP="00675364">
      <w:pPr>
        <w:jc w:val="both"/>
        <w:rPr>
          <w:rFonts w:ascii="Tahoma" w:hAnsi="Tahoma" w:cs="Tahoma"/>
          <w:sz w:val="22"/>
          <w:szCs w:val="22"/>
        </w:rPr>
      </w:pPr>
      <w:r w:rsidRPr="00A652EA">
        <w:rPr>
          <w:rFonts w:ascii="Tahoma" w:hAnsi="Tahoma" w:cs="Tahoma"/>
          <w:sz w:val="22"/>
          <w:szCs w:val="22"/>
        </w:rPr>
        <w:t>6.3.2. Em caso de extinção do Índice de Referência será adotado, para fins de cálculo da Taxa de Performance, o índice ou taxa que vier a substituí-lo.</w:t>
      </w:r>
    </w:p>
    <w:p w14:paraId="1A9B4F72" w14:textId="77777777" w:rsidR="00675364" w:rsidRPr="00A652EA" w:rsidRDefault="00675364" w:rsidP="00675364">
      <w:pPr>
        <w:jc w:val="both"/>
        <w:rPr>
          <w:rFonts w:ascii="Tahoma" w:eastAsia="Calibri" w:hAnsi="Tahoma" w:cs="Tahoma"/>
          <w:sz w:val="22"/>
          <w:szCs w:val="22"/>
        </w:rPr>
      </w:pPr>
    </w:p>
    <w:p w14:paraId="53437BAA"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 xml:space="preserve">6.3.3. Não será cobrada dos </w:t>
      </w:r>
      <w:proofErr w:type="gramStart"/>
      <w:r w:rsidRPr="00A652EA">
        <w:rPr>
          <w:rFonts w:ascii="Tahoma" w:hAnsi="Tahoma" w:cs="Tahoma"/>
          <w:sz w:val="22"/>
          <w:szCs w:val="22"/>
        </w:rPr>
        <w:t>Cotistas taxa</w:t>
      </w:r>
      <w:proofErr w:type="gramEnd"/>
      <w:r w:rsidRPr="00A652EA">
        <w:rPr>
          <w:rFonts w:ascii="Tahoma" w:hAnsi="Tahoma" w:cs="Tahoma"/>
          <w:sz w:val="22"/>
          <w:szCs w:val="22"/>
        </w:rPr>
        <w:t xml:space="preserve"> de ingresso e de saída quando da realização de aplicação e resgate no FUNDO, respectivamente.</w:t>
      </w:r>
    </w:p>
    <w:p w14:paraId="5EEC0BE3" w14:textId="77777777" w:rsidR="00675364" w:rsidRPr="00A652EA" w:rsidRDefault="00675364" w:rsidP="00675364">
      <w:pPr>
        <w:spacing w:line="280" w:lineRule="atLeast"/>
        <w:jc w:val="both"/>
        <w:rPr>
          <w:rFonts w:ascii="Tahoma" w:hAnsi="Tahoma" w:cs="Tahoma"/>
          <w:sz w:val="22"/>
          <w:szCs w:val="22"/>
          <w:highlight w:val="cyan"/>
        </w:rPr>
      </w:pPr>
    </w:p>
    <w:p w14:paraId="2090E938"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6.4.</w:t>
      </w:r>
      <w:r w:rsidRPr="00A652EA">
        <w:rPr>
          <w:rFonts w:ascii="Tahoma" w:hAnsi="Tahoma" w:cs="Tahoma"/>
          <w:sz w:val="22"/>
          <w:szCs w:val="22"/>
        </w:rPr>
        <w:tab/>
        <w:t>Além das Taxas de Administração e da Taxa de Performance, se houver,</w:t>
      </w:r>
      <w:r w:rsidRPr="00A652EA">
        <w:rPr>
          <w:rFonts w:ascii="Tahoma" w:hAnsi="Tahoma" w:cs="Tahoma"/>
          <w:sz w:val="22"/>
          <w:szCs w:val="22"/>
          <w:vertAlign w:val="superscript"/>
        </w:rPr>
        <w:t xml:space="preserve"> </w:t>
      </w:r>
      <w:r w:rsidRPr="00A652EA">
        <w:rPr>
          <w:rFonts w:ascii="Tahoma" w:hAnsi="Tahoma" w:cs="Tahoma"/>
          <w:sz w:val="22"/>
          <w:szCs w:val="22"/>
        </w:rPr>
        <w:t>constituirão encargos que poderão ser debitados diretamente do FUNDO as seguintes despesas:</w:t>
      </w:r>
    </w:p>
    <w:p w14:paraId="724FD671" w14:textId="77777777" w:rsidR="00675364" w:rsidRPr="00A652EA" w:rsidRDefault="00675364" w:rsidP="00675364">
      <w:pPr>
        <w:spacing w:line="280" w:lineRule="atLeast"/>
        <w:jc w:val="both"/>
        <w:rPr>
          <w:rFonts w:ascii="Tahoma" w:hAnsi="Tahoma" w:cs="Tahoma"/>
          <w:sz w:val="22"/>
          <w:szCs w:val="22"/>
        </w:rPr>
      </w:pPr>
    </w:p>
    <w:p w14:paraId="7BE2A9BA" w14:textId="77777777" w:rsidR="00675364" w:rsidRPr="00A652EA" w:rsidRDefault="00675364" w:rsidP="00675364">
      <w:pPr>
        <w:spacing w:line="280" w:lineRule="atLeast"/>
        <w:jc w:val="both"/>
        <w:rPr>
          <w:rFonts w:ascii="Tahoma" w:eastAsia="Arial Unicode MS" w:hAnsi="Tahoma" w:cs="Tahoma"/>
          <w:sz w:val="22"/>
          <w:szCs w:val="22"/>
        </w:rPr>
      </w:pPr>
      <w:r w:rsidRPr="00A652EA">
        <w:rPr>
          <w:rFonts w:ascii="Tahoma" w:eastAsia="Arial Unicode MS" w:hAnsi="Tahoma" w:cs="Tahoma"/>
          <w:sz w:val="22"/>
          <w:szCs w:val="22"/>
        </w:rPr>
        <w:t xml:space="preserve">(i) taxas, impostos ou contribuições federais, estaduais, municipais ou autárquicas, que recaiam ou venham a recair sobre os bens, direitos e obrigações do FUNDO; </w:t>
      </w:r>
    </w:p>
    <w:p w14:paraId="41964E5D" w14:textId="77777777" w:rsidR="00675364" w:rsidRPr="00A652EA" w:rsidRDefault="00675364" w:rsidP="00675364">
      <w:pPr>
        <w:spacing w:line="280" w:lineRule="atLeast"/>
        <w:jc w:val="both"/>
        <w:rPr>
          <w:rFonts w:ascii="Tahoma" w:eastAsia="Arial Unicode MS" w:hAnsi="Tahoma" w:cs="Tahoma"/>
          <w:sz w:val="22"/>
          <w:szCs w:val="22"/>
          <w:highlight w:val="yellow"/>
        </w:rPr>
      </w:pPr>
    </w:p>
    <w:p w14:paraId="3E492120" w14:textId="77777777" w:rsidR="00675364" w:rsidRPr="00A652EA" w:rsidRDefault="00675364" w:rsidP="00675364">
      <w:pPr>
        <w:spacing w:line="280" w:lineRule="atLeast"/>
        <w:jc w:val="both"/>
        <w:rPr>
          <w:rFonts w:ascii="Tahoma" w:eastAsia="Arial Unicode MS" w:hAnsi="Tahoma" w:cs="Tahoma"/>
          <w:sz w:val="22"/>
          <w:szCs w:val="22"/>
        </w:rPr>
      </w:pPr>
      <w:r w:rsidRPr="00A652EA">
        <w:rPr>
          <w:rFonts w:ascii="Tahoma" w:eastAsia="Arial Unicode MS" w:hAnsi="Tahoma" w:cs="Tahoma"/>
          <w:sz w:val="22"/>
          <w:szCs w:val="22"/>
        </w:rPr>
        <w:t>(</w:t>
      </w:r>
      <w:proofErr w:type="spellStart"/>
      <w:r w:rsidRPr="00A652EA">
        <w:rPr>
          <w:rFonts w:ascii="Tahoma" w:eastAsia="Arial Unicode MS" w:hAnsi="Tahoma" w:cs="Tahoma"/>
          <w:sz w:val="22"/>
          <w:szCs w:val="22"/>
        </w:rPr>
        <w:t>ii</w:t>
      </w:r>
      <w:proofErr w:type="spellEnd"/>
      <w:r w:rsidRPr="00A652EA">
        <w:rPr>
          <w:rFonts w:ascii="Tahoma" w:eastAsia="Arial Unicode MS" w:hAnsi="Tahoma" w:cs="Tahoma"/>
          <w:sz w:val="22"/>
          <w:szCs w:val="22"/>
        </w:rPr>
        <w:t xml:space="preserve">) despesas com o registro de documentos em cartório, impressão, expedição e publicação de relatórios e informações periódicas previstas na regulamentação em vigor; </w:t>
      </w:r>
    </w:p>
    <w:p w14:paraId="16888C37" w14:textId="77777777" w:rsidR="00675364" w:rsidRPr="00A652EA" w:rsidRDefault="00675364" w:rsidP="00675364">
      <w:pPr>
        <w:spacing w:line="280" w:lineRule="atLeast"/>
        <w:jc w:val="both"/>
        <w:rPr>
          <w:rFonts w:ascii="Tahoma" w:eastAsia="Arial Unicode MS" w:hAnsi="Tahoma" w:cs="Tahoma"/>
          <w:sz w:val="22"/>
          <w:szCs w:val="22"/>
          <w:highlight w:val="yellow"/>
        </w:rPr>
      </w:pPr>
    </w:p>
    <w:p w14:paraId="0F77C751" w14:textId="77777777" w:rsidR="00675364" w:rsidRPr="00A652EA" w:rsidRDefault="00675364" w:rsidP="00675364">
      <w:pPr>
        <w:spacing w:line="280" w:lineRule="atLeast"/>
        <w:jc w:val="both"/>
        <w:rPr>
          <w:rFonts w:ascii="Tahoma" w:eastAsia="Arial Unicode MS" w:hAnsi="Tahoma" w:cs="Tahoma"/>
          <w:sz w:val="22"/>
          <w:szCs w:val="22"/>
        </w:rPr>
      </w:pPr>
      <w:r w:rsidRPr="00A652EA">
        <w:rPr>
          <w:rFonts w:ascii="Tahoma" w:eastAsia="Arial Unicode MS" w:hAnsi="Tahoma" w:cs="Tahoma"/>
          <w:sz w:val="22"/>
          <w:szCs w:val="22"/>
        </w:rPr>
        <w:t>(</w:t>
      </w:r>
      <w:proofErr w:type="spellStart"/>
      <w:r w:rsidRPr="00A652EA">
        <w:rPr>
          <w:rFonts w:ascii="Tahoma" w:eastAsia="Arial Unicode MS" w:hAnsi="Tahoma" w:cs="Tahoma"/>
          <w:sz w:val="22"/>
          <w:szCs w:val="22"/>
        </w:rPr>
        <w:t>iii</w:t>
      </w:r>
      <w:proofErr w:type="spellEnd"/>
      <w:r w:rsidRPr="00A652EA">
        <w:rPr>
          <w:rFonts w:ascii="Tahoma" w:eastAsia="Arial Unicode MS" w:hAnsi="Tahoma" w:cs="Tahoma"/>
          <w:sz w:val="22"/>
          <w:szCs w:val="22"/>
        </w:rPr>
        <w:t xml:space="preserve">) despesas com correspondência de interesse do FUNDO, inclusive comunicações aos Cotistas; </w:t>
      </w:r>
    </w:p>
    <w:p w14:paraId="01261DC9" w14:textId="77777777" w:rsidR="00675364" w:rsidRPr="00A652EA" w:rsidRDefault="00675364" w:rsidP="00675364">
      <w:pPr>
        <w:spacing w:line="280" w:lineRule="atLeast"/>
        <w:jc w:val="both"/>
        <w:rPr>
          <w:rFonts w:ascii="Tahoma" w:eastAsia="Arial Unicode MS" w:hAnsi="Tahoma" w:cs="Tahoma"/>
          <w:sz w:val="22"/>
          <w:szCs w:val="22"/>
          <w:highlight w:val="yellow"/>
        </w:rPr>
      </w:pPr>
    </w:p>
    <w:p w14:paraId="2E5153B4" w14:textId="77777777" w:rsidR="00675364" w:rsidRPr="00A652EA" w:rsidRDefault="00675364" w:rsidP="00675364">
      <w:pPr>
        <w:spacing w:line="280" w:lineRule="atLeast"/>
        <w:jc w:val="both"/>
        <w:rPr>
          <w:rFonts w:ascii="Tahoma" w:eastAsia="Arial Unicode MS" w:hAnsi="Tahoma" w:cs="Tahoma"/>
          <w:sz w:val="22"/>
          <w:szCs w:val="22"/>
        </w:rPr>
      </w:pPr>
      <w:r w:rsidRPr="00A652EA">
        <w:rPr>
          <w:rFonts w:ascii="Tahoma" w:eastAsia="Arial Unicode MS" w:hAnsi="Tahoma" w:cs="Tahoma"/>
          <w:sz w:val="22"/>
          <w:szCs w:val="22"/>
        </w:rPr>
        <w:t>(</w:t>
      </w:r>
      <w:proofErr w:type="spellStart"/>
      <w:r w:rsidRPr="00A652EA">
        <w:rPr>
          <w:rFonts w:ascii="Tahoma" w:eastAsia="Arial Unicode MS" w:hAnsi="Tahoma" w:cs="Tahoma"/>
          <w:sz w:val="22"/>
          <w:szCs w:val="22"/>
        </w:rPr>
        <w:t>iv</w:t>
      </w:r>
      <w:proofErr w:type="spellEnd"/>
      <w:r w:rsidRPr="00A652EA">
        <w:rPr>
          <w:rFonts w:ascii="Tahoma" w:eastAsia="Arial Unicode MS" w:hAnsi="Tahoma" w:cs="Tahoma"/>
          <w:sz w:val="22"/>
          <w:szCs w:val="22"/>
        </w:rPr>
        <w:t>) honorários e despesas do auditor independente;</w:t>
      </w:r>
    </w:p>
    <w:p w14:paraId="0104F644" w14:textId="77777777" w:rsidR="00675364" w:rsidRPr="00A652EA" w:rsidRDefault="00675364" w:rsidP="00675364">
      <w:pPr>
        <w:spacing w:line="280" w:lineRule="atLeast"/>
        <w:jc w:val="both"/>
        <w:rPr>
          <w:rFonts w:ascii="Tahoma" w:eastAsia="Arial Unicode MS" w:hAnsi="Tahoma" w:cs="Tahoma"/>
          <w:sz w:val="22"/>
          <w:szCs w:val="22"/>
          <w:highlight w:val="yellow"/>
        </w:rPr>
      </w:pPr>
    </w:p>
    <w:p w14:paraId="36682D76" w14:textId="77777777" w:rsidR="00675364" w:rsidRPr="00A652EA" w:rsidRDefault="00675364" w:rsidP="00675364">
      <w:pPr>
        <w:spacing w:line="280" w:lineRule="atLeast"/>
        <w:jc w:val="both"/>
        <w:rPr>
          <w:rFonts w:ascii="Tahoma" w:eastAsia="Arial Unicode MS" w:hAnsi="Tahoma" w:cs="Tahoma"/>
          <w:sz w:val="22"/>
          <w:szCs w:val="22"/>
        </w:rPr>
      </w:pPr>
      <w:r w:rsidRPr="00A652EA">
        <w:rPr>
          <w:rFonts w:ascii="Tahoma" w:eastAsia="Arial Unicode MS" w:hAnsi="Tahoma" w:cs="Tahoma"/>
          <w:sz w:val="22"/>
          <w:szCs w:val="22"/>
        </w:rPr>
        <w:t xml:space="preserve">(v) emolumentos e comissões pagas por operações do FUNDO; </w:t>
      </w:r>
    </w:p>
    <w:p w14:paraId="55A4E424" w14:textId="77777777" w:rsidR="00675364" w:rsidRPr="00A652EA" w:rsidRDefault="00675364" w:rsidP="00675364">
      <w:pPr>
        <w:spacing w:line="280" w:lineRule="atLeast"/>
        <w:jc w:val="both"/>
        <w:rPr>
          <w:rFonts w:ascii="Tahoma" w:eastAsia="Arial Unicode MS" w:hAnsi="Tahoma" w:cs="Tahoma"/>
          <w:sz w:val="22"/>
          <w:szCs w:val="22"/>
        </w:rPr>
      </w:pPr>
    </w:p>
    <w:p w14:paraId="31D125BA" w14:textId="77777777" w:rsidR="00675364" w:rsidRPr="00A652EA" w:rsidRDefault="00675364" w:rsidP="00675364">
      <w:pPr>
        <w:spacing w:line="280" w:lineRule="atLeast"/>
        <w:jc w:val="both"/>
        <w:rPr>
          <w:rFonts w:ascii="Tahoma" w:eastAsia="Arial Unicode MS" w:hAnsi="Tahoma" w:cs="Tahoma"/>
          <w:sz w:val="22"/>
          <w:szCs w:val="22"/>
        </w:rPr>
      </w:pPr>
      <w:r w:rsidRPr="00A652EA">
        <w:rPr>
          <w:rFonts w:ascii="Tahoma" w:eastAsia="Arial Unicode MS" w:hAnsi="Tahoma" w:cs="Tahoma"/>
          <w:sz w:val="22"/>
          <w:szCs w:val="22"/>
        </w:rPr>
        <w:t xml:space="preserve">(vi) honorários de advogado, custas e despesas processuais correlatas, incorridas em razão de defesa dos interesses do FUNDO, em juízo ou fora dele, inclusive o valor da condenação imputada ao FUNDO, se for o caso; </w:t>
      </w:r>
    </w:p>
    <w:p w14:paraId="3FA11295" w14:textId="77777777" w:rsidR="00675364" w:rsidRPr="00A652EA" w:rsidRDefault="00675364" w:rsidP="00675364">
      <w:pPr>
        <w:spacing w:line="280" w:lineRule="atLeast"/>
        <w:jc w:val="both"/>
        <w:rPr>
          <w:rFonts w:ascii="Tahoma" w:eastAsia="Arial Unicode MS" w:hAnsi="Tahoma" w:cs="Tahoma"/>
          <w:sz w:val="22"/>
          <w:szCs w:val="22"/>
          <w:highlight w:val="yellow"/>
        </w:rPr>
      </w:pPr>
    </w:p>
    <w:p w14:paraId="2152B8F2" w14:textId="77777777" w:rsidR="00675364" w:rsidRPr="00A652EA" w:rsidRDefault="00675364" w:rsidP="00675364">
      <w:pPr>
        <w:spacing w:line="280" w:lineRule="atLeast"/>
        <w:jc w:val="both"/>
        <w:rPr>
          <w:rFonts w:ascii="Tahoma" w:eastAsia="Arial Unicode MS" w:hAnsi="Tahoma" w:cs="Tahoma"/>
          <w:sz w:val="22"/>
          <w:szCs w:val="22"/>
        </w:rPr>
      </w:pPr>
      <w:r w:rsidRPr="00A652EA">
        <w:rPr>
          <w:rFonts w:ascii="Tahoma" w:eastAsia="Arial Unicode MS" w:hAnsi="Tahoma" w:cs="Tahoma"/>
          <w:sz w:val="22"/>
          <w:szCs w:val="22"/>
        </w:rPr>
        <w:t>(</w:t>
      </w:r>
      <w:proofErr w:type="spellStart"/>
      <w:r w:rsidRPr="00A652EA">
        <w:rPr>
          <w:rFonts w:ascii="Tahoma" w:eastAsia="Arial Unicode MS" w:hAnsi="Tahoma" w:cs="Tahoma"/>
          <w:sz w:val="22"/>
          <w:szCs w:val="22"/>
        </w:rPr>
        <w:t>vii</w:t>
      </w:r>
      <w:proofErr w:type="spellEnd"/>
      <w:r w:rsidRPr="00A652EA">
        <w:rPr>
          <w:rFonts w:ascii="Tahoma" w:eastAsia="Arial Unicode MS" w:hAnsi="Tahoma" w:cs="Tahoma"/>
          <w:sz w:val="22"/>
          <w:szCs w:val="22"/>
        </w:rPr>
        <w:t xml:space="preserve">) parcela de prejuízos não coberta por apólices de seguro e não decorrente diretamente de culpa ou dolo dos prestadores dos serviços de administração no exercício de suas respectivas funções; </w:t>
      </w:r>
    </w:p>
    <w:p w14:paraId="7D8DD515" w14:textId="77777777" w:rsidR="00675364" w:rsidRPr="00A652EA" w:rsidRDefault="00675364" w:rsidP="00675364">
      <w:pPr>
        <w:spacing w:line="280" w:lineRule="atLeast"/>
        <w:jc w:val="both"/>
        <w:rPr>
          <w:rFonts w:ascii="Tahoma" w:eastAsia="Arial Unicode MS" w:hAnsi="Tahoma" w:cs="Tahoma"/>
          <w:sz w:val="22"/>
          <w:szCs w:val="22"/>
          <w:highlight w:val="yellow"/>
        </w:rPr>
      </w:pPr>
    </w:p>
    <w:p w14:paraId="4534772C" w14:textId="77777777" w:rsidR="00675364" w:rsidRPr="00A652EA" w:rsidRDefault="00675364" w:rsidP="00675364">
      <w:pPr>
        <w:spacing w:line="280" w:lineRule="atLeast"/>
        <w:jc w:val="both"/>
        <w:rPr>
          <w:rFonts w:ascii="Tahoma" w:eastAsia="Arial Unicode MS" w:hAnsi="Tahoma" w:cs="Tahoma"/>
          <w:sz w:val="22"/>
          <w:szCs w:val="22"/>
        </w:rPr>
      </w:pPr>
      <w:r w:rsidRPr="00A652EA">
        <w:rPr>
          <w:rFonts w:ascii="Tahoma" w:eastAsia="Arial Unicode MS" w:hAnsi="Tahoma" w:cs="Tahoma"/>
          <w:sz w:val="22"/>
          <w:szCs w:val="22"/>
        </w:rPr>
        <w:t>(</w:t>
      </w:r>
      <w:proofErr w:type="spellStart"/>
      <w:r w:rsidRPr="00A652EA">
        <w:rPr>
          <w:rFonts w:ascii="Tahoma" w:eastAsia="Arial Unicode MS" w:hAnsi="Tahoma" w:cs="Tahoma"/>
          <w:sz w:val="22"/>
          <w:szCs w:val="22"/>
        </w:rPr>
        <w:t>viii</w:t>
      </w:r>
      <w:proofErr w:type="spellEnd"/>
      <w:r w:rsidRPr="00A652EA">
        <w:rPr>
          <w:rFonts w:ascii="Tahoma" w:eastAsia="Arial Unicode MS" w:hAnsi="Tahoma" w:cs="Tahoma"/>
          <w:sz w:val="22"/>
          <w:szCs w:val="22"/>
        </w:rPr>
        <w:t xml:space="preserve">) despesas relacionadas, direta ou indiretamente, ao exercício de direito de voto decorrente de Ativos Financeiros do FUNDO; </w:t>
      </w:r>
    </w:p>
    <w:p w14:paraId="08CCA63C" w14:textId="77777777" w:rsidR="00675364" w:rsidRPr="00A652EA" w:rsidRDefault="00675364" w:rsidP="00675364">
      <w:pPr>
        <w:spacing w:line="280" w:lineRule="atLeast"/>
        <w:jc w:val="both"/>
        <w:rPr>
          <w:rFonts w:ascii="Tahoma" w:eastAsia="Arial Unicode MS" w:hAnsi="Tahoma" w:cs="Tahoma"/>
          <w:sz w:val="22"/>
          <w:szCs w:val="22"/>
        </w:rPr>
      </w:pPr>
    </w:p>
    <w:p w14:paraId="2E11F7B5" w14:textId="77777777" w:rsidR="00675364" w:rsidRPr="00A652EA" w:rsidRDefault="00675364" w:rsidP="00675364">
      <w:pPr>
        <w:spacing w:line="280" w:lineRule="atLeast"/>
        <w:jc w:val="both"/>
        <w:rPr>
          <w:rFonts w:ascii="Tahoma" w:eastAsia="Arial Unicode MS" w:hAnsi="Tahoma" w:cs="Tahoma"/>
          <w:sz w:val="22"/>
          <w:szCs w:val="22"/>
        </w:rPr>
      </w:pPr>
      <w:r w:rsidRPr="00A652EA">
        <w:rPr>
          <w:rFonts w:ascii="Tahoma" w:eastAsia="Arial Unicode MS" w:hAnsi="Tahoma" w:cs="Tahoma"/>
          <w:sz w:val="22"/>
          <w:szCs w:val="22"/>
        </w:rPr>
        <w:t>(</w:t>
      </w:r>
      <w:proofErr w:type="spellStart"/>
      <w:r w:rsidRPr="00A652EA">
        <w:rPr>
          <w:rFonts w:ascii="Tahoma" w:eastAsia="Arial Unicode MS" w:hAnsi="Tahoma" w:cs="Tahoma"/>
          <w:sz w:val="22"/>
          <w:szCs w:val="22"/>
        </w:rPr>
        <w:t>ix</w:t>
      </w:r>
      <w:proofErr w:type="spellEnd"/>
      <w:r w:rsidRPr="00A652EA">
        <w:rPr>
          <w:rFonts w:ascii="Tahoma" w:eastAsia="Arial Unicode MS" w:hAnsi="Tahoma" w:cs="Tahoma"/>
          <w:sz w:val="22"/>
          <w:szCs w:val="22"/>
        </w:rPr>
        <w:t xml:space="preserve">) despesas com liquidação, registro e custódia de operações com títulos e valores mobiliários, Ativos Financeiros e modalidades operacionais; </w:t>
      </w:r>
    </w:p>
    <w:p w14:paraId="02589F2B" w14:textId="77777777" w:rsidR="00675364" w:rsidRPr="00A652EA" w:rsidRDefault="00675364" w:rsidP="00675364">
      <w:pPr>
        <w:spacing w:line="280" w:lineRule="atLeast"/>
        <w:jc w:val="both"/>
        <w:rPr>
          <w:rFonts w:ascii="Tahoma" w:eastAsia="Arial Unicode MS" w:hAnsi="Tahoma" w:cs="Tahoma"/>
          <w:sz w:val="22"/>
          <w:szCs w:val="22"/>
        </w:rPr>
      </w:pPr>
    </w:p>
    <w:p w14:paraId="1CDEE1E1" w14:textId="77777777" w:rsidR="00675364" w:rsidRPr="00A652EA" w:rsidRDefault="00675364" w:rsidP="00675364">
      <w:pPr>
        <w:spacing w:line="280" w:lineRule="atLeast"/>
        <w:jc w:val="both"/>
        <w:rPr>
          <w:rFonts w:ascii="Tahoma" w:eastAsia="Arial Unicode MS" w:hAnsi="Tahoma" w:cs="Tahoma"/>
          <w:sz w:val="22"/>
          <w:szCs w:val="22"/>
        </w:rPr>
      </w:pPr>
      <w:r w:rsidRPr="00A652EA">
        <w:rPr>
          <w:rFonts w:ascii="Tahoma" w:eastAsia="Arial Unicode MS" w:hAnsi="Tahoma" w:cs="Tahoma"/>
          <w:sz w:val="22"/>
          <w:szCs w:val="22"/>
        </w:rPr>
        <w:lastRenderedPageBreak/>
        <w:t>(x) despesas com fechamento de câmbio, vinculadas às suas operações ou com certificados ou recibos de depósito de valores mobiliários; e</w:t>
      </w:r>
    </w:p>
    <w:p w14:paraId="2D8C437E" w14:textId="77777777" w:rsidR="00675364" w:rsidRPr="00A652EA" w:rsidRDefault="00675364" w:rsidP="00675364">
      <w:pPr>
        <w:spacing w:line="280" w:lineRule="atLeast"/>
        <w:jc w:val="both"/>
        <w:rPr>
          <w:rFonts w:ascii="Tahoma" w:eastAsia="Arial Unicode MS" w:hAnsi="Tahoma" w:cs="Tahoma"/>
          <w:sz w:val="22"/>
          <w:szCs w:val="22"/>
        </w:rPr>
      </w:pPr>
    </w:p>
    <w:p w14:paraId="7905FF94" w14:textId="77777777" w:rsidR="00675364" w:rsidRPr="00A652EA" w:rsidRDefault="00675364" w:rsidP="00675364">
      <w:pPr>
        <w:spacing w:line="280" w:lineRule="atLeast"/>
        <w:jc w:val="both"/>
        <w:rPr>
          <w:rFonts w:ascii="Tahoma" w:eastAsia="Arial Unicode MS" w:hAnsi="Tahoma" w:cs="Tahoma"/>
          <w:sz w:val="22"/>
          <w:szCs w:val="22"/>
        </w:rPr>
      </w:pPr>
      <w:r w:rsidRPr="00A652EA">
        <w:rPr>
          <w:rFonts w:ascii="Tahoma" w:eastAsia="Arial Unicode MS" w:hAnsi="Tahoma" w:cs="Tahoma"/>
          <w:sz w:val="22"/>
          <w:szCs w:val="22"/>
        </w:rPr>
        <w:t>(xi) os montantes devidos a fundos investidores na hipótese de acordo de remuneração com base na taxa de administração e/ou performance, observado o disposto na regulamentação vigente.</w:t>
      </w:r>
    </w:p>
    <w:p w14:paraId="762AC38E" w14:textId="77777777" w:rsidR="00675364" w:rsidRPr="00A652EA" w:rsidRDefault="00675364" w:rsidP="00675364">
      <w:pPr>
        <w:spacing w:line="280" w:lineRule="atLeast"/>
        <w:jc w:val="both"/>
        <w:rPr>
          <w:rFonts w:ascii="Tahoma" w:eastAsia="Arial Unicode MS" w:hAnsi="Tahoma" w:cs="Tahoma"/>
          <w:sz w:val="22"/>
          <w:szCs w:val="22"/>
        </w:rPr>
      </w:pPr>
    </w:p>
    <w:p w14:paraId="619D02EA"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 xml:space="preserve">6.5.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5F85AD3D" w14:textId="77777777" w:rsidR="00675364" w:rsidRPr="00A652EA" w:rsidRDefault="00675364" w:rsidP="00675364">
      <w:pPr>
        <w:spacing w:line="280" w:lineRule="atLeast"/>
        <w:jc w:val="both"/>
        <w:rPr>
          <w:rFonts w:ascii="Tahoma" w:hAnsi="Tahoma" w:cs="Tahoma"/>
          <w:sz w:val="22"/>
          <w:szCs w:val="22"/>
        </w:rPr>
      </w:pPr>
    </w:p>
    <w:p w14:paraId="2653DC05" w14:textId="77777777" w:rsidR="00675364" w:rsidRPr="00A652EA" w:rsidRDefault="00675364" w:rsidP="00675364">
      <w:pPr>
        <w:pBdr>
          <w:bottom w:val="single" w:sz="6" w:space="1" w:color="auto"/>
        </w:pBdr>
        <w:spacing w:line="280" w:lineRule="atLeast"/>
        <w:jc w:val="center"/>
        <w:rPr>
          <w:rFonts w:ascii="Tahoma" w:hAnsi="Tahoma" w:cs="Tahoma"/>
          <w:b/>
          <w:sz w:val="22"/>
          <w:szCs w:val="22"/>
        </w:rPr>
      </w:pPr>
      <w:r w:rsidRPr="00A652EA">
        <w:rPr>
          <w:rFonts w:ascii="Tahoma" w:hAnsi="Tahoma" w:cs="Tahoma"/>
          <w:b/>
          <w:sz w:val="22"/>
          <w:szCs w:val="22"/>
        </w:rPr>
        <w:t xml:space="preserve">CLÁUSULA SÉTIMA – DAS COTAS: DISTRIBUIÇÃO, EMISSÃO, NEGOCIAÇÃO E RESGATE </w:t>
      </w:r>
    </w:p>
    <w:p w14:paraId="7A2C8401" w14:textId="77777777" w:rsidR="00675364" w:rsidRPr="00A652EA" w:rsidRDefault="00675364" w:rsidP="00675364">
      <w:pPr>
        <w:spacing w:line="280" w:lineRule="atLeast"/>
        <w:jc w:val="both"/>
        <w:rPr>
          <w:rFonts w:ascii="Tahoma" w:hAnsi="Tahoma" w:cs="Tahoma"/>
          <w:sz w:val="22"/>
          <w:szCs w:val="22"/>
        </w:rPr>
      </w:pPr>
    </w:p>
    <w:p w14:paraId="18D1128D"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7.1. As cotas do FUNDO correspondem a frações ideais do seu patrimônio e são nominativas e escriturais.</w:t>
      </w:r>
    </w:p>
    <w:p w14:paraId="27C16C30" w14:textId="77777777" w:rsidR="00675364" w:rsidRPr="00A652EA" w:rsidRDefault="00675364" w:rsidP="00675364">
      <w:pPr>
        <w:spacing w:line="280" w:lineRule="atLeast"/>
        <w:jc w:val="both"/>
        <w:rPr>
          <w:rFonts w:ascii="Tahoma" w:hAnsi="Tahoma" w:cs="Tahoma"/>
          <w:sz w:val="22"/>
          <w:szCs w:val="22"/>
        </w:rPr>
      </w:pPr>
    </w:p>
    <w:p w14:paraId="4260336C"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7.1.1. As cotas do FUNDO terão seu valor calculado a cada dia útil, com base em avaliação patrimonial que considere os critérios de avaliação previstos na regulamentação em vigor.</w:t>
      </w:r>
    </w:p>
    <w:p w14:paraId="7FA182BC" w14:textId="77777777" w:rsidR="00675364" w:rsidRPr="00A652EA" w:rsidRDefault="00675364" w:rsidP="00675364">
      <w:pPr>
        <w:spacing w:line="280" w:lineRule="atLeast"/>
        <w:jc w:val="both"/>
        <w:rPr>
          <w:rFonts w:ascii="Tahoma" w:hAnsi="Tahoma" w:cs="Tahoma"/>
          <w:sz w:val="22"/>
          <w:szCs w:val="22"/>
        </w:rPr>
      </w:pPr>
    </w:p>
    <w:p w14:paraId="72215197"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A652EA">
        <w:rPr>
          <w:rFonts w:ascii="Tahoma" w:hAnsi="Tahoma" w:cs="Tahoma"/>
          <w:sz w:val="22"/>
          <w:szCs w:val="22"/>
          <w:vertAlign w:val="superscript"/>
        </w:rPr>
        <w:t xml:space="preserve"> </w:t>
      </w:r>
    </w:p>
    <w:p w14:paraId="03441242" w14:textId="77777777" w:rsidR="00675364" w:rsidRPr="00A652EA" w:rsidRDefault="00675364" w:rsidP="00675364">
      <w:pPr>
        <w:spacing w:line="280" w:lineRule="atLeast"/>
        <w:jc w:val="both"/>
        <w:rPr>
          <w:rFonts w:ascii="Tahoma" w:hAnsi="Tahoma" w:cs="Tahoma"/>
          <w:sz w:val="22"/>
          <w:szCs w:val="22"/>
        </w:rPr>
      </w:pPr>
    </w:p>
    <w:p w14:paraId="657D1FF4"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A652EA">
        <w:rPr>
          <w:rFonts w:ascii="Tahoma" w:hAnsi="Tahoma" w:cs="Tahoma"/>
          <w:sz w:val="22"/>
          <w:szCs w:val="22"/>
          <w:highlight w:val="yellow"/>
        </w:rPr>
        <w:t xml:space="preserve"> </w:t>
      </w:r>
    </w:p>
    <w:p w14:paraId="0C3FB368" w14:textId="77777777" w:rsidR="00675364" w:rsidRPr="00A652EA" w:rsidRDefault="00675364" w:rsidP="00675364">
      <w:pPr>
        <w:spacing w:line="280" w:lineRule="atLeast"/>
        <w:jc w:val="both"/>
        <w:rPr>
          <w:rFonts w:ascii="Tahoma" w:hAnsi="Tahoma" w:cs="Tahoma"/>
          <w:sz w:val="22"/>
          <w:szCs w:val="22"/>
        </w:rPr>
      </w:pPr>
    </w:p>
    <w:p w14:paraId="02D24625"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57D9B71B" w14:textId="77777777" w:rsidR="00675364" w:rsidRPr="00A652EA" w:rsidRDefault="00675364" w:rsidP="00675364">
      <w:pPr>
        <w:spacing w:line="280" w:lineRule="atLeast"/>
        <w:jc w:val="both"/>
        <w:rPr>
          <w:rFonts w:ascii="Tahoma" w:hAnsi="Tahoma" w:cs="Tahoma"/>
          <w:sz w:val="22"/>
          <w:szCs w:val="22"/>
        </w:rPr>
      </w:pPr>
    </w:p>
    <w:p w14:paraId="56527375"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7.5. A qualidade dos Cotistas caracteriza-se pela inscrição do nome do titular no registro de Cotistas do FUNDO.</w:t>
      </w:r>
    </w:p>
    <w:p w14:paraId="34242885" w14:textId="77777777" w:rsidR="00675364" w:rsidRPr="00A652EA" w:rsidRDefault="00675364" w:rsidP="00675364">
      <w:pPr>
        <w:spacing w:line="280" w:lineRule="atLeast"/>
        <w:jc w:val="both"/>
        <w:rPr>
          <w:rFonts w:ascii="Tahoma" w:hAnsi="Tahoma" w:cs="Tahoma"/>
          <w:sz w:val="22"/>
          <w:szCs w:val="22"/>
        </w:rPr>
      </w:pPr>
    </w:p>
    <w:p w14:paraId="6A334810"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4C606E2B" w14:textId="77777777" w:rsidR="00675364" w:rsidRPr="00A652EA" w:rsidRDefault="00675364" w:rsidP="00675364">
      <w:pPr>
        <w:spacing w:line="280" w:lineRule="atLeast"/>
        <w:jc w:val="both"/>
        <w:rPr>
          <w:rFonts w:ascii="Tahoma" w:hAnsi="Tahoma" w:cs="Tahoma"/>
          <w:sz w:val="22"/>
          <w:szCs w:val="22"/>
        </w:rPr>
      </w:pPr>
    </w:p>
    <w:p w14:paraId="2A6F5817"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 xml:space="preserve">7.6. </w:t>
      </w:r>
      <w:r w:rsidRPr="00C40E25">
        <w:rPr>
          <w:rFonts w:ascii="Tahoma" w:hAnsi="Tahoma"/>
          <w:sz w:val="22"/>
          <w:szCs w:val="22"/>
        </w:rPr>
        <w:t>A adesão dos Cotistas aos termos deste Regulamento dar-se-á pela assinatura do Termo de Adesão e Ciência de Risco ou mediante manifestação de aceite por meio eletrônico, através do qual atestam que tiveram acesso ao Regulamento do FUNDO e que conhecem, entendem e aceitam os riscos nele descritos, aos quais os investimentos do FUNDO estão expostos em razão dos mercados de sua atuação.</w:t>
      </w:r>
    </w:p>
    <w:p w14:paraId="0C93367C" w14:textId="77777777" w:rsidR="00675364" w:rsidRPr="00A652EA" w:rsidRDefault="00675364" w:rsidP="00675364">
      <w:pPr>
        <w:spacing w:line="280" w:lineRule="atLeast"/>
        <w:jc w:val="both"/>
        <w:rPr>
          <w:rFonts w:ascii="Tahoma" w:hAnsi="Tahoma" w:cs="Tahoma"/>
          <w:sz w:val="22"/>
          <w:szCs w:val="22"/>
        </w:rPr>
      </w:pPr>
    </w:p>
    <w:p w14:paraId="069DFB82"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75C65023" w14:textId="77777777" w:rsidR="00675364" w:rsidRPr="00A652EA" w:rsidRDefault="00675364" w:rsidP="00675364">
      <w:pPr>
        <w:spacing w:line="280" w:lineRule="atLeast"/>
        <w:jc w:val="both"/>
        <w:rPr>
          <w:rFonts w:ascii="Tahoma" w:hAnsi="Tahoma" w:cs="Tahoma"/>
          <w:sz w:val="22"/>
          <w:szCs w:val="22"/>
        </w:rPr>
      </w:pPr>
    </w:p>
    <w:p w14:paraId="53FD4B78"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37452511" w14:textId="77777777" w:rsidR="00675364" w:rsidRPr="00A652EA" w:rsidRDefault="00675364" w:rsidP="00675364">
      <w:pPr>
        <w:spacing w:line="280" w:lineRule="atLeast"/>
        <w:jc w:val="both"/>
        <w:rPr>
          <w:rFonts w:ascii="Tahoma" w:hAnsi="Tahoma" w:cs="Tahoma"/>
          <w:sz w:val="22"/>
          <w:szCs w:val="22"/>
        </w:rPr>
      </w:pPr>
    </w:p>
    <w:p w14:paraId="72ABDB48"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napToGrid w:val="0"/>
          <w:sz w:val="22"/>
          <w:szCs w:val="22"/>
        </w:rPr>
        <w:lastRenderedPageBreak/>
        <w:t>7.</w:t>
      </w:r>
      <w:r w:rsidRPr="00A652EA">
        <w:rPr>
          <w:rFonts w:ascii="Tahoma" w:hAnsi="Tahoma" w:cs="Tahoma"/>
          <w:sz w:val="22"/>
          <w:szCs w:val="22"/>
        </w:rPr>
        <w:t>7</w:t>
      </w:r>
      <w:r w:rsidRPr="00A652EA">
        <w:rPr>
          <w:rFonts w:ascii="Tahoma" w:hAnsi="Tahoma" w:cs="Tahoma"/>
          <w:snapToGrid w:val="0"/>
          <w:sz w:val="22"/>
          <w:szCs w:val="22"/>
        </w:rPr>
        <w:t xml:space="preserve">.1. Quando os Cotistas forem titulares de conta na B3 S.A. – Brasil, Bolsa, Balcão (“B3”), a aplicação e o resgate no FUNDO poderão ser realizados mediante ordem de crédito ou débito via B3, desde que com prévia concordância do </w:t>
      </w:r>
      <w:r w:rsidRPr="00A652EA">
        <w:rPr>
          <w:rFonts w:ascii="Tahoma" w:hAnsi="Tahoma" w:cs="Tahoma"/>
          <w:sz w:val="22"/>
          <w:szCs w:val="22"/>
        </w:rPr>
        <w:t>ADMINISTRADOR</w:t>
      </w:r>
      <w:r w:rsidRPr="00A652EA">
        <w:rPr>
          <w:rFonts w:ascii="Tahoma" w:hAnsi="Tahoma" w:cs="Tahoma"/>
          <w:snapToGrid w:val="0"/>
          <w:sz w:val="22"/>
          <w:szCs w:val="22"/>
        </w:rPr>
        <w:t>.</w:t>
      </w:r>
    </w:p>
    <w:p w14:paraId="46085EC1" w14:textId="77777777" w:rsidR="00675364" w:rsidRPr="00A652EA" w:rsidRDefault="00675364" w:rsidP="00675364">
      <w:pPr>
        <w:spacing w:line="280" w:lineRule="atLeast"/>
        <w:jc w:val="both"/>
        <w:rPr>
          <w:rFonts w:ascii="Tahoma" w:hAnsi="Tahoma" w:cs="Tahoma"/>
          <w:sz w:val="22"/>
          <w:szCs w:val="22"/>
        </w:rPr>
      </w:pPr>
    </w:p>
    <w:p w14:paraId="4A27E6DB"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7.7.2. A integralização e o resgate das cotas do FUNDO serão realizados em moeda corrente nacional.</w:t>
      </w:r>
    </w:p>
    <w:p w14:paraId="77D04A1B" w14:textId="77777777" w:rsidR="00675364" w:rsidRPr="00A652EA" w:rsidRDefault="00675364" w:rsidP="00675364">
      <w:pPr>
        <w:spacing w:line="280" w:lineRule="atLeast"/>
        <w:jc w:val="both"/>
        <w:rPr>
          <w:rFonts w:ascii="Tahoma" w:hAnsi="Tahoma" w:cs="Tahoma"/>
          <w:sz w:val="22"/>
          <w:szCs w:val="22"/>
        </w:rPr>
      </w:pPr>
    </w:p>
    <w:p w14:paraId="0CB7D2E4"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7.8 O ADMINISTRADOR poderá suspender, a qualquer momento, novas aplicações no FUNDO, aplicando-se tal suspensão tanto aos novos investidores como aos Cotistas atuais do FUNDO.</w:t>
      </w:r>
    </w:p>
    <w:p w14:paraId="032229A8" w14:textId="77777777" w:rsidR="00675364" w:rsidRPr="00A652EA" w:rsidRDefault="00675364" w:rsidP="00675364">
      <w:pPr>
        <w:spacing w:line="280" w:lineRule="atLeast"/>
        <w:jc w:val="both"/>
        <w:rPr>
          <w:rFonts w:ascii="Tahoma" w:hAnsi="Tahoma" w:cs="Tahoma"/>
          <w:sz w:val="22"/>
          <w:szCs w:val="22"/>
        </w:rPr>
      </w:pPr>
    </w:p>
    <w:p w14:paraId="50A4C7AE"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7.8.1 A suspensão do recebimento de novas aplicações em um dia não impede a reabertura posterior do FUNDO para aplicações.</w:t>
      </w:r>
    </w:p>
    <w:p w14:paraId="5C8D3A26" w14:textId="77777777" w:rsidR="00675364" w:rsidRPr="00A652EA" w:rsidRDefault="00675364" w:rsidP="00675364">
      <w:pPr>
        <w:spacing w:line="280" w:lineRule="atLeast"/>
        <w:jc w:val="both"/>
        <w:rPr>
          <w:rFonts w:ascii="Tahoma" w:hAnsi="Tahoma" w:cs="Tahoma"/>
          <w:sz w:val="22"/>
          <w:szCs w:val="22"/>
        </w:rPr>
      </w:pPr>
    </w:p>
    <w:p w14:paraId="30FCAFC7"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7.9. Na emissão e no resgate de cotas do FUNDO deverá ser observado o disposto no quadro abaixo:</w:t>
      </w:r>
    </w:p>
    <w:p w14:paraId="68F03550" w14:textId="77777777" w:rsidR="00675364" w:rsidRPr="00A652EA" w:rsidRDefault="00675364" w:rsidP="00675364">
      <w:pPr>
        <w:spacing w:line="280" w:lineRule="atLeast"/>
        <w:jc w:val="both"/>
        <w:rPr>
          <w:rFonts w:ascii="Tahoma" w:hAnsi="Tahoma" w:cs="Tahoma"/>
          <w:sz w:val="22"/>
          <w:szCs w:val="22"/>
        </w:rPr>
      </w:pPr>
    </w:p>
    <w:tbl>
      <w:tblPr>
        <w:tblW w:w="7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484"/>
        <w:gridCol w:w="2791"/>
      </w:tblGrid>
      <w:tr w:rsidR="00675364" w:rsidRPr="00A652EA" w14:paraId="70EE029B" w14:textId="77777777" w:rsidTr="00C40E25">
        <w:trPr>
          <w:jc w:val="center"/>
        </w:trPr>
        <w:tc>
          <w:tcPr>
            <w:tcW w:w="1728" w:type="dxa"/>
            <w:vMerge w:val="restart"/>
            <w:vAlign w:val="center"/>
          </w:tcPr>
          <w:p w14:paraId="623A3DF7" w14:textId="77777777" w:rsidR="00675364" w:rsidRPr="00A652EA" w:rsidRDefault="00675364" w:rsidP="00C40E25">
            <w:pPr>
              <w:spacing w:line="280" w:lineRule="atLeast"/>
              <w:jc w:val="center"/>
              <w:rPr>
                <w:rFonts w:ascii="Tahoma" w:hAnsi="Tahoma" w:cs="Tahoma"/>
                <w:sz w:val="22"/>
                <w:szCs w:val="22"/>
              </w:rPr>
            </w:pPr>
          </w:p>
          <w:p w14:paraId="6F6808E4" w14:textId="77777777" w:rsidR="00675364" w:rsidRPr="00A652EA" w:rsidRDefault="00675364" w:rsidP="00C40E25">
            <w:pPr>
              <w:spacing w:line="280" w:lineRule="atLeast"/>
              <w:jc w:val="center"/>
              <w:rPr>
                <w:rFonts w:ascii="Tahoma" w:hAnsi="Tahoma" w:cs="Tahoma"/>
                <w:sz w:val="22"/>
                <w:szCs w:val="22"/>
              </w:rPr>
            </w:pPr>
            <w:r w:rsidRPr="00A652EA">
              <w:rPr>
                <w:rFonts w:ascii="Tahoma" w:hAnsi="Tahoma" w:cs="Tahoma"/>
                <w:sz w:val="22"/>
                <w:szCs w:val="22"/>
              </w:rPr>
              <w:t>Aplicação</w:t>
            </w:r>
          </w:p>
        </w:tc>
        <w:tc>
          <w:tcPr>
            <w:tcW w:w="2484" w:type="dxa"/>
            <w:shd w:val="clear" w:color="auto" w:fill="606060"/>
            <w:vAlign w:val="center"/>
          </w:tcPr>
          <w:p w14:paraId="0529FCB5" w14:textId="77777777" w:rsidR="00675364" w:rsidRPr="00A652EA" w:rsidRDefault="00675364" w:rsidP="00C40E25">
            <w:pPr>
              <w:spacing w:line="280" w:lineRule="atLeast"/>
              <w:jc w:val="center"/>
              <w:rPr>
                <w:rFonts w:ascii="Tahoma" w:hAnsi="Tahoma" w:cs="Tahoma"/>
                <w:b/>
                <w:color w:val="FFFFFF"/>
                <w:sz w:val="22"/>
                <w:szCs w:val="22"/>
              </w:rPr>
            </w:pPr>
            <w:r w:rsidRPr="00A652EA">
              <w:rPr>
                <w:rFonts w:ascii="Tahoma" w:hAnsi="Tahoma" w:cs="Tahoma"/>
                <w:b/>
                <w:color w:val="FFFFFF"/>
                <w:sz w:val="22"/>
                <w:szCs w:val="22"/>
              </w:rPr>
              <w:t>Disponibilidade dos Recursos</w:t>
            </w:r>
          </w:p>
        </w:tc>
        <w:tc>
          <w:tcPr>
            <w:tcW w:w="2791" w:type="dxa"/>
            <w:shd w:val="clear" w:color="auto" w:fill="606060"/>
            <w:vAlign w:val="center"/>
          </w:tcPr>
          <w:p w14:paraId="36D05231" w14:textId="77777777" w:rsidR="00675364" w:rsidRPr="00A652EA" w:rsidRDefault="00675364" w:rsidP="00C40E25">
            <w:pPr>
              <w:spacing w:line="280" w:lineRule="atLeast"/>
              <w:jc w:val="center"/>
              <w:rPr>
                <w:rFonts w:ascii="Tahoma" w:hAnsi="Tahoma" w:cs="Tahoma"/>
                <w:b/>
                <w:color w:val="FFFFFF"/>
                <w:sz w:val="22"/>
                <w:szCs w:val="22"/>
              </w:rPr>
            </w:pPr>
            <w:r w:rsidRPr="00A652EA">
              <w:rPr>
                <w:rFonts w:ascii="Tahoma" w:hAnsi="Tahoma" w:cs="Tahoma"/>
                <w:b/>
                <w:color w:val="FFFFFF"/>
                <w:sz w:val="22"/>
                <w:szCs w:val="22"/>
              </w:rPr>
              <w:t>Cota de conversão</w:t>
            </w:r>
          </w:p>
        </w:tc>
      </w:tr>
      <w:tr w:rsidR="00675364" w:rsidRPr="00A652EA" w14:paraId="3C30D133" w14:textId="77777777" w:rsidTr="00C40E25">
        <w:trPr>
          <w:trHeight w:val="553"/>
          <w:jc w:val="center"/>
        </w:trPr>
        <w:tc>
          <w:tcPr>
            <w:tcW w:w="1728" w:type="dxa"/>
            <w:vMerge/>
            <w:vAlign w:val="center"/>
          </w:tcPr>
          <w:p w14:paraId="75E6E838" w14:textId="77777777" w:rsidR="00675364" w:rsidRPr="00A652EA" w:rsidRDefault="00675364" w:rsidP="00C40E25">
            <w:pPr>
              <w:spacing w:line="280" w:lineRule="atLeast"/>
              <w:jc w:val="center"/>
              <w:rPr>
                <w:rFonts w:ascii="Tahoma" w:hAnsi="Tahoma" w:cs="Tahoma"/>
                <w:sz w:val="22"/>
                <w:szCs w:val="22"/>
              </w:rPr>
            </w:pPr>
          </w:p>
        </w:tc>
        <w:tc>
          <w:tcPr>
            <w:tcW w:w="2484" w:type="dxa"/>
            <w:vAlign w:val="center"/>
          </w:tcPr>
          <w:p w14:paraId="3667AC8C" w14:textId="77777777" w:rsidR="00675364" w:rsidRPr="00A652EA" w:rsidRDefault="00675364" w:rsidP="00C40E25">
            <w:pPr>
              <w:spacing w:line="280" w:lineRule="atLeast"/>
              <w:jc w:val="center"/>
              <w:rPr>
                <w:rFonts w:ascii="Tahoma" w:hAnsi="Tahoma" w:cs="Tahoma"/>
                <w:sz w:val="22"/>
                <w:szCs w:val="22"/>
              </w:rPr>
            </w:pPr>
            <w:r w:rsidRPr="00A652EA">
              <w:rPr>
                <w:rFonts w:ascii="Tahoma" w:hAnsi="Tahoma" w:cs="Tahoma"/>
                <w:sz w:val="22"/>
                <w:szCs w:val="22"/>
              </w:rPr>
              <w:t>D+0</w:t>
            </w:r>
          </w:p>
          <w:p w14:paraId="4253489B" w14:textId="77777777" w:rsidR="00675364" w:rsidRPr="00A652EA" w:rsidRDefault="00675364" w:rsidP="00C40E25">
            <w:pPr>
              <w:spacing w:line="280" w:lineRule="atLeast"/>
              <w:jc w:val="center"/>
              <w:rPr>
                <w:rFonts w:ascii="Tahoma" w:hAnsi="Tahoma" w:cs="Tahoma"/>
                <w:sz w:val="22"/>
                <w:szCs w:val="22"/>
              </w:rPr>
            </w:pPr>
            <w:r w:rsidRPr="00A652EA">
              <w:rPr>
                <w:rFonts w:ascii="Tahoma" w:hAnsi="Tahoma" w:cs="Tahoma"/>
                <w:sz w:val="22"/>
                <w:szCs w:val="22"/>
              </w:rPr>
              <w:t>No dia da solicitação</w:t>
            </w:r>
          </w:p>
        </w:tc>
        <w:tc>
          <w:tcPr>
            <w:tcW w:w="2791" w:type="dxa"/>
            <w:vAlign w:val="center"/>
          </w:tcPr>
          <w:p w14:paraId="101542AB" w14:textId="77777777" w:rsidR="00675364" w:rsidRPr="00A652EA" w:rsidRDefault="00675364" w:rsidP="00C40E25">
            <w:pPr>
              <w:spacing w:line="280" w:lineRule="atLeast"/>
              <w:jc w:val="center"/>
              <w:rPr>
                <w:rFonts w:ascii="Tahoma" w:hAnsi="Tahoma" w:cs="Tahoma"/>
                <w:sz w:val="22"/>
                <w:szCs w:val="22"/>
              </w:rPr>
            </w:pPr>
            <w:r w:rsidRPr="00A652EA">
              <w:rPr>
                <w:rFonts w:ascii="Tahoma" w:hAnsi="Tahoma" w:cs="Tahoma"/>
                <w:sz w:val="22"/>
                <w:szCs w:val="22"/>
              </w:rPr>
              <w:t>D+0</w:t>
            </w:r>
          </w:p>
          <w:p w14:paraId="1AAB643A" w14:textId="77777777" w:rsidR="00675364" w:rsidRPr="00A652EA" w:rsidRDefault="00675364" w:rsidP="00C40E25">
            <w:pPr>
              <w:spacing w:line="280" w:lineRule="atLeast"/>
              <w:jc w:val="center"/>
              <w:rPr>
                <w:rFonts w:ascii="Tahoma" w:hAnsi="Tahoma" w:cs="Tahoma"/>
                <w:sz w:val="22"/>
                <w:szCs w:val="22"/>
              </w:rPr>
            </w:pPr>
            <w:r w:rsidRPr="00A652EA">
              <w:rPr>
                <w:rFonts w:ascii="Tahoma" w:hAnsi="Tahoma" w:cs="Tahoma"/>
                <w:sz w:val="22"/>
                <w:szCs w:val="22"/>
              </w:rPr>
              <w:t>No dia da solicitação</w:t>
            </w:r>
          </w:p>
        </w:tc>
      </w:tr>
      <w:tr w:rsidR="00675364" w:rsidRPr="00A652EA" w14:paraId="64919AD5" w14:textId="77777777" w:rsidTr="00C40E25">
        <w:trPr>
          <w:trHeight w:val="419"/>
          <w:jc w:val="center"/>
        </w:trPr>
        <w:tc>
          <w:tcPr>
            <w:tcW w:w="1728" w:type="dxa"/>
            <w:vMerge w:val="restart"/>
            <w:vAlign w:val="center"/>
          </w:tcPr>
          <w:p w14:paraId="37D659FC" w14:textId="77777777" w:rsidR="00675364" w:rsidRPr="00A652EA" w:rsidRDefault="00675364" w:rsidP="00C40E25">
            <w:pPr>
              <w:spacing w:line="280" w:lineRule="atLeast"/>
              <w:jc w:val="center"/>
              <w:rPr>
                <w:rFonts w:ascii="Tahoma" w:hAnsi="Tahoma" w:cs="Tahoma"/>
                <w:sz w:val="22"/>
                <w:szCs w:val="22"/>
              </w:rPr>
            </w:pPr>
          </w:p>
          <w:p w14:paraId="3546E4D3" w14:textId="77777777" w:rsidR="00675364" w:rsidRPr="00A652EA" w:rsidRDefault="00675364" w:rsidP="00C40E25">
            <w:pPr>
              <w:spacing w:line="280" w:lineRule="atLeast"/>
              <w:jc w:val="center"/>
              <w:rPr>
                <w:rFonts w:ascii="Tahoma" w:hAnsi="Tahoma" w:cs="Tahoma"/>
                <w:sz w:val="22"/>
                <w:szCs w:val="22"/>
              </w:rPr>
            </w:pPr>
            <w:r w:rsidRPr="00A652EA">
              <w:rPr>
                <w:rFonts w:ascii="Tahoma" w:hAnsi="Tahoma" w:cs="Tahoma"/>
                <w:sz w:val="22"/>
                <w:szCs w:val="22"/>
              </w:rPr>
              <w:t>Resgate</w:t>
            </w:r>
          </w:p>
        </w:tc>
        <w:tc>
          <w:tcPr>
            <w:tcW w:w="2484" w:type="dxa"/>
            <w:shd w:val="clear" w:color="auto" w:fill="606060"/>
            <w:vAlign w:val="center"/>
          </w:tcPr>
          <w:p w14:paraId="7BC5490B" w14:textId="77777777" w:rsidR="00675364" w:rsidRPr="00A652EA" w:rsidRDefault="00675364" w:rsidP="00C40E25">
            <w:pPr>
              <w:spacing w:line="280" w:lineRule="atLeast"/>
              <w:jc w:val="center"/>
              <w:rPr>
                <w:rFonts w:ascii="Tahoma" w:hAnsi="Tahoma" w:cs="Tahoma"/>
                <w:b/>
                <w:color w:val="FFFFFF"/>
                <w:sz w:val="22"/>
                <w:szCs w:val="22"/>
              </w:rPr>
            </w:pPr>
            <w:r w:rsidRPr="00A652EA">
              <w:rPr>
                <w:rFonts w:ascii="Tahoma" w:hAnsi="Tahoma" w:cs="Tahoma"/>
                <w:b/>
                <w:color w:val="FFFFFF"/>
                <w:sz w:val="22"/>
                <w:szCs w:val="22"/>
              </w:rPr>
              <w:t>Cota de Conversão</w:t>
            </w:r>
          </w:p>
        </w:tc>
        <w:tc>
          <w:tcPr>
            <w:tcW w:w="2791" w:type="dxa"/>
            <w:shd w:val="clear" w:color="auto" w:fill="606060"/>
            <w:vAlign w:val="center"/>
          </w:tcPr>
          <w:p w14:paraId="5A901565" w14:textId="77777777" w:rsidR="00675364" w:rsidRPr="00A652EA" w:rsidRDefault="00675364" w:rsidP="00C40E25">
            <w:pPr>
              <w:spacing w:line="280" w:lineRule="atLeast"/>
              <w:jc w:val="center"/>
              <w:rPr>
                <w:rFonts w:ascii="Tahoma" w:hAnsi="Tahoma" w:cs="Tahoma"/>
                <w:b/>
                <w:color w:val="FFFFFF"/>
                <w:sz w:val="22"/>
                <w:szCs w:val="22"/>
              </w:rPr>
            </w:pPr>
            <w:r w:rsidRPr="00A652EA">
              <w:rPr>
                <w:rFonts w:ascii="Tahoma" w:hAnsi="Tahoma" w:cs="Tahoma"/>
                <w:b/>
                <w:color w:val="FFFFFF"/>
                <w:sz w:val="22"/>
                <w:szCs w:val="22"/>
              </w:rPr>
              <w:t>Pagamento / Crédito em Conta</w:t>
            </w:r>
          </w:p>
        </w:tc>
      </w:tr>
      <w:tr w:rsidR="00675364" w:rsidRPr="00A652EA" w14:paraId="36C6E4F8" w14:textId="77777777" w:rsidTr="00C40E25">
        <w:trPr>
          <w:jc w:val="center"/>
        </w:trPr>
        <w:tc>
          <w:tcPr>
            <w:tcW w:w="1728" w:type="dxa"/>
            <w:vMerge/>
            <w:vAlign w:val="center"/>
          </w:tcPr>
          <w:p w14:paraId="40EDC0BC" w14:textId="77777777" w:rsidR="00675364" w:rsidRPr="00A652EA" w:rsidRDefault="00675364" w:rsidP="00C40E25">
            <w:pPr>
              <w:spacing w:line="280" w:lineRule="atLeast"/>
              <w:jc w:val="center"/>
              <w:rPr>
                <w:rFonts w:ascii="Tahoma" w:hAnsi="Tahoma" w:cs="Tahoma"/>
                <w:sz w:val="22"/>
                <w:szCs w:val="22"/>
              </w:rPr>
            </w:pPr>
          </w:p>
        </w:tc>
        <w:tc>
          <w:tcPr>
            <w:tcW w:w="2484" w:type="dxa"/>
            <w:vAlign w:val="center"/>
          </w:tcPr>
          <w:p w14:paraId="7C07C096" w14:textId="77777777" w:rsidR="00675364" w:rsidRPr="00A652EA" w:rsidRDefault="00675364" w:rsidP="00C40E25">
            <w:pPr>
              <w:spacing w:line="280" w:lineRule="atLeast"/>
              <w:jc w:val="center"/>
              <w:rPr>
                <w:rFonts w:ascii="Tahoma" w:hAnsi="Tahoma" w:cs="Tahoma"/>
                <w:sz w:val="22"/>
                <w:szCs w:val="22"/>
              </w:rPr>
            </w:pPr>
            <w:r w:rsidRPr="00A652EA">
              <w:rPr>
                <w:rFonts w:ascii="Tahoma" w:hAnsi="Tahoma" w:cs="Tahoma"/>
                <w:sz w:val="22"/>
                <w:szCs w:val="22"/>
              </w:rPr>
              <w:t>D+0</w:t>
            </w:r>
          </w:p>
          <w:p w14:paraId="507447F5" w14:textId="77777777" w:rsidR="00675364" w:rsidRPr="00A652EA" w:rsidRDefault="00675364" w:rsidP="00C40E25">
            <w:pPr>
              <w:spacing w:line="280" w:lineRule="atLeast"/>
              <w:jc w:val="center"/>
              <w:rPr>
                <w:rFonts w:ascii="Tahoma" w:hAnsi="Tahoma" w:cs="Tahoma"/>
                <w:sz w:val="22"/>
                <w:szCs w:val="22"/>
              </w:rPr>
            </w:pPr>
            <w:r w:rsidRPr="00A652EA">
              <w:rPr>
                <w:rFonts w:ascii="Tahoma" w:hAnsi="Tahoma" w:cs="Tahoma"/>
                <w:sz w:val="22"/>
                <w:szCs w:val="22"/>
              </w:rPr>
              <w:t>No dia da solicitação</w:t>
            </w:r>
          </w:p>
        </w:tc>
        <w:tc>
          <w:tcPr>
            <w:tcW w:w="2791" w:type="dxa"/>
            <w:vAlign w:val="center"/>
          </w:tcPr>
          <w:p w14:paraId="17F95973" w14:textId="77777777" w:rsidR="00675364" w:rsidRPr="00A652EA" w:rsidRDefault="00675364" w:rsidP="00C40E25">
            <w:pPr>
              <w:spacing w:line="280" w:lineRule="atLeast"/>
              <w:jc w:val="center"/>
              <w:rPr>
                <w:rFonts w:ascii="Tahoma" w:hAnsi="Tahoma" w:cs="Tahoma"/>
                <w:sz w:val="22"/>
                <w:szCs w:val="22"/>
              </w:rPr>
            </w:pPr>
            <w:r w:rsidRPr="00A652EA">
              <w:rPr>
                <w:rFonts w:ascii="Tahoma" w:hAnsi="Tahoma" w:cs="Tahoma"/>
                <w:sz w:val="22"/>
                <w:szCs w:val="22"/>
              </w:rPr>
              <w:t>D+2</w:t>
            </w:r>
          </w:p>
          <w:p w14:paraId="53E94347" w14:textId="77777777" w:rsidR="00675364" w:rsidRPr="00A652EA" w:rsidRDefault="00675364" w:rsidP="00C40E25">
            <w:pPr>
              <w:spacing w:line="280" w:lineRule="atLeast"/>
              <w:jc w:val="center"/>
              <w:rPr>
                <w:rFonts w:ascii="Tahoma" w:hAnsi="Tahoma" w:cs="Tahoma"/>
                <w:sz w:val="22"/>
                <w:szCs w:val="22"/>
              </w:rPr>
            </w:pPr>
            <w:r w:rsidRPr="00A652EA">
              <w:rPr>
                <w:rFonts w:ascii="Tahoma" w:hAnsi="Tahoma" w:cs="Tahoma"/>
                <w:sz w:val="22"/>
                <w:szCs w:val="22"/>
              </w:rPr>
              <w:t>No 2º dia útil seguinte ao da conversão de cotas</w:t>
            </w:r>
            <w:r w:rsidRPr="00A652EA" w:rsidDel="00805EAE">
              <w:rPr>
                <w:rFonts w:ascii="Tahoma" w:hAnsi="Tahoma" w:cs="Tahoma"/>
                <w:sz w:val="22"/>
                <w:szCs w:val="22"/>
              </w:rPr>
              <w:t xml:space="preserve"> </w:t>
            </w:r>
          </w:p>
        </w:tc>
      </w:tr>
    </w:tbl>
    <w:p w14:paraId="074AC056" w14:textId="77777777" w:rsidR="00675364" w:rsidRPr="00A652EA" w:rsidRDefault="00675364" w:rsidP="00675364">
      <w:pPr>
        <w:spacing w:line="280" w:lineRule="atLeast"/>
        <w:jc w:val="both"/>
        <w:rPr>
          <w:rFonts w:ascii="Tahoma" w:hAnsi="Tahoma" w:cs="Tahoma"/>
          <w:sz w:val="22"/>
          <w:szCs w:val="22"/>
        </w:rPr>
      </w:pPr>
    </w:p>
    <w:p w14:paraId="59C1463C"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 xml:space="preserve">7.10. Os Fundos Investidos poderão ter prazos de conversão de cotas e/ou pagamento de resgates superiores aos estabelecidos para o FUNDO neste Regulamento ou, ainda, com procedimento de prévio agendamento para resgates. Caso haja solicitações de resgates no FUNDO que acarretem a necessidade de venda de cotas dos Fundos Investidos, o ADMINISTRADOR efetuará, conforme a disponibilidade de recursos do FUNDO, o pagamento parcial ou integral do resgate, observando a forma, condições e prazos de conversão e pagamento estabelecidos para os Fundos Investidos. </w:t>
      </w:r>
    </w:p>
    <w:p w14:paraId="66B03EF7" w14:textId="77777777" w:rsidR="00675364" w:rsidRPr="00A652EA" w:rsidRDefault="00675364" w:rsidP="00675364">
      <w:pPr>
        <w:spacing w:line="280" w:lineRule="atLeast"/>
        <w:jc w:val="both"/>
        <w:rPr>
          <w:rFonts w:ascii="Tahoma" w:hAnsi="Tahoma" w:cs="Tahoma"/>
          <w:sz w:val="22"/>
          <w:szCs w:val="22"/>
        </w:rPr>
      </w:pPr>
    </w:p>
    <w:p w14:paraId="126C7B66"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 xml:space="preserve">7.10.1 Ocorrendo o descumprimento da ordem de resgate por parte dos Fundos Investidos, o ADMINISTRADOR poderá ser obrigado a efetivar o resgate de cotas fora dos prazos previstos neste Regulamento. </w:t>
      </w:r>
    </w:p>
    <w:p w14:paraId="66C6C095" w14:textId="77777777" w:rsidR="00675364" w:rsidRPr="00A652EA" w:rsidRDefault="00675364" w:rsidP="00675364">
      <w:pPr>
        <w:spacing w:line="280" w:lineRule="atLeast"/>
        <w:jc w:val="both"/>
        <w:rPr>
          <w:rFonts w:ascii="Tahoma" w:hAnsi="Tahoma" w:cs="Tahoma"/>
          <w:sz w:val="22"/>
          <w:szCs w:val="22"/>
        </w:rPr>
      </w:pPr>
    </w:p>
    <w:p w14:paraId="71D70DBC"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pelo ADMINISTRADOR</w:t>
      </w:r>
      <w:r>
        <w:rPr>
          <w:rFonts w:ascii="Tahoma" w:hAnsi="Tahoma" w:cs="Tahoma"/>
          <w:sz w:val="22"/>
          <w:szCs w:val="22"/>
        </w:rPr>
        <w:t xml:space="preserve">, </w:t>
      </w:r>
      <w:r w:rsidRPr="00A652EA">
        <w:rPr>
          <w:rFonts w:ascii="Tahoma" w:hAnsi="Tahoma" w:cs="Tahoma"/>
          <w:sz w:val="22"/>
          <w:szCs w:val="22"/>
        </w:rPr>
        <w:t>sob pena de serem considerados como efetuados na próxima data disponível para solicitação de aplicação e/ou resgate.</w:t>
      </w:r>
    </w:p>
    <w:p w14:paraId="6236DDEE" w14:textId="77777777" w:rsidR="00675364" w:rsidRPr="00A652EA" w:rsidRDefault="00675364" w:rsidP="00675364">
      <w:pPr>
        <w:spacing w:line="280" w:lineRule="atLeast"/>
        <w:jc w:val="both"/>
        <w:rPr>
          <w:rFonts w:ascii="Tahoma" w:hAnsi="Tahoma" w:cs="Tahoma"/>
          <w:sz w:val="22"/>
          <w:szCs w:val="22"/>
        </w:rPr>
      </w:pPr>
    </w:p>
    <w:p w14:paraId="6DECDE62" w14:textId="77777777" w:rsidR="00675364" w:rsidRPr="00A652EA" w:rsidRDefault="00675364" w:rsidP="00675364">
      <w:pPr>
        <w:spacing w:line="280" w:lineRule="atLeast"/>
        <w:jc w:val="both"/>
        <w:rPr>
          <w:rFonts w:ascii="Tahoma" w:hAnsi="Tahoma" w:cs="Tahoma"/>
          <w:color w:val="000000"/>
          <w:sz w:val="22"/>
          <w:szCs w:val="22"/>
        </w:rPr>
      </w:pPr>
      <w:r w:rsidRPr="00A652EA">
        <w:rPr>
          <w:rFonts w:ascii="Tahoma" w:hAnsi="Tahoma" w:cs="Tahoma"/>
          <w:sz w:val="22"/>
          <w:szCs w:val="22"/>
        </w:rPr>
        <w:t>7.12. Não há prazo de carência para resgate de cotas do FUNDO, podendo as cotas do FUNDO ser resgatadas com rendimento a qualquer momento.</w:t>
      </w:r>
    </w:p>
    <w:p w14:paraId="331C3729" w14:textId="77777777" w:rsidR="00675364" w:rsidRPr="00A652EA" w:rsidRDefault="00675364" w:rsidP="00675364">
      <w:pPr>
        <w:spacing w:line="280" w:lineRule="atLeast"/>
        <w:jc w:val="both"/>
        <w:rPr>
          <w:rFonts w:ascii="Tahoma" w:hAnsi="Tahoma" w:cs="Tahoma"/>
          <w:sz w:val="22"/>
          <w:szCs w:val="22"/>
        </w:rPr>
      </w:pPr>
    </w:p>
    <w:p w14:paraId="5C7CE68D"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3EA59414" w14:textId="77777777" w:rsidR="00675364" w:rsidRPr="00A652EA" w:rsidRDefault="00675364" w:rsidP="00675364">
      <w:pPr>
        <w:spacing w:line="280" w:lineRule="atLeast"/>
        <w:jc w:val="both"/>
        <w:rPr>
          <w:rFonts w:ascii="Tahoma" w:hAnsi="Tahoma" w:cs="Tahoma"/>
          <w:sz w:val="22"/>
          <w:szCs w:val="22"/>
        </w:rPr>
      </w:pPr>
    </w:p>
    <w:p w14:paraId="712E8979"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215CC85E" w14:textId="77777777" w:rsidR="00675364" w:rsidRPr="00A652EA" w:rsidRDefault="00675364" w:rsidP="00675364">
      <w:pPr>
        <w:spacing w:line="280" w:lineRule="atLeast"/>
        <w:jc w:val="both"/>
        <w:rPr>
          <w:rFonts w:ascii="Tahoma" w:hAnsi="Tahoma" w:cs="Tahoma"/>
          <w:sz w:val="22"/>
          <w:szCs w:val="22"/>
        </w:rPr>
      </w:pPr>
    </w:p>
    <w:p w14:paraId="7F7F76B7" w14:textId="77777777" w:rsidR="00675364" w:rsidRPr="00A652EA" w:rsidRDefault="00675364" w:rsidP="00675364">
      <w:pPr>
        <w:pBdr>
          <w:bottom w:val="single" w:sz="6" w:space="1" w:color="auto"/>
        </w:pBdr>
        <w:spacing w:line="280" w:lineRule="atLeast"/>
        <w:jc w:val="center"/>
        <w:rPr>
          <w:rFonts w:ascii="Tahoma" w:hAnsi="Tahoma" w:cs="Tahoma"/>
          <w:b/>
          <w:sz w:val="22"/>
          <w:szCs w:val="22"/>
        </w:rPr>
      </w:pPr>
      <w:r w:rsidRPr="00A652EA">
        <w:rPr>
          <w:rFonts w:ascii="Tahoma" w:hAnsi="Tahoma" w:cs="Tahoma"/>
          <w:b/>
          <w:sz w:val="22"/>
          <w:szCs w:val="22"/>
        </w:rPr>
        <w:t>CLÁUSULA OITAVA – DA DISTRIBUIÇÃO DE RESULTADOS</w:t>
      </w:r>
    </w:p>
    <w:p w14:paraId="57FA5000" w14:textId="77777777" w:rsidR="00675364" w:rsidRPr="00A652EA" w:rsidRDefault="00675364" w:rsidP="00675364">
      <w:pPr>
        <w:spacing w:line="280" w:lineRule="atLeast"/>
        <w:jc w:val="both"/>
        <w:rPr>
          <w:rFonts w:ascii="Tahoma" w:hAnsi="Tahoma" w:cs="Tahoma"/>
          <w:sz w:val="22"/>
          <w:szCs w:val="22"/>
        </w:rPr>
      </w:pPr>
    </w:p>
    <w:p w14:paraId="38DC0437"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8.1. Os resultados oriundos dos Ativos Financeiros</w:t>
      </w:r>
      <w:r w:rsidRPr="00A652EA" w:rsidDel="00FA248C">
        <w:rPr>
          <w:rFonts w:ascii="Tahoma" w:hAnsi="Tahoma" w:cs="Tahoma"/>
          <w:sz w:val="22"/>
          <w:szCs w:val="22"/>
        </w:rPr>
        <w:t xml:space="preserve"> </w:t>
      </w:r>
      <w:r w:rsidRPr="00A652EA">
        <w:rPr>
          <w:rFonts w:ascii="Tahoma" w:hAnsi="Tahoma" w:cs="Tahoma"/>
          <w:sz w:val="22"/>
          <w:szCs w:val="22"/>
        </w:rPr>
        <w:t>integrantes da Carteira do FUNDO serão incorporados ao seu patrimônio.</w:t>
      </w:r>
    </w:p>
    <w:p w14:paraId="6B9A8141" w14:textId="77777777" w:rsidR="00675364" w:rsidRPr="00A652EA" w:rsidRDefault="00675364" w:rsidP="00675364">
      <w:pPr>
        <w:spacing w:line="280" w:lineRule="atLeast"/>
        <w:jc w:val="both"/>
        <w:rPr>
          <w:rFonts w:ascii="Tahoma" w:hAnsi="Tahoma" w:cs="Tahoma"/>
          <w:sz w:val="22"/>
          <w:szCs w:val="22"/>
        </w:rPr>
      </w:pPr>
    </w:p>
    <w:p w14:paraId="215D7B33" w14:textId="77777777" w:rsidR="00675364" w:rsidRPr="00A652EA" w:rsidRDefault="00675364" w:rsidP="00675364">
      <w:pPr>
        <w:pBdr>
          <w:bottom w:val="single" w:sz="6" w:space="1" w:color="auto"/>
        </w:pBdr>
        <w:spacing w:line="280" w:lineRule="atLeast"/>
        <w:jc w:val="center"/>
        <w:rPr>
          <w:rFonts w:ascii="Tahoma" w:hAnsi="Tahoma" w:cs="Tahoma"/>
          <w:b/>
          <w:sz w:val="22"/>
          <w:szCs w:val="22"/>
        </w:rPr>
      </w:pPr>
      <w:r w:rsidRPr="00A652EA">
        <w:rPr>
          <w:rFonts w:ascii="Tahoma" w:hAnsi="Tahoma" w:cs="Tahoma"/>
          <w:b/>
          <w:sz w:val="22"/>
          <w:szCs w:val="22"/>
        </w:rPr>
        <w:t>CLÁUSULA NONA</w:t>
      </w:r>
      <w:r>
        <w:rPr>
          <w:rFonts w:ascii="Tahoma" w:hAnsi="Tahoma" w:cs="Tahoma"/>
          <w:b/>
          <w:sz w:val="22"/>
          <w:szCs w:val="22"/>
        </w:rPr>
        <w:t xml:space="preserve"> </w:t>
      </w:r>
      <w:r w:rsidRPr="00A652EA">
        <w:rPr>
          <w:rFonts w:ascii="Tahoma" w:hAnsi="Tahoma" w:cs="Tahoma"/>
          <w:b/>
          <w:sz w:val="22"/>
          <w:szCs w:val="22"/>
        </w:rPr>
        <w:t>– DO EXERCÍCIO SOCIAL</w:t>
      </w:r>
    </w:p>
    <w:p w14:paraId="1A4C0C40" w14:textId="77777777" w:rsidR="00675364" w:rsidRPr="00A652EA" w:rsidRDefault="00675364" w:rsidP="00675364">
      <w:pPr>
        <w:spacing w:line="280" w:lineRule="atLeast"/>
        <w:jc w:val="both"/>
        <w:rPr>
          <w:rFonts w:ascii="Tahoma" w:hAnsi="Tahoma" w:cs="Tahoma"/>
          <w:sz w:val="22"/>
          <w:szCs w:val="22"/>
        </w:rPr>
      </w:pPr>
    </w:p>
    <w:p w14:paraId="727EB9FB" w14:textId="77777777" w:rsidR="00675364" w:rsidRPr="00A652EA" w:rsidRDefault="00675364" w:rsidP="00675364">
      <w:pPr>
        <w:spacing w:line="280" w:lineRule="atLeast"/>
        <w:jc w:val="both"/>
        <w:rPr>
          <w:rFonts w:ascii="Tahoma" w:hAnsi="Tahoma" w:cs="Tahoma"/>
          <w:sz w:val="22"/>
          <w:szCs w:val="22"/>
        </w:rPr>
      </w:pPr>
      <w:r w:rsidRPr="00A652EA">
        <w:rPr>
          <w:rFonts w:ascii="Tahoma" w:hAnsi="Tahoma" w:cs="Tahoma"/>
          <w:sz w:val="22"/>
          <w:szCs w:val="22"/>
        </w:rPr>
        <w:t xml:space="preserve">9.1. O exercício social do FUNDO terá início em 1º de janeiro de cada ano e término </w:t>
      </w:r>
      <w:r w:rsidRPr="00A652EA">
        <w:rPr>
          <w:rFonts w:ascii="Tahoma" w:hAnsi="Tahoma" w:cs="Tahoma"/>
          <w:color w:val="000000"/>
          <w:sz w:val="22"/>
          <w:szCs w:val="22"/>
        </w:rPr>
        <w:t>no último dia do mês de dezembro do mesmo ano</w:t>
      </w:r>
      <w:r w:rsidRPr="00A652EA">
        <w:rPr>
          <w:rFonts w:ascii="Tahoma" w:hAnsi="Tahoma" w:cs="Tahoma"/>
          <w:sz w:val="22"/>
          <w:szCs w:val="22"/>
        </w:rPr>
        <w:t>.</w:t>
      </w:r>
    </w:p>
    <w:p w14:paraId="02B1BE02" w14:textId="77777777" w:rsidR="00675364" w:rsidRPr="00A652EA" w:rsidRDefault="00675364" w:rsidP="00675364">
      <w:pPr>
        <w:spacing w:line="280" w:lineRule="atLeast"/>
        <w:jc w:val="both"/>
        <w:rPr>
          <w:rFonts w:ascii="Tahoma" w:hAnsi="Tahoma" w:cs="Tahoma"/>
          <w:sz w:val="22"/>
          <w:szCs w:val="22"/>
        </w:rPr>
      </w:pPr>
    </w:p>
    <w:p w14:paraId="77D314E3" w14:textId="77777777" w:rsidR="00675364" w:rsidRPr="00DD033D" w:rsidRDefault="00675364" w:rsidP="00675364">
      <w:pPr>
        <w:pBdr>
          <w:bottom w:val="single" w:sz="6" w:space="1" w:color="auto"/>
        </w:pBdr>
        <w:spacing w:line="280" w:lineRule="atLeast"/>
        <w:jc w:val="center"/>
        <w:rPr>
          <w:rFonts w:ascii="Tahoma" w:hAnsi="Tahoma" w:cs="Tahoma"/>
          <w:b/>
          <w:sz w:val="22"/>
          <w:szCs w:val="22"/>
        </w:rPr>
      </w:pPr>
      <w:r w:rsidRPr="00DD033D">
        <w:rPr>
          <w:rFonts w:ascii="Tahoma" w:hAnsi="Tahoma" w:cs="Tahoma"/>
          <w:b/>
          <w:sz w:val="22"/>
          <w:szCs w:val="22"/>
        </w:rPr>
        <w:t>CLÁUSULA DEZ – DA ASSEMBLEIA GERAL</w:t>
      </w:r>
    </w:p>
    <w:p w14:paraId="77D53137" w14:textId="77777777" w:rsidR="00675364" w:rsidRPr="00DD033D" w:rsidRDefault="00675364" w:rsidP="00675364">
      <w:pPr>
        <w:spacing w:line="280" w:lineRule="atLeast"/>
        <w:jc w:val="both"/>
        <w:rPr>
          <w:rFonts w:ascii="Tahoma" w:hAnsi="Tahoma" w:cs="Tahoma"/>
          <w:sz w:val="22"/>
          <w:szCs w:val="22"/>
        </w:rPr>
      </w:pPr>
    </w:p>
    <w:p w14:paraId="48CDF95A" w14:textId="77777777" w:rsidR="00675364" w:rsidRPr="00DD033D" w:rsidRDefault="00675364" w:rsidP="00675364">
      <w:pPr>
        <w:jc w:val="both"/>
        <w:rPr>
          <w:rFonts w:ascii="Tahoma" w:hAnsi="Tahoma" w:cs="Tahoma"/>
          <w:sz w:val="22"/>
          <w:szCs w:val="22"/>
        </w:rPr>
      </w:pPr>
      <w:r w:rsidRPr="00DD033D">
        <w:rPr>
          <w:rFonts w:ascii="Tahoma" w:hAnsi="Tahoma" w:cs="Tahoma"/>
          <w:sz w:val="22"/>
          <w:szCs w:val="22"/>
        </w:rPr>
        <w:t>10.1.</w:t>
      </w:r>
      <w:r w:rsidRPr="00DD033D">
        <w:rPr>
          <w:rFonts w:ascii="Tahoma" w:hAnsi="Tahoma" w:cs="Tahoma"/>
          <w:sz w:val="22"/>
          <w:szCs w:val="22"/>
        </w:rPr>
        <w:tab/>
        <w:t>Os Cotistas se reunirão anualmente, em até 120 dias após o encerramento do exercício social, para deliberar sobre as demonstrações contábeis do FUNDO, e, extraordinariamente, sempre que necessário.</w:t>
      </w:r>
    </w:p>
    <w:p w14:paraId="20E3BA9A" w14:textId="77777777" w:rsidR="00675364" w:rsidRPr="00DD033D" w:rsidRDefault="00675364" w:rsidP="00675364">
      <w:pPr>
        <w:jc w:val="both"/>
        <w:rPr>
          <w:rFonts w:ascii="Tahoma" w:hAnsi="Tahoma" w:cs="Tahoma"/>
          <w:sz w:val="22"/>
          <w:szCs w:val="22"/>
        </w:rPr>
      </w:pPr>
    </w:p>
    <w:p w14:paraId="5B7A75AB" w14:textId="77777777" w:rsidR="00675364" w:rsidRPr="00DD033D" w:rsidRDefault="00675364" w:rsidP="00675364">
      <w:pPr>
        <w:jc w:val="both"/>
        <w:rPr>
          <w:rFonts w:ascii="Tahoma" w:hAnsi="Tahoma" w:cs="Tahoma"/>
          <w:sz w:val="22"/>
          <w:szCs w:val="22"/>
        </w:rPr>
      </w:pPr>
      <w:r w:rsidRPr="00DD033D">
        <w:rPr>
          <w:rFonts w:ascii="Tahoma" w:hAnsi="Tahoma" w:cs="Tahoma"/>
          <w:sz w:val="22"/>
          <w:szCs w:val="22"/>
        </w:rPr>
        <w:t>10.2.</w:t>
      </w:r>
      <w:r w:rsidRPr="00DD033D">
        <w:rPr>
          <w:rFonts w:ascii="Tahoma" w:hAnsi="Tahoma" w:cs="Tahoma"/>
          <w:sz w:val="22"/>
          <w:szCs w:val="22"/>
        </w:rPr>
        <w:tab/>
        <w:t xml:space="preserve">A convocação da Assembleia Geral far-se-á com, no mínimo, 10 dias de antecedência da data da realização da Assembleia Geral, por meio de correspondência, escrita ou eletrônica, encaminhada a cada um dos Cotistas. </w:t>
      </w:r>
    </w:p>
    <w:p w14:paraId="04010528" w14:textId="77777777" w:rsidR="00675364" w:rsidRPr="00DD033D" w:rsidRDefault="00675364" w:rsidP="00675364">
      <w:pPr>
        <w:jc w:val="both"/>
        <w:rPr>
          <w:rFonts w:ascii="Tahoma" w:hAnsi="Tahoma" w:cs="Tahoma"/>
          <w:sz w:val="22"/>
          <w:szCs w:val="22"/>
        </w:rPr>
      </w:pPr>
    </w:p>
    <w:p w14:paraId="362F6F74" w14:textId="77777777" w:rsidR="00675364" w:rsidRPr="00DD033D" w:rsidRDefault="00675364" w:rsidP="00675364">
      <w:pPr>
        <w:jc w:val="both"/>
        <w:rPr>
          <w:rFonts w:ascii="Tahoma" w:hAnsi="Tahoma" w:cs="Tahoma"/>
          <w:sz w:val="22"/>
          <w:szCs w:val="22"/>
        </w:rPr>
      </w:pPr>
      <w:r w:rsidRPr="00DD033D">
        <w:rPr>
          <w:rFonts w:ascii="Tahoma" w:hAnsi="Tahoma" w:cs="Tahoma"/>
          <w:sz w:val="22"/>
          <w:szCs w:val="22"/>
        </w:rPr>
        <w:t>10.3.</w:t>
      </w:r>
      <w:r w:rsidRPr="00DD033D">
        <w:rPr>
          <w:rFonts w:ascii="Tahoma" w:hAnsi="Tahoma" w:cs="Tahoma"/>
          <w:sz w:val="22"/>
          <w:szCs w:val="22"/>
        </w:rPr>
        <w:tab/>
        <w:t>Das convocações constarão, obrigatoriamente, dia, hora e local em que será realizada a assembleia e, ainda, todas as matérias a serem deliberadas.</w:t>
      </w:r>
    </w:p>
    <w:p w14:paraId="54D37727" w14:textId="77777777" w:rsidR="00675364" w:rsidRPr="00DD033D" w:rsidRDefault="00675364" w:rsidP="00675364">
      <w:pPr>
        <w:widowControl w:val="0"/>
        <w:jc w:val="both"/>
        <w:rPr>
          <w:rFonts w:ascii="Tahoma" w:hAnsi="Tahoma" w:cs="Tahoma"/>
          <w:sz w:val="22"/>
          <w:szCs w:val="22"/>
        </w:rPr>
      </w:pPr>
    </w:p>
    <w:p w14:paraId="4F8EEDFB" w14:textId="77777777" w:rsidR="00675364" w:rsidRPr="00DD033D" w:rsidRDefault="00675364" w:rsidP="00675364">
      <w:pPr>
        <w:jc w:val="both"/>
        <w:rPr>
          <w:rFonts w:ascii="Tahoma" w:hAnsi="Tahoma" w:cs="Tahoma"/>
          <w:sz w:val="22"/>
          <w:szCs w:val="22"/>
        </w:rPr>
      </w:pPr>
      <w:r w:rsidRPr="00DD033D">
        <w:rPr>
          <w:rFonts w:ascii="Tahoma" w:hAnsi="Tahoma" w:cs="Tahoma"/>
          <w:sz w:val="22"/>
          <w:szCs w:val="22"/>
        </w:rPr>
        <w:t>10.4.</w:t>
      </w:r>
      <w:r w:rsidRPr="00DD033D">
        <w:rPr>
          <w:rFonts w:ascii="Tahoma" w:hAnsi="Tahoma" w:cs="Tahoma"/>
          <w:sz w:val="22"/>
          <w:szCs w:val="22"/>
        </w:rPr>
        <w:tab/>
        <w:t xml:space="preserve">A Assembleia Geral poderá ser convocada pelo ADMINISTRADOR, pelo GESTOR, pelo CUSTODIANTE ou </w:t>
      </w:r>
      <w:proofErr w:type="gramStart"/>
      <w:r w:rsidRPr="00DD033D">
        <w:rPr>
          <w:rFonts w:ascii="Tahoma" w:hAnsi="Tahoma" w:cs="Tahoma"/>
          <w:sz w:val="22"/>
          <w:szCs w:val="22"/>
        </w:rPr>
        <w:t>por Cotistas</w:t>
      </w:r>
      <w:proofErr w:type="gramEnd"/>
      <w:r w:rsidRPr="00DD033D">
        <w:rPr>
          <w:rFonts w:ascii="Tahoma" w:hAnsi="Tahoma" w:cs="Tahoma"/>
          <w:sz w:val="22"/>
          <w:szCs w:val="22"/>
        </w:rPr>
        <w:t xml:space="preserve"> que detenham, no mínimo, 5% do total das cotas emitidas pelo FUNDO e poderá ser instalada com qualquer número de Cotistas, cabendo a cada cota um voto. </w:t>
      </w:r>
    </w:p>
    <w:p w14:paraId="394C95B8" w14:textId="77777777" w:rsidR="00675364" w:rsidRPr="00DD033D" w:rsidRDefault="00675364" w:rsidP="00675364">
      <w:pPr>
        <w:jc w:val="both"/>
        <w:rPr>
          <w:rFonts w:ascii="Tahoma" w:hAnsi="Tahoma" w:cs="Tahoma"/>
          <w:sz w:val="22"/>
          <w:szCs w:val="22"/>
        </w:rPr>
      </w:pPr>
    </w:p>
    <w:p w14:paraId="4A187E06" w14:textId="77777777" w:rsidR="00675364" w:rsidRPr="00DD033D" w:rsidRDefault="00675364" w:rsidP="00675364">
      <w:pPr>
        <w:jc w:val="both"/>
        <w:rPr>
          <w:rFonts w:ascii="Tahoma" w:hAnsi="Tahoma" w:cs="Tahoma"/>
          <w:sz w:val="22"/>
          <w:szCs w:val="22"/>
        </w:rPr>
      </w:pPr>
      <w:r w:rsidRPr="00DD033D">
        <w:rPr>
          <w:rFonts w:ascii="Tahoma" w:hAnsi="Tahoma" w:cs="Tahoma"/>
          <w:sz w:val="22"/>
          <w:szCs w:val="22"/>
        </w:rPr>
        <w:t>10.5.</w:t>
      </w:r>
      <w:r w:rsidRPr="00DD033D">
        <w:rPr>
          <w:rFonts w:ascii="Tahoma" w:hAnsi="Tahoma" w:cs="Tahoma"/>
          <w:sz w:val="22"/>
          <w:szCs w:val="22"/>
        </w:rPr>
        <w:tab/>
        <w:t xml:space="preserve">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w:t>
      </w:r>
      <w:proofErr w:type="gramStart"/>
      <w:r w:rsidRPr="00DD033D">
        <w:rPr>
          <w:rFonts w:ascii="Tahoma" w:hAnsi="Tahoma" w:cs="Tahoma"/>
          <w:sz w:val="22"/>
          <w:szCs w:val="22"/>
        </w:rPr>
        <w:t>de Cotistas</w:t>
      </w:r>
      <w:proofErr w:type="gramEnd"/>
      <w:r w:rsidRPr="00DD033D">
        <w:rPr>
          <w:rFonts w:ascii="Tahoma" w:hAnsi="Tahoma" w:cs="Tahoma"/>
          <w:sz w:val="22"/>
          <w:szCs w:val="22"/>
        </w:rPr>
        <w:t xml:space="preserve"> representando, no mínimo, dois terços das cotas emitidas pelo FUNDO.</w:t>
      </w:r>
    </w:p>
    <w:p w14:paraId="28A77F47" w14:textId="77777777" w:rsidR="00675364" w:rsidRPr="00DD033D" w:rsidRDefault="00675364" w:rsidP="00675364">
      <w:pPr>
        <w:jc w:val="both"/>
        <w:rPr>
          <w:rFonts w:ascii="Tahoma" w:hAnsi="Tahoma" w:cs="Tahoma"/>
          <w:sz w:val="22"/>
          <w:szCs w:val="22"/>
        </w:rPr>
      </w:pPr>
    </w:p>
    <w:p w14:paraId="3CCA8B21" w14:textId="77777777" w:rsidR="00675364" w:rsidRPr="00DD033D" w:rsidRDefault="00675364" w:rsidP="00675364">
      <w:pPr>
        <w:jc w:val="both"/>
        <w:rPr>
          <w:rFonts w:ascii="Tahoma" w:hAnsi="Tahoma" w:cs="Tahoma"/>
          <w:sz w:val="22"/>
          <w:szCs w:val="22"/>
        </w:rPr>
      </w:pPr>
      <w:r w:rsidRPr="00DD033D">
        <w:rPr>
          <w:rFonts w:ascii="Tahoma" w:hAnsi="Tahoma" w:cs="Tahoma"/>
          <w:sz w:val="22"/>
          <w:szCs w:val="22"/>
        </w:rPr>
        <w:t>10.6.</w:t>
      </w:r>
      <w:r w:rsidRPr="00DD033D">
        <w:rPr>
          <w:rFonts w:ascii="Tahoma" w:hAnsi="Tahoma" w:cs="Tahoma"/>
          <w:sz w:val="22"/>
          <w:szCs w:val="22"/>
        </w:rPr>
        <w:tab/>
        <w:t xml:space="preserve">Estarão aptos para votar na Assembleia Geral os Cotistas do Fundo inscritos no registro </w:t>
      </w:r>
      <w:proofErr w:type="gramStart"/>
      <w:r w:rsidRPr="00DD033D">
        <w:rPr>
          <w:rFonts w:ascii="Tahoma" w:hAnsi="Tahoma" w:cs="Tahoma"/>
          <w:sz w:val="22"/>
          <w:szCs w:val="22"/>
        </w:rPr>
        <w:t>de Cotistas</w:t>
      </w:r>
      <w:proofErr w:type="gramEnd"/>
      <w:r w:rsidRPr="00DD033D">
        <w:rPr>
          <w:rFonts w:ascii="Tahoma" w:hAnsi="Tahoma" w:cs="Tahoma"/>
          <w:sz w:val="22"/>
          <w:szCs w:val="22"/>
        </w:rPr>
        <w:t xml:space="preserve"> na data da convocação da Assembleia Geral, seus representantes legais ou procuradores legalmente constituídos há menos de 1 ano.</w:t>
      </w:r>
    </w:p>
    <w:p w14:paraId="41483DA4" w14:textId="77777777" w:rsidR="00675364" w:rsidRPr="00DD033D" w:rsidRDefault="00675364" w:rsidP="00675364">
      <w:pPr>
        <w:jc w:val="both"/>
        <w:rPr>
          <w:rFonts w:ascii="Tahoma" w:hAnsi="Tahoma" w:cs="Tahoma"/>
          <w:sz w:val="22"/>
          <w:szCs w:val="22"/>
        </w:rPr>
      </w:pPr>
    </w:p>
    <w:p w14:paraId="0B718F74" w14:textId="77777777" w:rsidR="00675364" w:rsidRPr="00DD033D" w:rsidRDefault="00675364" w:rsidP="00675364">
      <w:pPr>
        <w:jc w:val="both"/>
        <w:rPr>
          <w:rFonts w:ascii="Tahoma" w:hAnsi="Tahoma" w:cs="Tahoma"/>
          <w:sz w:val="22"/>
          <w:szCs w:val="22"/>
        </w:rPr>
      </w:pPr>
      <w:r w:rsidRPr="00DD033D">
        <w:rPr>
          <w:rFonts w:ascii="Tahoma" w:hAnsi="Tahoma" w:cs="Tahoma"/>
          <w:sz w:val="22"/>
          <w:szCs w:val="22"/>
        </w:rPr>
        <w:t>10.7.</w:t>
      </w:r>
      <w:r w:rsidRPr="00DD033D">
        <w:rPr>
          <w:rFonts w:ascii="Tahoma" w:hAnsi="Tahoma" w:cs="Tahoma"/>
          <w:sz w:val="22"/>
          <w:szCs w:val="22"/>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1E990493" w14:textId="77777777" w:rsidR="00675364" w:rsidRPr="00DD033D" w:rsidRDefault="00675364" w:rsidP="00675364">
      <w:pPr>
        <w:jc w:val="both"/>
        <w:rPr>
          <w:rFonts w:ascii="Tahoma" w:hAnsi="Tahoma" w:cs="Tahoma"/>
          <w:sz w:val="22"/>
          <w:szCs w:val="22"/>
        </w:rPr>
      </w:pPr>
    </w:p>
    <w:p w14:paraId="6F512E0D" w14:textId="77777777" w:rsidR="00675364" w:rsidRPr="00DD033D" w:rsidRDefault="00675364" w:rsidP="00675364">
      <w:pPr>
        <w:spacing w:line="280" w:lineRule="atLeast"/>
        <w:jc w:val="both"/>
        <w:rPr>
          <w:rFonts w:ascii="Tahoma" w:hAnsi="Tahoma" w:cs="Tahoma"/>
          <w:iCs/>
          <w:sz w:val="22"/>
          <w:szCs w:val="22"/>
        </w:rPr>
      </w:pPr>
      <w:r w:rsidRPr="00DD033D">
        <w:rPr>
          <w:rFonts w:ascii="Tahoma" w:hAnsi="Tahoma" w:cs="Tahoma"/>
          <w:sz w:val="22"/>
          <w:szCs w:val="22"/>
        </w:rPr>
        <w:t>10.8.</w:t>
      </w:r>
      <w:r w:rsidRPr="00DD033D">
        <w:rPr>
          <w:rFonts w:ascii="Tahoma" w:hAnsi="Tahoma" w:cs="Tahoma"/>
          <w:sz w:val="22"/>
          <w:szCs w:val="22"/>
        </w:rPr>
        <w:tab/>
        <w:t xml:space="preserve"> </w:t>
      </w:r>
      <w:r w:rsidRPr="00DD033D">
        <w:rPr>
          <w:rFonts w:ascii="Tahoma" w:hAnsi="Tahoma" w:cs="Tahoma"/>
          <w:iCs/>
          <w:sz w:val="22"/>
          <w:szCs w:val="22"/>
        </w:rPr>
        <w:t xml:space="preserve">As deliberações da Assembleia Geral poderão ser tomadas mediante processo escrito de consulta formal pelo ADMINISTRADOR, por meio físico ou eletrônico, sem a necessidade de uma reunião. </w:t>
      </w:r>
    </w:p>
    <w:p w14:paraId="1860A0D6" w14:textId="77777777" w:rsidR="00675364" w:rsidRPr="00DD033D" w:rsidRDefault="00675364" w:rsidP="00675364">
      <w:pPr>
        <w:spacing w:line="280" w:lineRule="atLeast"/>
        <w:jc w:val="both"/>
        <w:rPr>
          <w:rFonts w:ascii="Tahoma" w:hAnsi="Tahoma" w:cs="Tahoma"/>
          <w:iCs/>
          <w:sz w:val="22"/>
          <w:szCs w:val="22"/>
        </w:rPr>
      </w:pPr>
    </w:p>
    <w:p w14:paraId="4E06EBD0" w14:textId="77777777" w:rsidR="00675364" w:rsidRPr="00DD033D" w:rsidRDefault="00675364" w:rsidP="00675364">
      <w:pPr>
        <w:spacing w:line="280" w:lineRule="atLeast"/>
        <w:jc w:val="both"/>
        <w:rPr>
          <w:rFonts w:ascii="Tahoma" w:hAnsi="Tahoma" w:cs="Tahoma"/>
          <w:iCs/>
          <w:sz w:val="22"/>
          <w:szCs w:val="22"/>
        </w:rPr>
      </w:pPr>
      <w:r w:rsidRPr="00DD033D">
        <w:rPr>
          <w:rFonts w:ascii="Tahoma" w:hAnsi="Tahoma" w:cs="Tahoma"/>
          <w:iCs/>
          <w:sz w:val="22"/>
          <w:szCs w:val="22"/>
        </w:rPr>
        <w:t>10.8.1. Da consulta formal deverão constar todas as informações necessárias para o exercício de voto dos Cotistas.</w:t>
      </w:r>
    </w:p>
    <w:p w14:paraId="7A915BA2" w14:textId="77777777" w:rsidR="00675364" w:rsidRPr="00DD033D" w:rsidRDefault="00675364" w:rsidP="00675364">
      <w:pPr>
        <w:spacing w:line="280" w:lineRule="atLeast"/>
        <w:jc w:val="both"/>
        <w:rPr>
          <w:rFonts w:ascii="Tahoma" w:hAnsi="Tahoma" w:cs="Tahoma"/>
          <w:iCs/>
          <w:sz w:val="22"/>
          <w:szCs w:val="22"/>
        </w:rPr>
      </w:pPr>
    </w:p>
    <w:p w14:paraId="35754439" w14:textId="77777777" w:rsidR="00675364" w:rsidRPr="00DD033D" w:rsidRDefault="00675364" w:rsidP="00675364">
      <w:pPr>
        <w:spacing w:line="280" w:lineRule="atLeast"/>
        <w:jc w:val="both"/>
        <w:rPr>
          <w:rFonts w:ascii="Tahoma" w:hAnsi="Tahoma" w:cs="Tahoma"/>
          <w:iCs/>
          <w:sz w:val="22"/>
          <w:szCs w:val="22"/>
        </w:rPr>
      </w:pPr>
      <w:r w:rsidRPr="00DD033D">
        <w:rPr>
          <w:rFonts w:ascii="Tahoma" w:hAnsi="Tahoma" w:cs="Tahoma"/>
          <w:iCs/>
          <w:sz w:val="22"/>
          <w:szCs w:val="22"/>
        </w:rPr>
        <w:t xml:space="preserve">10.8.2. Na hipótese prevista no item 10.8 será concedido aos Cotistas o prazo mínimo de 10 dias corridos para manifestação, a contar da data da emissão da consulta. </w:t>
      </w:r>
    </w:p>
    <w:p w14:paraId="6EC7079C" w14:textId="77777777" w:rsidR="00675364" w:rsidRPr="00DD033D" w:rsidRDefault="00675364" w:rsidP="00675364">
      <w:pPr>
        <w:spacing w:line="280" w:lineRule="atLeast"/>
        <w:jc w:val="both"/>
        <w:rPr>
          <w:rFonts w:ascii="Tahoma" w:hAnsi="Tahoma" w:cs="Tahoma"/>
          <w:iCs/>
          <w:sz w:val="22"/>
          <w:szCs w:val="22"/>
        </w:rPr>
      </w:pPr>
    </w:p>
    <w:p w14:paraId="647BE1C2" w14:textId="77777777" w:rsidR="00675364" w:rsidRPr="00DD033D" w:rsidRDefault="00675364" w:rsidP="00675364">
      <w:pPr>
        <w:spacing w:line="280" w:lineRule="atLeast"/>
        <w:jc w:val="both"/>
        <w:rPr>
          <w:rFonts w:ascii="Tahoma" w:hAnsi="Tahoma" w:cs="Tahoma"/>
          <w:sz w:val="22"/>
          <w:szCs w:val="22"/>
        </w:rPr>
      </w:pPr>
      <w:r w:rsidRPr="00DD033D">
        <w:rPr>
          <w:rFonts w:ascii="Tahoma" w:hAnsi="Tahoma" w:cs="Tahoma"/>
          <w:iCs/>
          <w:sz w:val="22"/>
          <w:szCs w:val="22"/>
        </w:rPr>
        <w:t xml:space="preserve">10.8.3. A assembleia geral </w:t>
      </w:r>
      <w:proofErr w:type="gramStart"/>
      <w:r w:rsidRPr="00DD033D">
        <w:rPr>
          <w:rFonts w:ascii="Tahoma" w:hAnsi="Tahoma" w:cs="Tahoma"/>
          <w:iCs/>
          <w:sz w:val="22"/>
          <w:szCs w:val="22"/>
        </w:rPr>
        <w:t>de Cotistas</w:t>
      </w:r>
      <w:proofErr w:type="gramEnd"/>
      <w:r w:rsidRPr="00DD033D">
        <w:rPr>
          <w:rFonts w:ascii="Tahoma" w:hAnsi="Tahoma" w:cs="Tahoma"/>
          <w:iCs/>
          <w:sz w:val="22"/>
          <w:szCs w:val="22"/>
        </w:rPr>
        <w:t xml:space="preserve"> realizada mediante consulta formal poderá ser instalada com qualquer número de Cotistas, de modo que as deliberações serão tomadas por maioria de votos enviados ao ADMINISTRADOR, cabendo a cada cota 1 voto.</w:t>
      </w:r>
    </w:p>
    <w:p w14:paraId="7F90B381" w14:textId="77777777" w:rsidR="00675364" w:rsidRPr="00DD033D" w:rsidRDefault="00675364" w:rsidP="00675364">
      <w:pPr>
        <w:spacing w:line="280" w:lineRule="atLeast"/>
        <w:jc w:val="both"/>
        <w:rPr>
          <w:rFonts w:ascii="Tahoma" w:hAnsi="Tahoma" w:cs="Tahoma"/>
          <w:sz w:val="22"/>
          <w:szCs w:val="22"/>
        </w:rPr>
      </w:pPr>
    </w:p>
    <w:p w14:paraId="6D434882" w14:textId="77777777" w:rsidR="00675364" w:rsidRPr="00DD033D" w:rsidRDefault="00675364" w:rsidP="00675364">
      <w:pPr>
        <w:pBdr>
          <w:bottom w:val="single" w:sz="6" w:space="1" w:color="auto"/>
        </w:pBdr>
        <w:spacing w:line="280" w:lineRule="atLeast"/>
        <w:jc w:val="center"/>
        <w:rPr>
          <w:rFonts w:ascii="Tahoma" w:hAnsi="Tahoma" w:cs="Tahoma"/>
          <w:b/>
          <w:sz w:val="22"/>
          <w:szCs w:val="22"/>
        </w:rPr>
      </w:pPr>
      <w:r w:rsidRPr="00DD033D">
        <w:rPr>
          <w:rFonts w:ascii="Tahoma" w:hAnsi="Tahoma" w:cs="Tahoma"/>
          <w:b/>
          <w:sz w:val="22"/>
          <w:szCs w:val="22"/>
        </w:rPr>
        <w:t>CLÁUSULA ONZE – DA TRIBUTAÇÃO</w:t>
      </w:r>
    </w:p>
    <w:p w14:paraId="49418BC0" w14:textId="77777777" w:rsidR="00675364" w:rsidRPr="00DD033D" w:rsidRDefault="00675364" w:rsidP="00675364">
      <w:pPr>
        <w:spacing w:line="280" w:lineRule="atLeast"/>
        <w:jc w:val="both"/>
        <w:rPr>
          <w:rFonts w:ascii="Tahoma" w:hAnsi="Tahoma" w:cs="Tahoma"/>
          <w:sz w:val="22"/>
          <w:szCs w:val="22"/>
        </w:rPr>
      </w:pPr>
    </w:p>
    <w:p w14:paraId="729B2D92" w14:textId="77777777" w:rsidR="00675364" w:rsidRPr="00DD033D" w:rsidRDefault="00675364" w:rsidP="00675364">
      <w:pPr>
        <w:jc w:val="both"/>
        <w:rPr>
          <w:rFonts w:ascii="Tahoma" w:hAnsi="Tahoma" w:cs="Tahoma"/>
          <w:sz w:val="22"/>
          <w:szCs w:val="22"/>
        </w:rPr>
      </w:pPr>
      <w:r w:rsidRPr="00DD033D">
        <w:rPr>
          <w:rFonts w:ascii="Tahoma" w:hAnsi="Tahoma" w:cs="Tahoma"/>
          <w:sz w:val="22"/>
          <w:szCs w:val="22"/>
        </w:rPr>
        <w:t>11.1.</w:t>
      </w:r>
      <w:r w:rsidRPr="00DD033D">
        <w:rPr>
          <w:rFonts w:ascii="Tahoma" w:hAnsi="Tahoma" w:cs="Tahoma"/>
          <w:sz w:val="22"/>
          <w:szCs w:val="22"/>
        </w:rPr>
        <w:tab/>
        <w:t xml:space="preserve">O GESTOR buscará manter a CARTEIRA de ativos do FUNDO com prazo médio superior a 365 dias ou investir em cotas de fundos de investimento, conforme o caso, visando possibilitar o tratamento tributário </w:t>
      </w:r>
      <w:r w:rsidRPr="00DD033D">
        <w:rPr>
          <w:rFonts w:ascii="Tahoma" w:hAnsi="Tahoma" w:cs="Tahoma"/>
          <w:sz w:val="22"/>
          <w:szCs w:val="22"/>
        </w:rPr>
        <w:lastRenderedPageBreak/>
        <w:t>de longo prazo conforme metodologia da Secretaria da Receita Federal. Contudo, não há garantia de que o Fundo terá tratamento fiscal de longo prazo, existindo o risco de aplicar a tributação dos fundos de investimento de curto prazo.</w:t>
      </w:r>
    </w:p>
    <w:p w14:paraId="46303EA9" w14:textId="77777777" w:rsidR="00675364" w:rsidRPr="00DD033D" w:rsidRDefault="00675364" w:rsidP="00675364">
      <w:pPr>
        <w:spacing w:line="280" w:lineRule="atLeast"/>
        <w:jc w:val="both"/>
        <w:rPr>
          <w:rFonts w:ascii="Tahoma" w:hAnsi="Tahoma" w:cs="Tahoma"/>
          <w:sz w:val="22"/>
          <w:szCs w:val="22"/>
        </w:rPr>
      </w:pPr>
    </w:p>
    <w:p w14:paraId="43E0C6B7" w14:textId="77777777" w:rsidR="00675364" w:rsidRPr="00DD033D" w:rsidRDefault="00675364" w:rsidP="00675364">
      <w:pPr>
        <w:spacing w:line="280" w:lineRule="atLeast"/>
        <w:jc w:val="both"/>
        <w:rPr>
          <w:rFonts w:ascii="Tahoma" w:hAnsi="Tahoma" w:cs="Tahoma"/>
          <w:sz w:val="22"/>
          <w:szCs w:val="22"/>
        </w:rPr>
      </w:pPr>
      <w:r w:rsidRPr="00DD033D">
        <w:rPr>
          <w:rFonts w:ascii="Tahoma" w:hAnsi="Tahoma" w:cs="Tahoma"/>
          <w:sz w:val="22"/>
          <w:szCs w:val="22"/>
        </w:rPr>
        <w:t>11.2.</w:t>
      </w:r>
      <w:r w:rsidRPr="00DD033D">
        <w:rPr>
          <w:rFonts w:ascii="Tahoma" w:hAnsi="Tahoma" w:cs="Tahoma"/>
          <w:sz w:val="22"/>
          <w:szCs w:val="22"/>
        </w:rPr>
        <w:tab/>
        <w:t xml:space="preserve">Os rendimentos das aplicações dos Cotistas, em fundos de investimento de longo prazo estarão sujeitos às tributações:(i) no resgate ou na amortização de cotas, a contar da aplicação, o rendimento produzido sofrerá a incidência do IR às alíquotas de: (a) 22,5% quando efetuado até 180 dias; (b) 20% quando efetuado após 180 dias até 360 dias; (c) 17,5% quando efetuado após 360 dias até 720 dias; e (d) 15% quando efetuado após 720 dias. </w:t>
      </w:r>
    </w:p>
    <w:p w14:paraId="213434D9" w14:textId="77777777" w:rsidR="00675364" w:rsidRPr="00DD033D" w:rsidRDefault="00675364" w:rsidP="00675364">
      <w:pPr>
        <w:spacing w:line="280" w:lineRule="atLeast"/>
        <w:jc w:val="both"/>
        <w:rPr>
          <w:rFonts w:ascii="Tahoma" w:hAnsi="Tahoma" w:cs="Tahoma"/>
          <w:sz w:val="22"/>
          <w:szCs w:val="22"/>
        </w:rPr>
      </w:pPr>
    </w:p>
    <w:p w14:paraId="6ADC1E8E" w14:textId="77777777" w:rsidR="00675364" w:rsidRPr="00DD033D" w:rsidRDefault="00675364" w:rsidP="00675364">
      <w:pPr>
        <w:spacing w:line="280" w:lineRule="atLeast"/>
        <w:jc w:val="both"/>
        <w:rPr>
          <w:rFonts w:ascii="Tahoma" w:hAnsi="Tahoma" w:cs="Tahoma"/>
          <w:sz w:val="22"/>
          <w:szCs w:val="22"/>
        </w:rPr>
      </w:pPr>
      <w:r w:rsidRPr="00DD033D">
        <w:rPr>
          <w:rFonts w:ascii="Tahoma" w:hAnsi="Tahoma" w:cs="Tahoma"/>
          <w:sz w:val="22"/>
          <w:szCs w:val="22"/>
        </w:rPr>
        <w:t>11.3.</w:t>
      </w:r>
      <w:r w:rsidRPr="00DD033D">
        <w:rPr>
          <w:rFonts w:ascii="Tahoma" w:hAnsi="Tahoma" w:cs="Tahoma"/>
          <w:sz w:val="22"/>
          <w:szCs w:val="22"/>
        </w:rPr>
        <w:tab/>
        <w:t xml:space="preserve">IOF/Títulos: Como regra, não há incidência em razão do prazo de duração do Fundo ser superior a 30 dias. Contudo, na hipótese de eventuais resgates ocorridos nos primeiros 30 dias a contar da data da aplicação, há incidência de IOF, conforme Anexo do Decreto 6306/2007. </w:t>
      </w:r>
    </w:p>
    <w:p w14:paraId="198D107E" w14:textId="77777777" w:rsidR="00675364" w:rsidRPr="00DD033D" w:rsidRDefault="00675364" w:rsidP="00675364">
      <w:pPr>
        <w:spacing w:line="280" w:lineRule="atLeast"/>
        <w:jc w:val="both"/>
        <w:rPr>
          <w:rFonts w:ascii="Tahoma" w:hAnsi="Tahoma" w:cs="Tahoma"/>
          <w:sz w:val="22"/>
          <w:szCs w:val="22"/>
        </w:rPr>
      </w:pPr>
    </w:p>
    <w:p w14:paraId="53BE829F" w14:textId="77777777" w:rsidR="00675364" w:rsidRPr="00DD033D" w:rsidRDefault="00675364" w:rsidP="00675364">
      <w:pPr>
        <w:spacing w:line="280" w:lineRule="atLeast"/>
        <w:jc w:val="both"/>
        <w:rPr>
          <w:rFonts w:ascii="Tahoma" w:hAnsi="Tahoma" w:cs="Tahoma"/>
          <w:sz w:val="22"/>
          <w:szCs w:val="22"/>
        </w:rPr>
      </w:pPr>
      <w:r w:rsidRPr="00DD033D">
        <w:rPr>
          <w:rFonts w:ascii="Tahoma" w:hAnsi="Tahoma" w:cs="Tahoma"/>
          <w:sz w:val="22"/>
          <w:szCs w:val="22"/>
        </w:rPr>
        <w:t>11.4.</w:t>
      </w:r>
      <w:r w:rsidRPr="00DD033D">
        <w:rPr>
          <w:rFonts w:ascii="Tahoma" w:hAnsi="Tahoma" w:cs="Tahoma"/>
          <w:sz w:val="22"/>
          <w:szCs w:val="22"/>
        </w:rPr>
        <w:tab/>
        <w:t xml:space="preserve">Em situação adversa, a CARTEIRA do FUNDO poderá ter o prazo médio inferior a 365 dias, de modo que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w:t>
      </w:r>
    </w:p>
    <w:p w14:paraId="4EA5E73A" w14:textId="77777777" w:rsidR="00675364" w:rsidRPr="00DD033D" w:rsidRDefault="00675364" w:rsidP="00675364">
      <w:pPr>
        <w:spacing w:line="280" w:lineRule="atLeast"/>
        <w:jc w:val="both"/>
        <w:rPr>
          <w:rFonts w:ascii="Tahoma" w:hAnsi="Tahoma" w:cs="Tahoma"/>
          <w:sz w:val="22"/>
          <w:szCs w:val="22"/>
        </w:rPr>
      </w:pPr>
    </w:p>
    <w:p w14:paraId="4DA47143" w14:textId="77777777" w:rsidR="00675364" w:rsidRPr="00DD033D" w:rsidRDefault="00675364" w:rsidP="00675364">
      <w:pPr>
        <w:spacing w:line="280" w:lineRule="atLeast"/>
        <w:jc w:val="both"/>
        <w:rPr>
          <w:rFonts w:ascii="Tahoma" w:hAnsi="Tahoma" w:cs="Tahoma"/>
          <w:sz w:val="22"/>
          <w:szCs w:val="22"/>
        </w:rPr>
      </w:pPr>
      <w:r w:rsidRPr="00DD033D">
        <w:rPr>
          <w:rFonts w:ascii="Tahoma" w:hAnsi="Tahoma" w:cs="Tahoma"/>
          <w:sz w:val="22"/>
          <w:szCs w:val="22"/>
        </w:rPr>
        <w:t>11.5.</w:t>
      </w:r>
      <w:r w:rsidRPr="00DD033D">
        <w:rPr>
          <w:rFonts w:ascii="Tahoma" w:hAnsi="Tahoma" w:cs="Tahoma"/>
          <w:sz w:val="22"/>
          <w:szCs w:val="22"/>
        </w:rPr>
        <w:tab/>
        <w:t xml:space="preserve">Na hipótese de alienação de cotas pelos Cotistas a terceiros, o ganho líquido (diferença positiva entre o preço de venda e o respectivo custo de aquisição) auferido está sujeito ao imposto de renda, à alíquota de 15%. Neste caso, o imposto de renda será apurado e pago pelo próprio cotista. </w:t>
      </w:r>
    </w:p>
    <w:p w14:paraId="389A0556" w14:textId="77777777" w:rsidR="00675364" w:rsidRPr="00DD033D" w:rsidRDefault="00675364" w:rsidP="00675364">
      <w:pPr>
        <w:spacing w:line="280" w:lineRule="atLeast"/>
        <w:jc w:val="both"/>
        <w:rPr>
          <w:rFonts w:ascii="Tahoma" w:hAnsi="Tahoma" w:cs="Tahoma"/>
          <w:sz w:val="22"/>
          <w:szCs w:val="22"/>
        </w:rPr>
      </w:pPr>
    </w:p>
    <w:p w14:paraId="07CB8099" w14:textId="77777777" w:rsidR="00675364" w:rsidRPr="00DD033D" w:rsidRDefault="00675364" w:rsidP="00675364">
      <w:pPr>
        <w:spacing w:line="280" w:lineRule="atLeast"/>
        <w:jc w:val="both"/>
        <w:rPr>
          <w:rFonts w:ascii="Tahoma" w:hAnsi="Tahoma" w:cs="Tahoma"/>
          <w:sz w:val="22"/>
          <w:szCs w:val="22"/>
        </w:rPr>
      </w:pPr>
      <w:r w:rsidRPr="00DD033D">
        <w:rPr>
          <w:rFonts w:ascii="Tahoma" w:hAnsi="Tahoma" w:cs="Tahoma"/>
          <w:sz w:val="22"/>
          <w:szCs w:val="22"/>
        </w:rPr>
        <w:t>11.6.</w:t>
      </w:r>
      <w:r w:rsidRPr="00DD033D">
        <w:rPr>
          <w:rFonts w:ascii="Tahoma" w:hAnsi="Tahoma" w:cs="Tahoma"/>
          <w:sz w:val="22"/>
          <w:szCs w:val="22"/>
        </w:rPr>
        <w:tab/>
        <w:t xml:space="preserve">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w:t>
      </w:r>
    </w:p>
    <w:p w14:paraId="25112495" w14:textId="77777777" w:rsidR="00675364" w:rsidRPr="00DD033D" w:rsidRDefault="00675364" w:rsidP="00675364">
      <w:pPr>
        <w:spacing w:line="280" w:lineRule="atLeast"/>
        <w:jc w:val="both"/>
        <w:rPr>
          <w:rFonts w:ascii="Tahoma" w:hAnsi="Tahoma" w:cs="Tahoma"/>
          <w:sz w:val="22"/>
          <w:szCs w:val="22"/>
        </w:rPr>
      </w:pPr>
    </w:p>
    <w:p w14:paraId="1DB5280C" w14:textId="77777777" w:rsidR="00675364" w:rsidRPr="00DD033D" w:rsidRDefault="00675364" w:rsidP="00675364">
      <w:pPr>
        <w:spacing w:line="280" w:lineRule="atLeast"/>
        <w:jc w:val="both"/>
        <w:rPr>
          <w:rFonts w:ascii="Tahoma" w:hAnsi="Tahoma" w:cs="Tahoma"/>
          <w:sz w:val="22"/>
          <w:szCs w:val="22"/>
        </w:rPr>
      </w:pPr>
      <w:r w:rsidRPr="00DD033D">
        <w:rPr>
          <w:rFonts w:ascii="Tahoma" w:hAnsi="Tahoma" w:cs="Tahoma"/>
          <w:sz w:val="22"/>
          <w:szCs w:val="22"/>
        </w:rPr>
        <w:t>11.7.</w:t>
      </w:r>
      <w:r w:rsidRPr="00DD033D">
        <w:rPr>
          <w:rFonts w:ascii="Tahoma" w:hAnsi="Tahoma" w:cs="Tahoma"/>
          <w:sz w:val="22"/>
          <w:szCs w:val="22"/>
        </w:rPr>
        <w:tab/>
        <w:t>A CARTEIRA do FUNDO está isenta de IR e sujeita à alíquota zero de IOF.</w:t>
      </w:r>
    </w:p>
    <w:p w14:paraId="49CE0583" w14:textId="77777777" w:rsidR="00675364" w:rsidRPr="00DD033D" w:rsidRDefault="00675364" w:rsidP="00675364">
      <w:pPr>
        <w:spacing w:line="280" w:lineRule="atLeast"/>
        <w:jc w:val="both"/>
        <w:rPr>
          <w:rFonts w:ascii="Tahoma" w:hAnsi="Tahoma" w:cs="Tahoma"/>
          <w:sz w:val="22"/>
          <w:szCs w:val="22"/>
        </w:rPr>
      </w:pPr>
    </w:p>
    <w:p w14:paraId="7FB6526B" w14:textId="77777777" w:rsidR="00675364" w:rsidRPr="00DD033D" w:rsidRDefault="00675364" w:rsidP="00675364">
      <w:pPr>
        <w:pBdr>
          <w:bottom w:val="single" w:sz="6" w:space="1" w:color="auto"/>
        </w:pBdr>
        <w:spacing w:line="280" w:lineRule="atLeast"/>
        <w:jc w:val="center"/>
        <w:rPr>
          <w:rFonts w:ascii="Tahoma" w:hAnsi="Tahoma" w:cs="Tahoma"/>
          <w:b/>
          <w:sz w:val="22"/>
          <w:szCs w:val="22"/>
        </w:rPr>
      </w:pPr>
      <w:r w:rsidRPr="00DD033D">
        <w:rPr>
          <w:rFonts w:ascii="Tahoma" w:hAnsi="Tahoma" w:cs="Tahoma"/>
          <w:b/>
          <w:sz w:val="22"/>
          <w:szCs w:val="22"/>
        </w:rPr>
        <w:t>CLÁUSULA DOZE – EXERCÍCIO DO DIREITO DE VOTO</w:t>
      </w:r>
    </w:p>
    <w:p w14:paraId="1084DF4A" w14:textId="77777777" w:rsidR="00675364" w:rsidRPr="00DD033D" w:rsidRDefault="00675364" w:rsidP="00675364">
      <w:pPr>
        <w:spacing w:line="280" w:lineRule="atLeast"/>
        <w:jc w:val="both"/>
        <w:rPr>
          <w:rFonts w:ascii="Tahoma" w:hAnsi="Tahoma" w:cs="Tahoma"/>
          <w:sz w:val="22"/>
          <w:szCs w:val="22"/>
        </w:rPr>
      </w:pPr>
    </w:p>
    <w:p w14:paraId="5476DCA5" w14:textId="77777777" w:rsidR="00675364" w:rsidRPr="00DD033D" w:rsidRDefault="00675364" w:rsidP="00675364">
      <w:pPr>
        <w:spacing w:line="280" w:lineRule="atLeast"/>
        <w:jc w:val="both"/>
        <w:rPr>
          <w:rFonts w:ascii="Tahoma" w:hAnsi="Tahoma" w:cs="Tahoma"/>
          <w:sz w:val="22"/>
          <w:szCs w:val="22"/>
        </w:rPr>
      </w:pPr>
      <w:r w:rsidRPr="00DD033D">
        <w:rPr>
          <w:rFonts w:ascii="Tahoma" w:hAnsi="Tahoma" w:cs="Tahoma"/>
          <w:sz w:val="22"/>
          <w:szCs w:val="22"/>
        </w:rPr>
        <w:t>12.1.</w:t>
      </w:r>
      <w:r w:rsidRPr="00DD033D">
        <w:rPr>
          <w:rFonts w:ascii="Tahoma" w:hAnsi="Tahoma" w:cs="Tahoma"/>
          <w:sz w:val="22"/>
          <w:szCs w:val="22"/>
        </w:rPr>
        <w:tab/>
        <w:t>O GESTOR adota política de exercício de direito de voto (“Política de Voto”) em assembleias de companhias e/ou fundos de investimento nas quais o FUNDO detenha participação, conforme condições descritas na Política de Voto disponível no site www.santander.com.br.</w:t>
      </w:r>
    </w:p>
    <w:p w14:paraId="6EFB79B5" w14:textId="77777777" w:rsidR="00675364" w:rsidRPr="00DD033D" w:rsidRDefault="00675364" w:rsidP="00675364">
      <w:pPr>
        <w:spacing w:line="280" w:lineRule="atLeast"/>
        <w:jc w:val="both"/>
        <w:rPr>
          <w:rFonts w:ascii="Tahoma" w:hAnsi="Tahoma" w:cs="Tahoma"/>
          <w:sz w:val="22"/>
          <w:szCs w:val="22"/>
        </w:rPr>
      </w:pPr>
    </w:p>
    <w:p w14:paraId="407917CE" w14:textId="77777777" w:rsidR="00675364" w:rsidRPr="00DD033D" w:rsidRDefault="00675364" w:rsidP="00675364">
      <w:pPr>
        <w:spacing w:line="280" w:lineRule="atLeast"/>
        <w:jc w:val="both"/>
        <w:rPr>
          <w:rFonts w:ascii="Tahoma" w:hAnsi="Tahoma" w:cs="Tahoma"/>
          <w:sz w:val="22"/>
          <w:szCs w:val="22"/>
        </w:rPr>
      </w:pPr>
      <w:r w:rsidRPr="00DD033D">
        <w:rPr>
          <w:rFonts w:ascii="Tahoma" w:hAnsi="Tahoma" w:cs="Tahoma"/>
          <w:sz w:val="22"/>
          <w:szCs w:val="22"/>
        </w:rPr>
        <w:t>12.2.</w:t>
      </w:r>
      <w:r w:rsidRPr="00DD033D">
        <w:rPr>
          <w:rFonts w:ascii="Tahoma" w:hAnsi="Tahoma" w:cs="Tahoma"/>
          <w:sz w:val="22"/>
          <w:szCs w:val="22"/>
        </w:rPr>
        <w:tab/>
        <w:t>O objetivo da Política de Voto é estabelecer os requisitos e os princípios que nortearão o GESTOR no exercício do direito de voto, na qualidade de representante dos fundos de investimento sob sua gestão.</w:t>
      </w:r>
    </w:p>
    <w:p w14:paraId="009307D7" w14:textId="77777777" w:rsidR="00675364" w:rsidRPr="00DD033D" w:rsidRDefault="00675364" w:rsidP="00675364">
      <w:pPr>
        <w:spacing w:line="280" w:lineRule="atLeast"/>
        <w:jc w:val="both"/>
        <w:rPr>
          <w:rFonts w:ascii="Tahoma" w:hAnsi="Tahoma" w:cs="Tahoma"/>
          <w:sz w:val="22"/>
          <w:szCs w:val="22"/>
        </w:rPr>
      </w:pPr>
    </w:p>
    <w:p w14:paraId="23A079F4" w14:textId="77777777" w:rsidR="00675364" w:rsidRPr="00C40E25" w:rsidRDefault="00675364" w:rsidP="00675364">
      <w:pPr>
        <w:pBdr>
          <w:bottom w:val="single" w:sz="6" w:space="1" w:color="auto"/>
        </w:pBdr>
        <w:spacing w:line="280" w:lineRule="atLeast"/>
        <w:jc w:val="both"/>
        <w:rPr>
          <w:rFonts w:ascii="Tahoma" w:hAnsi="Tahoma"/>
          <w:b/>
          <w:sz w:val="22"/>
          <w:szCs w:val="22"/>
        </w:rPr>
      </w:pPr>
      <w:r w:rsidRPr="00DD033D">
        <w:rPr>
          <w:rFonts w:ascii="Tahoma" w:hAnsi="Tahoma" w:cs="Tahoma"/>
          <w:sz w:val="22"/>
          <w:szCs w:val="22"/>
        </w:rPr>
        <w:t>12.3.</w:t>
      </w:r>
      <w:r w:rsidRPr="00DD033D">
        <w:rPr>
          <w:rFonts w:ascii="Tahoma" w:hAnsi="Tahoma" w:cs="Tahoma"/>
          <w:sz w:val="22"/>
          <w:szCs w:val="22"/>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5E735DFB" w14:textId="77777777" w:rsidR="00675364" w:rsidRPr="00C40E25" w:rsidRDefault="00675364" w:rsidP="00675364">
      <w:pPr>
        <w:pBdr>
          <w:bottom w:val="single" w:sz="6" w:space="1" w:color="auto"/>
        </w:pBdr>
        <w:spacing w:line="280" w:lineRule="atLeast"/>
        <w:jc w:val="center"/>
        <w:rPr>
          <w:rFonts w:ascii="Tahoma" w:hAnsi="Tahoma"/>
          <w:b/>
          <w:sz w:val="22"/>
          <w:szCs w:val="22"/>
        </w:rPr>
      </w:pPr>
    </w:p>
    <w:p w14:paraId="0AE95172" w14:textId="77777777" w:rsidR="00675364" w:rsidRPr="00C40E25" w:rsidRDefault="00675364" w:rsidP="00675364">
      <w:pPr>
        <w:pBdr>
          <w:bottom w:val="single" w:sz="6" w:space="1" w:color="auto"/>
        </w:pBdr>
        <w:spacing w:line="280" w:lineRule="atLeast"/>
        <w:jc w:val="center"/>
        <w:rPr>
          <w:rFonts w:ascii="Tahoma" w:hAnsi="Tahoma"/>
          <w:b/>
          <w:sz w:val="22"/>
          <w:szCs w:val="22"/>
        </w:rPr>
      </w:pPr>
      <w:r w:rsidRPr="00C40E25">
        <w:rPr>
          <w:rFonts w:ascii="Tahoma" w:hAnsi="Tahoma"/>
          <w:b/>
          <w:sz w:val="22"/>
          <w:szCs w:val="22"/>
        </w:rPr>
        <w:t>CLÁUSULA TREZE – DAS DISPOSIÇÕES GERAIS</w:t>
      </w:r>
    </w:p>
    <w:p w14:paraId="33E649BF" w14:textId="77777777" w:rsidR="00675364" w:rsidRPr="00C40E25" w:rsidRDefault="00675364" w:rsidP="00675364">
      <w:pPr>
        <w:spacing w:line="280" w:lineRule="atLeast"/>
        <w:jc w:val="both"/>
        <w:rPr>
          <w:rFonts w:ascii="Tahoma" w:hAnsi="Tahoma"/>
          <w:sz w:val="22"/>
          <w:szCs w:val="22"/>
        </w:rPr>
      </w:pPr>
    </w:p>
    <w:p w14:paraId="24A7FB3B" w14:textId="77777777" w:rsidR="00675364" w:rsidRPr="00C40E25" w:rsidRDefault="00675364" w:rsidP="00675364">
      <w:pPr>
        <w:spacing w:line="280" w:lineRule="atLeast"/>
        <w:jc w:val="both"/>
        <w:rPr>
          <w:rFonts w:ascii="Tahoma" w:hAnsi="Tahoma"/>
          <w:sz w:val="22"/>
          <w:szCs w:val="22"/>
        </w:rPr>
      </w:pPr>
    </w:p>
    <w:p w14:paraId="5B5DCDEA" w14:textId="77777777" w:rsidR="00675364" w:rsidRPr="00C40E25" w:rsidRDefault="00675364" w:rsidP="00675364">
      <w:pPr>
        <w:spacing w:line="280" w:lineRule="atLeast"/>
        <w:jc w:val="both"/>
        <w:rPr>
          <w:rFonts w:ascii="Tahoma" w:hAnsi="Tahoma"/>
          <w:sz w:val="22"/>
          <w:szCs w:val="22"/>
        </w:rPr>
      </w:pPr>
      <w:r w:rsidRPr="00C40E25">
        <w:rPr>
          <w:rFonts w:ascii="Tahoma" w:hAnsi="Tahoma"/>
          <w:sz w:val="22"/>
          <w:szCs w:val="22"/>
        </w:rPr>
        <w:t>13.1. As informações ou documentos relacionados ao FUNDO serão comunicados, enviados, divulgados e/ou disponibilizados pelo ADMINISTRADOR aos Cotistas, ou por eles acessados, por meio físico ou por meio de canais eletrônicos, inclusive pela rede mundial de computadores.</w:t>
      </w:r>
    </w:p>
    <w:p w14:paraId="38B16ECA" w14:textId="77777777" w:rsidR="00675364" w:rsidRPr="00C40E25" w:rsidRDefault="00675364" w:rsidP="00675364">
      <w:pPr>
        <w:spacing w:line="280" w:lineRule="atLeast"/>
        <w:jc w:val="both"/>
        <w:rPr>
          <w:rFonts w:ascii="Tahoma" w:hAnsi="Tahoma"/>
          <w:sz w:val="22"/>
          <w:szCs w:val="22"/>
        </w:rPr>
      </w:pPr>
    </w:p>
    <w:p w14:paraId="09F3FAA0" w14:textId="77777777" w:rsidR="00675364" w:rsidRPr="00C40E25" w:rsidRDefault="00675364" w:rsidP="00675364">
      <w:pPr>
        <w:spacing w:line="280" w:lineRule="atLeast"/>
        <w:jc w:val="both"/>
        <w:rPr>
          <w:rFonts w:ascii="Tahoma" w:hAnsi="Tahoma"/>
          <w:sz w:val="22"/>
          <w:szCs w:val="22"/>
        </w:rPr>
      </w:pPr>
      <w:r w:rsidRPr="00C40E25">
        <w:rPr>
          <w:rFonts w:ascii="Tahoma" w:hAnsi="Tahoma"/>
          <w:sz w:val="22"/>
          <w:szCs w:val="22"/>
        </w:rPr>
        <w:t>13.1.1. Quando as informações ou documentos relacionados ao FUNDO forem comunicados, enviados, divulgados e/ou disponibilizados por meio físico, os custos serão arcados pelo FUNDO.</w:t>
      </w:r>
    </w:p>
    <w:p w14:paraId="6FE28B49" w14:textId="77777777" w:rsidR="00675364" w:rsidRPr="00C40E25" w:rsidRDefault="00675364" w:rsidP="00675364">
      <w:pPr>
        <w:spacing w:line="280" w:lineRule="atLeast"/>
        <w:jc w:val="both"/>
        <w:rPr>
          <w:rFonts w:ascii="Tahoma" w:hAnsi="Tahoma"/>
          <w:sz w:val="22"/>
          <w:szCs w:val="22"/>
        </w:rPr>
      </w:pPr>
    </w:p>
    <w:p w14:paraId="61067471" w14:textId="77777777" w:rsidR="00675364" w:rsidRPr="00C40E25" w:rsidRDefault="00675364" w:rsidP="00675364">
      <w:pPr>
        <w:spacing w:line="280" w:lineRule="atLeast"/>
        <w:jc w:val="both"/>
        <w:rPr>
          <w:rFonts w:ascii="Tahoma" w:hAnsi="Tahoma"/>
          <w:sz w:val="22"/>
          <w:szCs w:val="22"/>
        </w:rPr>
      </w:pPr>
      <w:r w:rsidRPr="00C40E25">
        <w:rPr>
          <w:rFonts w:ascii="Tahoma" w:hAnsi="Tahoma"/>
          <w:sz w:val="22"/>
          <w:szCs w:val="22"/>
        </w:rPr>
        <w:lastRenderedPageBreak/>
        <w:t>13.2.</w:t>
      </w:r>
      <w:r w:rsidRPr="00C40E25">
        <w:rPr>
          <w:rFonts w:ascii="Tahoma" w:hAnsi="Tahoma"/>
          <w:sz w:val="22"/>
          <w:szCs w:val="22"/>
        </w:rPr>
        <w:tab/>
        <w:t>Admite-se, nas hipóteses em que este Regulamento exija a “ciência”, “atesto”, “manifestação de voto” ou “concordância” dos Cotistas, que estes se deem por meio eletrônico.</w:t>
      </w:r>
    </w:p>
    <w:p w14:paraId="4FADF5E1" w14:textId="77777777" w:rsidR="00675364" w:rsidRPr="00C40E25" w:rsidRDefault="00675364" w:rsidP="00675364">
      <w:pPr>
        <w:spacing w:line="280" w:lineRule="atLeast"/>
        <w:jc w:val="both"/>
        <w:rPr>
          <w:rFonts w:ascii="Tahoma" w:hAnsi="Tahoma"/>
          <w:sz w:val="22"/>
          <w:szCs w:val="22"/>
        </w:rPr>
      </w:pPr>
    </w:p>
    <w:p w14:paraId="5FBEA8FB" w14:textId="77777777" w:rsidR="00675364" w:rsidRPr="00C40E25" w:rsidRDefault="00675364" w:rsidP="00675364">
      <w:pPr>
        <w:spacing w:line="280" w:lineRule="atLeast"/>
        <w:jc w:val="both"/>
        <w:rPr>
          <w:rFonts w:ascii="Tahoma" w:hAnsi="Tahoma"/>
          <w:sz w:val="22"/>
          <w:szCs w:val="22"/>
        </w:rPr>
      </w:pPr>
      <w:r w:rsidRPr="00C40E25">
        <w:rPr>
          <w:rFonts w:ascii="Tahoma" w:hAnsi="Tahoma"/>
          <w:sz w:val="22"/>
          <w:szCs w:val="22"/>
        </w:rPr>
        <w:t>13.3. O atendimento aos Cotistas para receber e encaminhar questões relacionadas ao Fundo será realizado por meio da Central de Atendimento do Santander, pelos seguintes meios:</w:t>
      </w:r>
    </w:p>
    <w:p w14:paraId="306582C5" w14:textId="77777777" w:rsidR="00675364" w:rsidRPr="00C40E25" w:rsidRDefault="00675364" w:rsidP="00675364">
      <w:pPr>
        <w:spacing w:line="280" w:lineRule="atLeast"/>
        <w:jc w:val="both"/>
        <w:rPr>
          <w:rFonts w:ascii="Tahoma" w:hAnsi="Tahoma"/>
          <w:sz w:val="22"/>
          <w:szCs w:val="22"/>
        </w:rPr>
      </w:pPr>
    </w:p>
    <w:p w14:paraId="41569463" w14:textId="77777777" w:rsidR="00675364" w:rsidRPr="00C40E25" w:rsidRDefault="00675364" w:rsidP="00675364">
      <w:pPr>
        <w:spacing w:line="280" w:lineRule="atLeast"/>
        <w:jc w:val="both"/>
        <w:rPr>
          <w:rFonts w:ascii="Tahoma" w:hAnsi="Tahoma"/>
          <w:sz w:val="22"/>
          <w:szCs w:val="22"/>
        </w:rPr>
      </w:pPr>
      <w:r w:rsidRPr="00C40E25">
        <w:rPr>
          <w:rFonts w:ascii="Tahoma" w:hAnsi="Tahoma"/>
          <w:sz w:val="22"/>
          <w:szCs w:val="22"/>
        </w:rPr>
        <w:t>Capitais e Regiões Metropolitanas: 4004-3535</w:t>
      </w:r>
    </w:p>
    <w:p w14:paraId="3187651E" w14:textId="77777777" w:rsidR="00675364" w:rsidRPr="00C40E25" w:rsidRDefault="00675364" w:rsidP="00675364">
      <w:pPr>
        <w:spacing w:line="280" w:lineRule="atLeast"/>
        <w:jc w:val="both"/>
        <w:rPr>
          <w:rFonts w:ascii="Tahoma" w:hAnsi="Tahoma"/>
          <w:sz w:val="22"/>
          <w:szCs w:val="22"/>
        </w:rPr>
      </w:pPr>
      <w:r w:rsidRPr="00C40E25">
        <w:rPr>
          <w:rFonts w:ascii="Tahoma" w:hAnsi="Tahoma"/>
          <w:sz w:val="22"/>
          <w:szCs w:val="22"/>
        </w:rPr>
        <w:t>Demais localidades: 0800-702-3535</w:t>
      </w:r>
    </w:p>
    <w:p w14:paraId="323F10DB" w14:textId="77777777" w:rsidR="00675364" w:rsidRPr="00C40E25" w:rsidRDefault="00675364" w:rsidP="00675364">
      <w:pPr>
        <w:spacing w:line="280" w:lineRule="atLeast"/>
        <w:jc w:val="both"/>
        <w:rPr>
          <w:rFonts w:ascii="Tahoma" w:hAnsi="Tahoma"/>
          <w:sz w:val="22"/>
          <w:szCs w:val="22"/>
        </w:rPr>
      </w:pPr>
      <w:r w:rsidRPr="00C40E25">
        <w:rPr>
          <w:rFonts w:ascii="Tahoma" w:hAnsi="Tahoma"/>
          <w:sz w:val="22"/>
          <w:szCs w:val="22"/>
        </w:rPr>
        <w:t>Serviço de Apoio ao Consumidor – SAC: 0800-762-7777</w:t>
      </w:r>
    </w:p>
    <w:p w14:paraId="38767D0C" w14:textId="77777777" w:rsidR="00675364" w:rsidRPr="00C40E25" w:rsidRDefault="00675364" w:rsidP="00675364">
      <w:pPr>
        <w:spacing w:line="280" w:lineRule="atLeast"/>
        <w:jc w:val="both"/>
        <w:rPr>
          <w:rFonts w:ascii="Tahoma" w:hAnsi="Tahoma"/>
          <w:sz w:val="22"/>
          <w:szCs w:val="22"/>
        </w:rPr>
      </w:pPr>
      <w:r w:rsidRPr="00C40E25">
        <w:rPr>
          <w:rFonts w:ascii="Tahoma" w:hAnsi="Tahoma"/>
          <w:sz w:val="22"/>
          <w:szCs w:val="22"/>
        </w:rPr>
        <w:t>Ouvidoria: 0800-726-0322</w:t>
      </w:r>
    </w:p>
    <w:p w14:paraId="34A806E2" w14:textId="77777777" w:rsidR="00675364" w:rsidRPr="00C40E25" w:rsidRDefault="00675364" w:rsidP="00675364">
      <w:pPr>
        <w:spacing w:line="280" w:lineRule="atLeast"/>
        <w:jc w:val="both"/>
        <w:rPr>
          <w:rFonts w:ascii="Tahoma" w:hAnsi="Tahoma"/>
          <w:sz w:val="22"/>
          <w:szCs w:val="22"/>
        </w:rPr>
      </w:pPr>
    </w:p>
    <w:p w14:paraId="2D1CD78E" w14:textId="77777777" w:rsidR="00675364" w:rsidRPr="00C40E25" w:rsidRDefault="00675364" w:rsidP="00675364">
      <w:pPr>
        <w:spacing w:line="280" w:lineRule="atLeast"/>
        <w:jc w:val="both"/>
        <w:rPr>
          <w:rFonts w:ascii="Tahoma" w:hAnsi="Tahoma"/>
          <w:sz w:val="22"/>
          <w:szCs w:val="22"/>
        </w:rPr>
      </w:pPr>
      <w:r w:rsidRPr="00C40E25">
        <w:rPr>
          <w:rFonts w:ascii="Tahoma" w:hAnsi="Tahoma"/>
          <w:sz w:val="22"/>
          <w:szCs w:val="22"/>
        </w:rPr>
        <w:t>13.4. O ADMINISTRADOR poderá gravar toda e qualquer ligação telefônica mantida entre o ADMINISTRADOR e os Cotistas, bem como, utilizar referidas gravações para efeito de prova das ordens transmitidas e das demais informações nelas contidas.</w:t>
      </w:r>
    </w:p>
    <w:p w14:paraId="4686390E" w14:textId="77777777" w:rsidR="00675364" w:rsidRPr="00C40E25" w:rsidRDefault="00675364" w:rsidP="00675364">
      <w:pPr>
        <w:spacing w:line="280" w:lineRule="atLeast"/>
        <w:jc w:val="both"/>
        <w:rPr>
          <w:rFonts w:ascii="Tahoma" w:hAnsi="Tahoma"/>
          <w:sz w:val="22"/>
          <w:szCs w:val="22"/>
        </w:rPr>
      </w:pPr>
    </w:p>
    <w:p w14:paraId="26479917" w14:textId="77777777" w:rsidR="00675364" w:rsidRDefault="00675364" w:rsidP="00675364">
      <w:pPr>
        <w:spacing w:line="280" w:lineRule="atLeast"/>
        <w:jc w:val="both"/>
        <w:rPr>
          <w:rFonts w:ascii="Tahoma" w:hAnsi="Tahoma"/>
          <w:sz w:val="22"/>
          <w:szCs w:val="22"/>
        </w:rPr>
      </w:pPr>
      <w:r w:rsidRPr="00C40E25">
        <w:rPr>
          <w:rFonts w:ascii="Tahoma" w:hAnsi="Tahoma"/>
          <w:sz w:val="22"/>
          <w:szCs w:val="22"/>
        </w:rPr>
        <w:t>13.5. Fica eleito o foro da Comarca da Capital do Estado de São Paulo, com a exclusão de qualquer outro, por mais privilegiado que seja, para dirimir quaisquer dúvidas ou controvérsias advindas deste Regulamento.</w:t>
      </w:r>
    </w:p>
    <w:p w14:paraId="23C8DA61" w14:textId="77777777" w:rsidR="00675364" w:rsidRDefault="00675364" w:rsidP="00675364">
      <w:pPr>
        <w:spacing w:line="280" w:lineRule="atLeast"/>
        <w:jc w:val="both"/>
        <w:rPr>
          <w:rFonts w:ascii="Tahoma" w:hAnsi="Tahoma"/>
          <w:sz w:val="22"/>
          <w:szCs w:val="22"/>
        </w:rPr>
      </w:pPr>
    </w:p>
    <w:p w14:paraId="6B6E789A" w14:textId="5B0057DE" w:rsidR="00675364" w:rsidRPr="00C40E25" w:rsidRDefault="00675364" w:rsidP="00675364">
      <w:pPr>
        <w:spacing w:line="280" w:lineRule="atLeast"/>
        <w:jc w:val="center"/>
        <w:rPr>
          <w:rFonts w:ascii="Tahoma" w:hAnsi="Tahoma"/>
          <w:sz w:val="22"/>
          <w:szCs w:val="22"/>
        </w:rPr>
      </w:pPr>
      <w:r w:rsidRPr="00C40E25">
        <w:rPr>
          <w:rFonts w:ascii="Tahoma" w:hAnsi="Tahoma"/>
          <w:sz w:val="22"/>
          <w:szCs w:val="22"/>
        </w:rPr>
        <w:t xml:space="preserve">São Paulo, </w:t>
      </w:r>
      <w:r w:rsidR="00406A98" w:rsidRPr="00406A98">
        <w:rPr>
          <w:rFonts w:ascii="Tahoma" w:hAnsi="Tahoma"/>
          <w:sz w:val="22"/>
          <w:szCs w:val="22"/>
        </w:rPr>
        <w:t>02 de janeiro de 2024.</w:t>
      </w:r>
    </w:p>
    <w:p w14:paraId="0815A316" w14:textId="77777777" w:rsidR="00675364" w:rsidRPr="00C40E25" w:rsidRDefault="00675364" w:rsidP="00675364">
      <w:pPr>
        <w:spacing w:line="280" w:lineRule="atLeast"/>
        <w:jc w:val="center"/>
        <w:rPr>
          <w:rFonts w:ascii="Tahoma" w:hAnsi="Tahoma" w:cs="Tahoma"/>
          <w:sz w:val="22"/>
          <w:szCs w:val="22"/>
        </w:rPr>
      </w:pPr>
    </w:p>
    <w:p w14:paraId="411E2F46" w14:textId="77777777" w:rsidR="00675364" w:rsidRPr="00C40E25" w:rsidRDefault="00675364" w:rsidP="00675364">
      <w:pPr>
        <w:jc w:val="center"/>
        <w:rPr>
          <w:rFonts w:ascii="Tahoma" w:hAnsi="Tahoma" w:cs="Tahoma"/>
          <w:b/>
          <w:color w:val="000000"/>
          <w:spacing w:val="5"/>
          <w:sz w:val="22"/>
          <w:szCs w:val="22"/>
        </w:rPr>
      </w:pPr>
      <w:r w:rsidRPr="00C40E25">
        <w:rPr>
          <w:rFonts w:ascii="Tahoma" w:hAnsi="Tahoma" w:cs="Tahoma"/>
          <w:b/>
          <w:color w:val="000000"/>
          <w:spacing w:val="5"/>
          <w:sz w:val="22"/>
          <w:szCs w:val="22"/>
        </w:rPr>
        <w:t>SANTANDER DISTRIBUIDORA DE TÍTULOS E VALORES MOBILIÁRIOS S.A</w:t>
      </w:r>
      <w:r w:rsidRPr="00C40E25">
        <w:rPr>
          <w:rFonts w:ascii="Tahoma" w:hAnsi="Tahoma" w:cs="Tahoma"/>
          <w:b/>
          <w:sz w:val="22"/>
          <w:szCs w:val="22"/>
        </w:rPr>
        <w:t>.</w:t>
      </w:r>
    </w:p>
    <w:p w14:paraId="3E0877AE" w14:textId="77777777" w:rsidR="00675364" w:rsidRPr="00C40E25" w:rsidRDefault="00675364" w:rsidP="00675364">
      <w:pPr>
        <w:jc w:val="center"/>
        <w:rPr>
          <w:rFonts w:ascii="Tahoma" w:hAnsi="Tahoma" w:cs="Tahoma"/>
          <w:sz w:val="22"/>
          <w:szCs w:val="22"/>
        </w:rPr>
      </w:pPr>
      <w:r w:rsidRPr="00C40E25">
        <w:rPr>
          <w:rFonts w:ascii="Tahoma" w:hAnsi="Tahoma" w:cs="Tahoma"/>
          <w:b/>
          <w:color w:val="000000"/>
          <w:spacing w:val="5"/>
          <w:sz w:val="22"/>
          <w:szCs w:val="22"/>
        </w:rPr>
        <w:t>Administrador</w:t>
      </w:r>
    </w:p>
    <w:p w14:paraId="2D44D8A9" w14:textId="07E1ED93" w:rsidR="00455877" w:rsidRPr="00D815CE" w:rsidRDefault="00455877" w:rsidP="00122D62">
      <w:pPr>
        <w:spacing w:line="280" w:lineRule="atLeast"/>
        <w:jc w:val="center"/>
        <w:rPr>
          <w:rFonts w:ascii="Tahoma" w:hAnsi="Tahoma" w:cs="Tahoma"/>
          <w:b/>
          <w:color w:val="000000"/>
          <w:spacing w:val="5"/>
          <w:sz w:val="22"/>
          <w:szCs w:val="22"/>
        </w:rPr>
      </w:pPr>
    </w:p>
    <w:sectPr w:rsidR="00455877" w:rsidRPr="00D815CE" w:rsidSect="002B77E3">
      <w:headerReference w:type="default" r:id="rId9"/>
      <w:footerReference w:type="even" r:id="rId10"/>
      <w:footerReference w:type="default" r:id="rId11"/>
      <w:pgSz w:w="11907" w:h="16840" w:code="9"/>
      <w:pgMar w:top="720" w:right="720" w:bottom="720" w:left="720" w:header="680" w:footer="374" w:gutter="0"/>
      <w:pgNumType w:start="1"/>
      <w:cols w:sep="1" w:space="74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106AD" w14:textId="77777777" w:rsidR="003F2D7E" w:rsidRDefault="003F2D7E">
      <w:r>
        <w:separator/>
      </w:r>
    </w:p>
  </w:endnote>
  <w:endnote w:type="continuationSeparator" w:id="0">
    <w:p w14:paraId="349F8E4C" w14:textId="77777777" w:rsidR="003F2D7E" w:rsidRDefault="003F2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5D7AA" w14:textId="77777777" w:rsidR="000D1B17" w:rsidRDefault="000D1B1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68DF8599" w14:textId="77777777" w:rsidR="000D1B17" w:rsidRDefault="000D1B1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1546F" w14:textId="77777777" w:rsidR="000D1B17" w:rsidRDefault="000D1B17">
    <w:pPr>
      <w:pStyle w:val="Rodap"/>
      <w:framePr w:wrap="around" w:vAnchor="text" w:hAnchor="margin" w:xAlign="right" w:y="1"/>
      <w:pBdr>
        <w:bottom w:val="single" w:sz="12" w:space="1" w:color="auto"/>
      </w:pBdr>
      <w:rPr>
        <w:rStyle w:val="Nmerodepgina"/>
        <w:sz w:val="16"/>
      </w:rPr>
    </w:pPr>
    <w:r>
      <w:rPr>
        <w:rStyle w:val="Nmerodepgina"/>
        <w:sz w:val="16"/>
      </w:rPr>
      <w:fldChar w:fldCharType="begin"/>
    </w:r>
    <w:r>
      <w:rPr>
        <w:rStyle w:val="Nmerodepgina"/>
        <w:sz w:val="16"/>
      </w:rPr>
      <w:instrText xml:space="preserve">PAGE  </w:instrText>
    </w:r>
    <w:r>
      <w:rPr>
        <w:rStyle w:val="Nmerodepgina"/>
        <w:sz w:val="16"/>
      </w:rPr>
      <w:fldChar w:fldCharType="separate"/>
    </w:r>
    <w:r>
      <w:rPr>
        <w:rStyle w:val="Nmerodepgina"/>
        <w:noProof/>
        <w:sz w:val="16"/>
      </w:rPr>
      <w:t>4</w:t>
    </w:r>
    <w:r>
      <w:rPr>
        <w:rStyle w:val="Nmerodepgina"/>
        <w:sz w:val="16"/>
      </w:rPr>
      <w:fldChar w:fldCharType="end"/>
    </w:r>
  </w:p>
  <w:p w14:paraId="39911AD7" w14:textId="77777777" w:rsidR="000D1B17" w:rsidRDefault="000D1B17">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89739" w14:textId="77777777" w:rsidR="003F2D7E" w:rsidRDefault="003F2D7E">
      <w:r>
        <w:separator/>
      </w:r>
    </w:p>
  </w:footnote>
  <w:footnote w:type="continuationSeparator" w:id="0">
    <w:p w14:paraId="67A03B6D" w14:textId="77777777" w:rsidR="003F2D7E" w:rsidRDefault="003F2D7E">
      <w:r>
        <w:continuationSeparator/>
      </w:r>
    </w:p>
  </w:footnote>
  <w:footnote w:id="1">
    <w:p w14:paraId="65E43396" w14:textId="77777777" w:rsidR="00675364" w:rsidRDefault="00675364" w:rsidP="00675364">
      <w:pPr>
        <w:pStyle w:val="Textodenotaderodap"/>
      </w:pPr>
      <w:r>
        <w:rPr>
          <w:rStyle w:val="Refdenotaderodap"/>
        </w:rPr>
        <w:footnoteRef/>
      </w:r>
      <w:r>
        <w:t xml:space="preserve"> Vide fórmula indicada na tabela abaixo para o valor de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DCDC" w14:textId="3A5CCD3A" w:rsidR="00FC065B" w:rsidRDefault="00122D62">
    <w:pPr>
      <w:pStyle w:val="Cabealho"/>
    </w:pPr>
    <w:r>
      <w:rPr>
        <w:noProof/>
      </w:rPr>
      <w:drawing>
        <wp:anchor distT="0" distB="0" distL="114300" distR="114300" simplePos="0" relativeHeight="251657728" behindDoc="0" locked="0" layoutInCell="1" allowOverlap="1" wp14:anchorId="6EE0949A" wp14:editId="363C1776">
          <wp:simplePos x="0" y="0"/>
          <wp:positionH relativeFrom="margin">
            <wp:posOffset>4414520</wp:posOffset>
          </wp:positionH>
          <wp:positionV relativeFrom="paragraph">
            <wp:posOffset>-430530</wp:posOffset>
          </wp:positionV>
          <wp:extent cx="2533650" cy="604520"/>
          <wp:effectExtent l="0" t="0" r="0" b="0"/>
          <wp:wrapNone/>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013848"/>
    <w:multiLevelType w:val="hybridMultilevel"/>
    <w:tmpl w:val="68A4D104"/>
    <w:lvl w:ilvl="0" w:tplc="D2D6D7B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1770B2"/>
    <w:multiLevelType w:val="multilevel"/>
    <w:tmpl w:val="55F650D2"/>
    <w:lvl w:ilvl="0">
      <w:start w:val="12"/>
      <w:numFmt w:val="decimal"/>
      <w:lvlText w:val="%1"/>
      <w:lvlJc w:val="left"/>
      <w:pPr>
        <w:tabs>
          <w:tab w:val="num" w:pos="375"/>
        </w:tabs>
        <w:ind w:left="375" w:hanging="375"/>
      </w:pPr>
      <w:rPr>
        <w:rFonts w:hint="default"/>
      </w:rPr>
    </w:lvl>
    <w:lvl w:ilvl="1">
      <w:start w:val="5"/>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4DD486A"/>
    <w:multiLevelType w:val="multilevel"/>
    <w:tmpl w:val="8D0C6DB8"/>
    <w:lvl w:ilvl="0">
      <w:start w:val="5"/>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E27B31"/>
    <w:multiLevelType w:val="singleLevel"/>
    <w:tmpl w:val="BBCCF546"/>
    <w:lvl w:ilvl="0">
      <w:start w:val="1"/>
      <w:numFmt w:val="lowerRoman"/>
      <w:lvlText w:val="(%1)"/>
      <w:lvlJc w:val="left"/>
      <w:pPr>
        <w:tabs>
          <w:tab w:val="num" w:pos="720"/>
        </w:tabs>
        <w:ind w:left="720" w:hanging="720"/>
      </w:pPr>
      <w:rPr>
        <w:rFonts w:hint="default"/>
      </w:rPr>
    </w:lvl>
  </w:abstractNum>
  <w:abstractNum w:abstractNumId="5" w15:restartNumberingAfterBreak="0">
    <w:nsid w:val="05483C4B"/>
    <w:multiLevelType w:val="multilevel"/>
    <w:tmpl w:val="82DE10E6"/>
    <w:lvl w:ilvl="0">
      <w:start w:val="1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B6095F"/>
    <w:multiLevelType w:val="singleLevel"/>
    <w:tmpl w:val="71F66654"/>
    <w:lvl w:ilvl="0">
      <w:start w:val="1"/>
      <w:numFmt w:val="upperRoman"/>
      <w:lvlText w:val="%1."/>
      <w:lvlJc w:val="left"/>
      <w:pPr>
        <w:tabs>
          <w:tab w:val="num" w:pos="1425"/>
        </w:tabs>
        <w:ind w:left="1425" w:hanging="720"/>
      </w:pPr>
      <w:rPr>
        <w:rFonts w:hint="default"/>
      </w:rPr>
    </w:lvl>
  </w:abstractNum>
  <w:abstractNum w:abstractNumId="7" w15:restartNumberingAfterBreak="0">
    <w:nsid w:val="0D7D2986"/>
    <w:multiLevelType w:val="singleLevel"/>
    <w:tmpl w:val="35625DEC"/>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0F8F070A"/>
    <w:multiLevelType w:val="hybridMultilevel"/>
    <w:tmpl w:val="75BAD094"/>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0ED7611"/>
    <w:multiLevelType w:val="hybridMultilevel"/>
    <w:tmpl w:val="5992C02A"/>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3025CB6"/>
    <w:multiLevelType w:val="hybridMultilevel"/>
    <w:tmpl w:val="98045658"/>
    <w:lvl w:ilvl="0" w:tplc="D7125B6C">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4803446"/>
    <w:multiLevelType w:val="singleLevel"/>
    <w:tmpl w:val="BBCCF546"/>
    <w:lvl w:ilvl="0">
      <w:start w:val="1"/>
      <w:numFmt w:val="lowerRoman"/>
      <w:lvlText w:val="(%1)"/>
      <w:lvlJc w:val="left"/>
      <w:pPr>
        <w:tabs>
          <w:tab w:val="num" w:pos="720"/>
        </w:tabs>
        <w:ind w:left="720" w:hanging="720"/>
      </w:pPr>
      <w:rPr>
        <w:rFonts w:hint="default"/>
      </w:rPr>
    </w:lvl>
  </w:abstractNum>
  <w:abstractNum w:abstractNumId="12" w15:restartNumberingAfterBreak="0">
    <w:nsid w:val="17AF48DB"/>
    <w:multiLevelType w:val="multilevel"/>
    <w:tmpl w:val="7512BC5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94E720E"/>
    <w:multiLevelType w:val="singleLevel"/>
    <w:tmpl w:val="F4ECCDA6"/>
    <w:lvl w:ilvl="0">
      <w:start w:val="1"/>
      <w:numFmt w:val="lowerLetter"/>
      <w:lvlText w:val="%1)"/>
      <w:lvlJc w:val="left"/>
      <w:pPr>
        <w:tabs>
          <w:tab w:val="num" w:pos="360"/>
        </w:tabs>
        <w:ind w:left="360" w:hanging="360"/>
      </w:pPr>
      <w:rPr>
        <w:rFonts w:hint="default"/>
      </w:rPr>
    </w:lvl>
  </w:abstractNum>
  <w:abstractNum w:abstractNumId="14" w15:restartNumberingAfterBreak="0">
    <w:nsid w:val="1AA31DC6"/>
    <w:multiLevelType w:val="hybridMultilevel"/>
    <w:tmpl w:val="C14889AA"/>
    <w:lvl w:ilvl="0" w:tplc="46A467BA">
      <w:start w:val="1"/>
      <w:numFmt w:val="upperRoman"/>
      <w:lvlText w:val="%1."/>
      <w:lvlJc w:val="left"/>
      <w:pPr>
        <w:tabs>
          <w:tab w:val="num" w:pos="720"/>
        </w:tabs>
        <w:ind w:left="72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1E7D607E"/>
    <w:multiLevelType w:val="hybridMultilevel"/>
    <w:tmpl w:val="292005B8"/>
    <w:lvl w:ilvl="0" w:tplc="1096BE70">
      <w:start w:val="1"/>
      <w:numFmt w:val="lowerRoman"/>
      <w:lvlText w:val="(%1)"/>
      <w:lvlJc w:val="left"/>
      <w:pPr>
        <w:tabs>
          <w:tab w:val="num" w:pos="1080"/>
        </w:tabs>
        <w:ind w:left="1080" w:hanging="720"/>
      </w:pPr>
      <w:rPr>
        <w:rFonts w:hint="default"/>
      </w:rPr>
    </w:lvl>
    <w:lvl w:ilvl="1" w:tplc="89667FAA" w:tentative="1">
      <w:start w:val="1"/>
      <w:numFmt w:val="lowerLetter"/>
      <w:lvlText w:val="%2."/>
      <w:lvlJc w:val="left"/>
      <w:pPr>
        <w:tabs>
          <w:tab w:val="num" w:pos="1440"/>
        </w:tabs>
        <w:ind w:left="1440" w:hanging="360"/>
      </w:pPr>
    </w:lvl>
    <w:lvl w:ilvl="2" w:tplc="445E4F1E" w:tentative="1">
      <w:start w:val="1"/>
      <w:numFmt w:val="lowerRoman"/>
      <w:lvlText w:val="%3."/>
      <w:lvlJc w:val="right"/>
      <w:pPr>
        <w:tabs>
          <w:tab w:val="num" w:pos="2160"/>
        </w:tabs>
        <w:ind w:left="2160" w:hanging="180"/>
      </w:pPr>
    </w:lvl>
    <w:lvl w:ilvl="3" w:tplc="A96ABE52" w:tentative="1">
      <w:start w:val="1"/>
      <w:numFmt w:val="decimal"/>
      <w:lvlText w:val="%4."/>
      <w:lvlJc w:val="left"/>
      <w:pPr>
        <w:tabs>
          <w:tab w:val="num" w:pos="2880"/>
        </w:tabs>
        <w:ind w:left="2880" w:hanging="360"/>
      </w:pPr>
    </w:lvl>
    <w:lvl w:ilvl="4" w:tplc="DDFA6FAC" w:tentative="1">
      <w:start w:val="1"/>
      <w:numFmt w:val="lowerLetter"/>
      <w:lvlText w:val="%5."/>
      <w:lvlJc w:val="left"/>
      <w:pPr>
        <w:tabs>
          <w:tab w:val="num" w:pos="3600"/>
        </w:tabs>
        <w:ind w:left="3600" w:hanging="360"/>
      </w:pPr>
    </w:lvl>
    <w:lvl w:ilvl="5" w:tplc="8B2CBF28" w:tentative="1">
      <w:start w:val="1"/>
      <w:numFmt w:val="lowerRoman"/>
      <w:lvlText w:val="%6."/>
      <w:lvlJc w:val="right"/>
      <w:pPr>
        <w:tabs>
          <w:tab w:val="num" w:pos="4320"/>
        </w:tabs>
        <w:ind w:left="4320" w:hanging="180"/>
      </w:pPr>
    </w:lvl>
    <w:lvl w:ilvl="6" w:tplc="DB2CCD26" w:tentative="1">
      <w:start w:val="1"/>
      <w:numFmt w:val="decimal"/>
      <w:lvlText w:val="%7."/>
      <w:lvlJc w:val="left"/>
      <w:pPr>
        <w:tabs>
          <w:tab w:val="num" w:pos="5040"/>
        </w:tabs>
        <w:ind w:left="5040" w:hanging="360"/>
      </w:pPr>
    </w:lvl>
    <w:lvl w:ilvl="7" w:tplc="DC985E96" w:tentative="1">
      <w:start w:val="1"/>
      <w:numFmt w:val="lowerLetter"/>
      <w:lvlText w:val="%8."/>
      <w:lvlJc w:val="left"/>
      <w:pPr>
        <w:tabs>
          <w:tab w:val="num" w:pos="5760"/>
        </w:tabs>
        <w:ind w:left="5760" w:hanging="360"/>
      </w:pPr>
    </w:lvl>
    <w:lvl w:ilvl="8" w:tplc="FE409270" w:tentative="1">
      <w:start w:val="1"/>
      <w:numFmt w:val="lowerRoman"/>
      <w:lvlText w:val="%9."/>
      <w:lvlJc w:val="right"/>
      <w:pPr>
        <w:tabs>
          <w:tab w:val="num" w:pos="6480"/>
        </w:tabs>
        <w:ind w:left="6480" w:hanging="180"/>
      </w:pPr>
    </w:lvl>
  </w:abstractNum>
  <w:abstractNum w:abstractNumId="16" w15:restartNumberingAfterBreak="0">
    <w:nsid w:val="21E45C5E"/>
    <w:multiLevelType w:val="multilevel"/>
    <w:tmpl w:val="B4967414"/>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5B11ED5"/>
    <w:multiLevelType w:val="hybridMultilevel"/>
    <w:tmpl w:val="C4E2AD8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8FF0793"/>
    <w:multiLevelType w:val="hybridMultilevel"/>
    <w:tmpl w:val="33C471F2"/>
    <w:lvl w:ilvl="0" w:tplc="FFFFFFFF">
      <w:start w:val="1"/>
      <w:numFmt w:val="lowerLetter"/>
      <w:lvlText w:val="%1)"/>
      <w:lvlJc w:val="left"/>
      <w:pPr>
        <w:tabs>
          <w:tab w:val="num" w:pos="1080"/>
        </w:tabs>
        <w:ind w:left="1080" w:hanging="720"/>
      </w:pPr>
      <w:rPr>
        <w:rFonts w:ascii="Arial" w:eastAsia="Times New Roman"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92E7CC6"/>
    <w:multiLevelType w:val="multilevel"/>
    <w:tmpl w:val="38C41310"/>
    <w:lvl w:ilvl="0">
      <w:start w:val="4"/>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CA617C8"/>
    <w:multiLevelType w:val="hybridMultilevel"/>
    <w:tmpl w:val="22A0BF7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3A091C00"/>
    <w:multiLevelType w:val="hybridMultilevel"/>
    <w:tmpl w:val="A6186D4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3CDA32AC"/>
    <w:multiLevelType w:val="hybridMultilevel"/>
    <w:tmpl w:val="B7EA217E"/>
    <w:lvl w:ilvl="0" w:tplc="521693BE">
      <w:start w:val="1"/>
      <w:numFmt w:val="lowerRoman"/>
      <w:lvlText w:val="(%1)"/>
      <w:lvlJc w:val="left"/>
      <w:pPr>
        <w:tabs>
          <w:tab w:val="num" w:pos="1080"/>
        </w:tabs>
        <w:ind w:left="1080" w:hanging="72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4F472D"/>
    <w:multiLevelType w:val="multilevel"/>
    <w:tmpl w:val="7AF0A4E4"/>
    <w:lvl w:ilvl="0">
      <w:start w:val="12"/>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F310DB0"/>
    <w:multiLevelType w:val="multilevel"/>
    <w:tmpl w:val="951E03AC"/>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11912AB"/>
    <w:multiLevelType w:val="hybridMultilevel"/>
    <w:tmpl w:val="7D4C59DA"/>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6F3C07"/>
    <w:multiLevelType w:val="hybridMultilevel"/>
    <w:tmpl w:val="ED4061DA"/>
    <w:lvl w:ilvl="0" w:tplc="6FA6BFA6">
      <w:start w:val="1"/>
      <w:numFmt w:val="lowerRoman"/>
      <w:lvlText w:val="(%1)"/>
      <w:lvlJc w:val="left"/>
      <w:pPr>
        <w:tabs>
          <w:tab w:val="num" w:pos="1080"/>
        </w:tabs>
        <w:ind w:left="1080" w:hanging="720"/>
      </w:pPr>
      <w:rPr>
        <w:rFonts w:ascii="Arial Narrow" w:hAnsi="Arial Narrow" w:hint="default"/>
      </w:rPr>
    </w:lvl>
    <w:lvl w:ilvl="1" w:tplc="E70A1484" w:tentative="1">
      <w:start w:val="1"/>
      <w:numFmt w:val="lowerLetter"/>
      <w:lvlText w:val="%2."/>
      <w:lvlJc w:val="left"/>
      <w:pPr>
        <w:tabs>
          <w:tab w:val="num" w:pos="1440"/>
        </w:tabs>
        <w:ind w:left="1440" w:hanging="360"/>
      </w:pPr>
    </w:lvl>
    <w:lvl w:ilvl="2" w:tplc="847C1E7E" w:tentative="1">
      <w:start w:val="1"/>
      <w:numFmt w:val="lowerRoman"/>
      <w:lvlText w:val="%3."/>
      <w:lvlJc w:val="right"/>
      <w:pPr>
        <w:tabs>
          <w:tab w:val="num" w:pos="2160"/>
        </w:tabs>
        <w:ind w:left="2160" w:hanging="180"/>
      </w:pPr>
    </w:lvl>
    <w:lvl w:ilvl="3" w:tplc="3D8A2118" w:tentative="1">
      <w:start w:val="1"/>
      <w:numFmt w:val="decimal"/>
      <w:lvlText w:val="%4."/>
      <w:lvlJc w:val="left"/>
      <w:pPr>
        <w:tabs>
          <w:tab w:val="num" w:pos="2880"/>
        </w:tabs>
        <w:ind w:left="2880" w:hanging="360"/>
      </w:pPr>
    </w:lvl>
    <w:lvl w:ilvl="4" w:tplc="E1506518" w:tentative="1">
      <w:start w:val="1"/>
      <w:numFmt w:val="lowerLetter"/>
      <w:lvlText w:val="%5."/>
      <w:lvlJc w:val="left"/>
      <w:pPr>
        <w:tabs>
          <w:tab w:val="num" w:pos="3600"/>
        </w:tabs>
        <w:ind w:left="3600" w:hanging="360"/>
      </w:pPr>
    </w:lvl>
    <w:lvl w:ilvl="5" w:tplc="BAD621E0" w:tentative="1">
      <w:start w:val="1"/>
      <w:numFmt w:val="lowerRoman"/>
      <w:lvlText w:val="%6."/>
      <w:lvlJc w:val="right"/>
      <w:pPr>
        <w:tabs>
          <w:tab w:val="num" w:pos="4320"/>
        </w:tabs>
        <w:ind w:left="4320" w:hanging="180"/>
      </w:pPr>
    </w:lvl>
    <w:lvl w:ilvl="6" w:tplc="DD50EF68" w:tentative="1">
      <w:start w:val="1"/>
      <w:numFmt w:val="decimal"/>
      <w:lvlText w:val="%7."/>
      <w:lvlJc w:val="left"/>
      <w:pPr>
        <w:tabs>
          <w:tab w:val="num" w:pos="5040"/>
        </w:tabs>
        <w:ind w:left="5040" w:hanging="360"/>
      </w:pPr>
    </w:lvl>
    <w:lvl w:ilvl="7" w:tplc="0504A31C" w:tentative="1">
      <w:start w:val="1"/>
      <w:numFmt w:val="lowerLetter"/>
      <w:lvlText w:val="%8."/>
      <w:lvlJc w:val="left"/>
      <w:pPr>
        <w:tabs>
          <w:tab w:val="num" w:pos="5760"/>
        </w:tabs>
        <w:ind w:left="5760" w:hanging="360"/>
      </w:pPr>
    </w:lvl>
    <w:lvl w:ilvl="8" w:tplc="1B76FA70" w:tentative="1">
      <w:start w:val="1"/>
      <w:numFmt w:val="lowerRoman"/>
      <w:lvlText w:val="%9."/>
      <w:lvlJc w:val="right"/>
      <w:pPr>
        <w:tabs>
          <w:tab w:val="num" w:pos="6480"/>
        </w:tabs>
        <w:ind w:left="6480" w:hanging="180"/>
      </w:pPr>
    </w:lvl>
  </w:abstractNum>
  <w:abstractNum w:abstractNumId="27" w15:restartNumberingAfterBreak="0">
    <w:nsid w:val="454E08CB"/>
    <w:multiLevelType w:val="hybridMultilevel"/>
    <w:tmpl w:val="2F6C9794"/>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499B0C46"/>
    <w:multiLevelType w:val="singleLevel"/>
    <w:tmpl w:val="04090011"/>
    <w:lvl w:ilvl="0">
      <w:start w:val="1"/>
      <w:numFmt w:val="decimal"/>
      <w:lvlText w:val="%1)"/>
      <w:lvlJc w:val="left"/>
      <w:pPr>
        <w:tabs>
          <w:tab w:val="num" w:pos="360"/>
        </w:tabs>
        <w:ind w:left="360" w:hanging="360"/>
      </w:pPr>
      <w:rPr>
        <w:rFonts w:hint="default"/>
      </w:rPr>
    </w:lvl>
  </w:abstractNum>
  <w:abstractNum w:abstractNumId="29" w15:restartNumberingAfterBreak="0">
    <w:nsid w:val="4C6918CC"/>
    <w:multiLevelType w:val="singleLevel"/>
    <w:tmpl w:val="E1D0A718"/>
    <w:lvl w:ilvl="0">
      <w:start w:val="1"/>
      <w:numFmt w:val="lowerRoman"/>
      <w:lvlText w:val="(%1)"/>
      <w:lvlJc w:val="left"/>
      <w:pPr>
        <w:tabs>
          <w:tab w:val="num" w:pos="720"/>
        </w:tabs>
        <w:ind w:left="720" w:hanging="720"/>
      </w:pPr>
      <w:rPr>
        <w:rFonts w:hint="default"/>
      </w:rPr>
    </w:lvl>
  </w:abstractNum>
  <w:abstractNum w:abstractNumId="30" w15:restartNumberingAfterBreak="0">
    <w:nsid w:val="4D4E7731"/>
    <w:multiLevelType w:val="singleLevel"/>
    <w:tmpl w:val="04090013"/>
    <w:lvl w:ilvl="0">
      <w:start w:val="1"/>
      <w:numFmt w:val="upperRoman"/>
      <w:lvlText w:val="%1."/>
      <w:lvlJc w:val="left"/>
      <w:pPr>
        <w:tabs>
          <w:tab w:val="num" w:pos="720"/>
        </w:tabs>
        <w:ind w:left="720" w:hanging="720"/>
      </w:pPr>
      <w:rPr>
        <w:rFonts w:hint="default"/>
      </w:rPr>
    </w:lvl>
  </w:abstractNum>
  <w:abstractNum w:abstractNumId="31" w15:restartNumberingAfterBreak="0">
    <w:nsid w:val="4E776B9C"/>
    <w:multiLevelType w:val="hybridMultilevel"/>
    <w:tmpl w:val="355A108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15:restartNumberingAfterBreak="0">
    <w:nsid w:val="50C31D65"/>
    <w:multiLevelType w:val="hybridMultilevel"/>
    <w:tmpl w:val="ADA63732"/>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1A32FAC"/>
    <w:multiLevelType w:val="hybridMultilevel"/>
    <w:tmpl w:val="9B6ACE0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A873033"/>
    <w:multiLevelType w:val="multilevel"/>
    <w:tmpl w:val="A586A42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5EB51067"/>
    <w:multiLevelType w:val="hybridMultilevel"/>
    <w:tmpl w:val="FDA68D44"/>
    <w:lvl w:ilvl="0" w:tplc="00AE93D8">
      <w:start w:val="1"/>
      <w:numFmt w:val="lowerRoman"/>
      <w:lvlText w:val="(%1)"/>
      <w:lvlJc w:val="left"/>
      <w:pPr>
        <w:tabs>
          <w:tab w:val="num" w:pos="720"/>
        </w:tabs>
        <w:ind w:left="0" w:firstLine="0"/>
      </w:pPr>
      <w:rPr>
        <w:rFonts w:hint="default"/>
      </w:rPr>
    </w:lvl>
    <w:lvl w:ilvl="1" w:tplc="4F0021EC" w:tentative="1">
      <w:start w:val="1"/>
      <w:numFmt w:val="lowerLetter"/>
      <w:lvlText w:val="%2."/>
      <w:lvlJc w:val="left"/>
      <w:pPr>
        <w:tabs>
          <w:tab w:val="num" w:pos="1440"/>
        </w:tabs>
        <w:ind w:left="1440" w:hanging="360"/>
      </w:pPr>
    </w:lvl>
    <w:lvl w:ilvl="2" w:tplc="E620F1F0" w:tentative="1">
      <w:start w:val="1"/>
      <w:numFmt w:val="lowerRoman"/>
      <w:lvlText w:val="%3."/>
      <w:lvlJc w:val="right"/>
      <w:pPr>
        <w:tabs>
          <w:tab w:val="num" w:pos="2160"/>
        </w:tabs>
        <w:ind w:left="2160" w:hanging="180"/>
      </w:pPr>
    </w:lvl>
    <w:lvl w:ilvl="3" w:tplc="0DBA0822" w:tentative="1">
      <w:start w:val="1"/>
      <w:numFmt w:val="decimal"/>
      <w:lvlText w:val="%4."/>
      <w:lvlJc w:val="left"/>
      <w:pPr>
        <w:tabs>
          <w:tab w:val="num" w:pos="2880"/>
        </w:tabs>
        <w:ind w:left="2880" w:hanging="360"/>
      </w:pPr>
    </w:lvl>
    <w:lvl w:ilvl="4" w:tplc="6B6CA25C" w:tentative="1">
      <w:start w:val="1"/>
      <w:numFmt w:val="lowerLetter"/>
      <w:lvlText w:val="%5."/>
      <w:lvlJc w:val="left"/>
      <w:pPr>
        <w:tabs>
          <w:tab w:val="num" w:pos="3600"/>
        </w:tabs>
        <w:ind w:left="3600" w:hanging="360"/>
      </w:pPr>
    </w:lvl>
    <w:lvl w:ilvl="5" w:tplc="42F664B8" w:tentative="1">
      <w:start w:val="1"/>
      <w:numFmt w:val="lowerRoman"/>
      <w:lvlText w:val="%6."/>
      <w:lvlJc w:val="right"/>
      <w:pPr>
        <w:tabs>
          <w:tab w:val="num" w:pos="4320"/>
        </w:tabs>
        <w:ind w:left="4320" w:hanging="180"/>
      </w:pPr>
    </w:lvl>
    <w:lvl w:ilvl="6" w:tplc="42B6B73C" w:tentative="1">
      <w:start w:val="1"/>
      <w:numFmt w:val="decimal"/>
      <w:lvlText w:val="%7."/>
      <w:lvlJc w:val="left"/>
      <w:pPr>
        <w:tabs>
          <w:tab w:val="num" w:pos="5040"/>
        </w:tabs>
        <w:ind w:left="5040" w:hanging="360"/>
      </w:pPr>
    </w:lvl>
    <w:lvl w:ilvl="7" w:tplc="13B2E58E" w:tentative="1">
      <w:start w:val="1"/>
      <w:numFmt w:val="lowerLetter"/>
      <w:lvlText w:val="%8."/>
      <w:lvlJc w:val="left"/>
      <w:pPr>
        <w:tabs>
          <w:tab w:val="num" w:pos="5760"/>
        </w:tabs>
        <w:ind w:left="5760" w:hanging="360"/>
      </w:pPr>
    </w:lvl>
    <w:lvl w:ilvl="8" w:tplc="2736C836" w:tentative="1">
      <w:start w:val="1"/>
      <w:numFmt w:val="lowerRoman"/>
      <w:lvlText w:val="%9."/>
      <w:lvlJc w:val="right"/>
      <w:pPr>
        <w:tabs>
          <w:tab w:val="num" w:pos="6480"/>
        </w:tabs>
        <w:ind w:left="6480" w:hanging="180"/>
      </w:pPr>
    </w:lvl>
  </w:abstractNum>
  <w:abstractNum w:abstractNumId="36" w15:restartNumberingAfterBreak="0">
    <w:nsid w:val="608D4D46"/>
    <w:multiLevelType w:val="singleLevel"/>
    <w:tmpl w:val="08090011"/>
    <w:lvl w:ilvl="0">
      <w:start w:val="1"/>
      <w:numFmt w:val="decimal"/>
      <w:lvlText w:val="%1)"/>
      <w:lvlJc w:val="left"/>
      <w:pPr>
        <w:tabs>
          <w:tab w:val="num" w:pos="360"/>
        </w:tabs>
        <w:ind w:left="360" w:hanging="360"/>
      </w:pPr>
      <w:rPr>
        <w:rFonts w:hint="default"/>
      </w:rPr>
    </w:lvl>
  </w:abstractNum>
  <w:abstractNum w:abstractNumId="37" w15:restartNumberingAfterBreak="0">
    <w:nsid w:val="63D5413E"/>
    <w:multiLevelType w:val="hybridMultilevel"/>
    <w:tmpl w:val="673A8BE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15:restartNumberingAfterBreak="0">
    <w:nsid w:val="66B74FE6"/>
    <w:multiLevelType w:val="multilevel"/>
    <w:tmpl w:val="E55EE584"/>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39" w15:restartNumberingAfterBreak="0">
    <w:nsid w:val="66CB33FF"/>
    <w:multiLevelType w:val="multilevel"/>
    <w:tmpl w:val="E7647396"/>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93A337A"/>
    <w:multiLevelType w:val="hybridMultilevel"/>
    <w:tmpl w:val="93D8386E"/>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FE14D55"/>
    <w:multiLevelType w:val="multilevel"/>
    <w:tmpl w:val="F57C476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58F4C85"/>
    <w:multiLevelType w:val="multilevel"/>
    <w:tmpl w:val="827EBC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6D173C0"/>
    <w:multiLevelType w:val="singleLevel"/>
    <w:tmpl w:val="A62C5D70"/>
    <w:lvl w:ilvl="0">
      <w:start w:val="1"/>
      <w:numFmt w:val="lowerLetter"/>
      <w:lvlText w:val="%1)"/>
      <w:legacy w:legacy="1" w:legacySpace="0" w:legacyIndent="283"/>
      <w:lvlJc w:val="left"/>
      <w:pPr>
        <w:ind w:left="283" w:hanging="283"/>
      </w:pPr>
    </w:lvl>
  </w:abstractNum>
  <w:abstractNum w:abstractNumId="44" w15:restartNumberingAfterBreak="0">
    <w:nsid w:val="79575C55"/>
    <w:multiLevelType w:val="hybridMultilevel"/>
    <w:tmpl w:val="F90A984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15:restartNumberingAfterBreak="0">
    <w:nsid w:val="7B972693"/>
    <w:multiLevelType w:val="multilevel"/>
    <w:tmpl w:val="02885D3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7D0213BE"/>
    <w:multiLevelType w:val="hybridMultilevel"/>
    <w:tmpl w:val="0A441FA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15:restartNumberingAfterBreak="0">
    <w:nsid w:val="7F8565D4"/>
    <w:multiLevelType w:val="multilevel"/>
    <w:tmpl w:val="60EEF1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34250703">
    <w:abstractNumId w:val="43"/>
  </w:num>
  <w:num w:numId="2" w16cid:durableId="1457528780">
    <w:abstractNumId w:val="34"/>
  </w:num>
  <w:num w:numId="3" w16cid:durableId="59791419">
    <w:abstractNumId w:val="6"/>
  </w:num>
  <w:num w:numId="4" w16cid:durableId="549734649">
    <w:abstractNumId w:val="3"/>
  </w:num>
  <w:num w:numId="5" w16cid:durableId="1263605824">
    <w:abstractNumId w:val="42"/>
  </w:num>
  <w:num w:numId="6" w16cid:durableId="1936669989">
    <w:abstractNumId w:val="0"/>
  </w:num>
  <w:num w:numId="7" w16cid:durableId="1691839172">
    <w:abstractNumId w:val="2"/>
  </w:num>
  <w:num w:numId="8" w16cid:durableId="906720890">
    <w:abstractNumId w:val="5"/>
  </w:num>
  <w:num w:numId="9" w16cid:durableId="2019694367">
    <w:abstractNumId w:val="30"/>
  </w:num>
  <w:num w:numId="10" w16cid:durableId="738286549">
    <w:abstractNumId w:val="4"/>
  </w:num>
  <w:num w:numId="11" w16cid:durableId="1045717169">
    <w:abstractNumId w:val="7"/>
  </w:num>
  <w:num w:numId="12" w16cid:durableId="885995960">
    <w:abstractNumId w:val="39"/>
  </w:num>
  <w:num w:numId="13" w16cid:durableId="265231999">
    <w:abstractNumId w:val="16"/>
  </w:num>
  <w:num w:numId="14" w16cid:durableId="709304774">
    <w:abstractNumId w:val="29"/>
  </w:num>
  <w:num w:numId="15" w16cid:durableId="1928801921">
    <w:abstractNumId w:val="47"/>
  </w:num>
  <w:num w:numId="16" w16cid:durableId="889616083">
    <w:abstractNumId w:val="23"/>
  </w:num>
  <w:num w:numId="17" w16cid:durableId="1425150025">
    <w:abstractNumId w:val="15"/>
  </w:num>
  <w:num w:numId="18" w16cid:durableId="1967153588">
    <w:abstractNumId w:val="35"/>
  </w:num>
  <w:num w:numId="19" w16cid:durableId="2142965273">
    <w:abstractNumId w:val="26"/>
  </w:num>
  <w:num w:numId="20" w16cid:durableId="2031759365">
    <w:abstractNumId w:val="32"/>
  </w:num>
  <w:num w:numId="21" w16cid:durableId="1638678313">
    <w:abstractNumId w:val="12"/>
  </w:num>
  <w:num w:numId="22" w16cid:durableId="1091008819">
    <w:abstractNumId w:val="45"/>
  </w:num>
  <w:num w:numId="23" w16cid:durableId="1593929372">
    <w:abstractNumId w:val="36"/>
  </w:num>
  <w:num w:numId="24" w16cid:durableId="519584142">
    <w:abstractNumId w:val="28"/>
  </w:num>
  <w:num w:numId="25" w16cid:durableId="1288664754">
    <w:abstractNumId w:val="13"/>
  </w:num>
  <w:num w:numId="26" w16cid:durableId="1829709258">
    <w:abstractNumId w:val="33"/>
  </w:num>
  <w:num w:numId="27" w16cid:durableId="1782452021">
    <w:abstractNumId w:val="17"/>
  </w:num>
  <w:num w:numId="28" w16cid:durableId="331612820">
    <w:abstractNumId w:val="18"/>
  </w:num>
  <w:num w:numId="29" w16cid:durableId="433406274">
    <w:abstractNumId w:val="24"/>
  </w:num>
  <w:num w:numId="30" w16cid:durableId="1336691903">
    <w:abstractNumId w:val="41"/>
  </w:num>
  <w:num w:numId="31" w16cid:durableId="2141798123">
    <w:abstractNumId w:val="19"/>
  </w:num>
  <w:num w:numId="32" w16cid:durableId="149057381">
    <w:abstractNumId w:val="38"/>
  </w:num>
  <w:num w:numId="33" w16cid:durableId="939919579">
    <w:abstractNumId w:val="37"/>
  </w:num>
  <w:num w:numId="34" w16cid:durableId="1652102773">
    <w:abstractNumId w:val="20"/>
  </w:num>
  <w:num w:numId="35" w16cid:durableId="1094395478">
    <w:abstractNumId w:val="21"/>
  </w:num>
  <w:num w:numId="36" w16cid:durableId="1835759710">
    <w:abstractNumId w:val="27"/>
  </w:num>
  <w:num w:numId="37" w16cid:durableId="125053284">
    <w:abstractNumId w:val="9"/>
  </w:num>
  <w:num w:numId="38" w16cid:durableId="378240733">
    <w:abstractNumId w:val="31"/>
  </w:num>
  <w:num w:numId="39" w16cid:durableId="627318270">
    <w:abstractNumId w:val="46"/>
  </w:num>
  <w:num w:numId="40" w16cid:durableId="1276597258">
    <w:abstractNumId w:val="44"/>
  </w:num>
  <w:num w:numId="41" w16cid:durableId="1070926429">
    <w:abstractNumId w:val="22"/>
  </w:num>
  <w:num w:numId="42" w16cid:durableId="887231040">
    <w:abstractNumId w:val="8"/>
  </w:num>
  <w:num w:numId="43" w16cid:durableId="1203790142">
    <w:abstractNumId w:val="25"/>
  </w:num>
  <w:num w:numId="44" w16cid:durableId="1668358605">
    <w:abstractNumId w:val="40"/>
  </w:num>
  <w:num w:numId="45" w16cid:durableId="1600941890">
    <w:abstractNumId w:val="14"/>
  </w:num>
  <w:num w:numId="46" w16cid:durableId="2028175295">
    <w:abstractNumId w:val="1"/>
  </w:num>
  <w:num w:numId="47" w16cid:durableId="570310971">
    <w:abstractNumId w:val="10"/>
  </w:num>
  <w:num w:numId="48" w16cid:durableId="10801012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n-AU" w:vendorID="8" w:dllVersion="513" w:checkStyle="1"/>
  <w:activeWritingStyle w:appName="MSWord" w:lang="en-GB" w:vendorID="8" w:dllVersion="513" w:checkStyle="1"/>
  <w:activeWritingStyle w:appName="MSWord" w:lang="en-US" w:vendorID="8"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77"/>
    <w:rsid w:val="000000A9"/>
    <w:rsid w:val="00002369"/>
    <w:rsid w:val="00011534"/>
    <w:rsid w:val="000134E2"/>
    <w:rsid w:val="0001359C"/>
    <w:rsid w:val="00013A54"/>
    <w:rsid w:val="00014D6E"/>
    <w:rsid w:val="000153B7"/>
    <w:rsid w:val="00015AEF"/>
    <w:rsid w:val="00022236"/>
    <w:rsid w:val="000263D8"/>
    <w:rsid w:val="00033D58"/>
    <w:rsid w:val="00035217"/>
    <w:rsid w:val="000363D7"/>
    <w:rsid w:val="0004063D"/>
    <w:rsid w:val="00040D2E"/>
    <w:rsid w:val="00041C89"/>
    <w:rsid w:val="000426F5"/>
    <w:rsid w:val="00044CC3"/>
    <w:rsid w:val="00046116"/>
    <w:rsid w:val="000473EF"/>
    <w:rsid w:val="000503D0"/>
    <w:rsid w:val="000509CB"/>
    <w:rsid w:val="000616AD"/>
    <w:rsid w:val="000656B0"/>
    <w:rsid w:val="00066474"/>
    <w:rsid w:val="00070DCA"/>
    <w:rsid w:val="0007259F"/>
    <w:rsid w:val="00080796"/>
    <w:rsid w:val="00084373"/>
    <w:rsid w:val="00086136"/>
    <w:rsid w:val="00094577"/>
    <w:rsid w:val="000A3445"/>
    <w:rsid w:val="000B0940"/>
    <w:rsid w:val="000B21C2"/>
    <w:rsid w:val="000B640D"/>
    <w:rsid w:val="000B7F91"/>
    <w:rsid w:val="000C0ECF"/>
    <w:rsid w:val="000C1E6B"/>
    <w:rsid w:val="000D1B17"/>
    <w:rsid w:val="000D3E96"/>
    <w:rsid w:val="000D43AD"/>
    <w:rsid w:val="000D4EBF"/>
    <w:rsid w:val="000D64AE"/>
    <w:rsid w:val="000E1C92"/>
    <w:rsid w:val="000E4601"/>
    <w:rsid w:val="000E4D8A"/>
    <w:rsid w:val="000F1421"/>
    <w:rsid w:val="000F4885"/>
    <w:rsid w:val="0010106B"/>
    <w:rsid w:val="00102637"/>
    <w:rsid w:val="001045CD"/>
    <w:rsid w:val="00104851"/>
    <w:rsid w:val="001057B4"/>
    <w:rsid w:val="001063B8"/>
    <w:rsid w:val="00107561"/>
    <w:rsid w:val="001106A9"/>
    <w:rsid w:val="00110D81"/>
    <w:rsid w:val="00111C5C"/>
    <w:rsid w:val="00113CBF"/>
    <w:rsid w:val="00113FEA"/>
    <w:rsid w:val="001226B6"/>
    <w:rsid w:val="00122D62"/>
    <w:rsid w:val="00127DC6"/>
    <w:rsid w:val="001331AE"/>
    <w:rsid w:val="001353D9"/>
    <w:rsid w:val="00135C07"/>
    <w:rsid w:val="001601F2"/>
    <w:rsid w:val="001718C1"/>
    <w:rsid w:val="001728E7"/>
    <w:rsid w:val="00175769"/>
    <w:rsid w:val="001759B5"/>
    <w:rsid w:val="0018264B"/>
    <w:rsid w:val="00183A79"/>
    <w:rsid w:val="00184E34"/>
    <w:rsid w:val="00185D68"/>
    <w:rsid w:val="0018685D"/>
    <w:rsid w:val="00191D33"/>
    <w:rsid w:val="00194758"/>
    <w:rsid w:val="0019544A"/>
    <w:rsid w:val="00197445"/>
    <w:rsid w:val="001A0663"/>
    <w:rsid w:val="001A64FB"/>
    <w:rsid w:val="001A792A"/>
    <w:rsid w:val="001B5586"/>
    <w:rsid w:val="001B745E"/>
    <w:rsid w:val="001C0665"/>
    <w:rsid w:val="001C3694"/>
    <w:rsid w:val="001C4852"/>
    <w:rsid w:val="001C6DE9"/>
    <w:rsid w:val="001D64E9"/>
    <w:rsid w:val="001E437F"/>
    <w:rsid w:val="001E7343"/>
    <w:rsid w:val="001E73C7"/>
    <w:rsid w:val="001F7B41"/>
    <w:rsid w:val="00213810"/>
    <w:rsid w:val="00214C2C"/>
    <w:rsid w:val="00221634"/>
    <w:rsid w:val="00223707"/>
    <w:rsid w:val="002341B0"/>
    <w:rsid w:val="00244039"/>
    <w:rsid w:val="0024422E"/>
    <w:rsid w:val="00252809"/>
    <w:rsid w:val="00252AF5"/>
    <w:rsid w:val="00265D69"/>
    <w:rsid w:val="00273C5C"/>
    <w:rsid w:val="002740AA"/>
    <w:rsid w:val="00275868"/>
    <w:rsid w:val="00277990"/>
    <w:rsid w:val="00285F2B"/>
    <w:rsid w:val="002953ED"/>
    <w:rsid w:val="002B1C5E"/>
    <w:rsid w:val="002B2D53"/>
    <w:rsid w:val="002B74B3"/>
    <w:rsid w:val="002B77E3"/>
    <w:rsid w:val="002B7A80"/>
    <w:rsid w:val="002C0633"/>
    <w:rsid w:val="002C5A7E"/>
    <w:rsid w:val="002C5CE8"/>
    <w:rsid w:val="002D0C05"/>
    <w:rsid w:val="002D2AE5"/>
    <w:rsid w:val="002D2F04"/>
    <w:rsid w:val="002F16AF"/>
    <w:rsid w:val="002F3B43"/>
    <w:rsid w:val="002F4B78"/>
    <w:rsid w:val="0030554D"/>
    <w:rsid w:val="003115AF"/>
    <w:rsid w:val="00311892"/>
    <w:rsid w:val="003134D1"/>
    <w:rsid w:val="00316B08"/>
    <w:rsid w:val="00325B12"/>
    <w:rsid w:val="00351F9B"/>
    <w:rsid w:val="00360206"/>
    <w:rsid w:val="00361C53"/>
    <w:rsid w:val="00367D6F"/>
    <w:rsid w:val="00374262"/>
    <w:rsid w:val="00374503"/>
    <w:rsid w:val="00383BFD"/>
    <w:rsid w:val="00384C6A"/>
    <w:rsid w:val="00396369"/>
    <w:rsid w:val="00397C08"/>
    <w:rsid w:val="003A08D9"/>
    <w:rsid w:val="003A1AD0"/>
    <w:rsid w:val="003A3102"/>
    <w:rsid w:val="003A4425"/>
    <w:rsid w:val="003A533A"/>
    <w:rsid w:val="003B17A2"/>
    <w:rsid w:val="003B229F"/>
    <w:rsid w:val="003B5E4D"/>
    <w:rsid w:val="003C1CD8"/>
    <w:rsid w:val="003C4BBC"/>
    <w:rsid w:val="003C5593"/>
    <w:rsid w:val="003C6DAB"/>
    <w:rsid w:val="003D2EE7"/>
    <w:rsid w:val="003D3F5A"/>
    <w:rsid w:val="003E0967"/>
    <w:rsid w:val="003E4B67"/>
    <w:rsid w:val="003E78F2"/>
    <w:rsid w:val="003F2D7E"/>
    <w:rsid w:val="003F44A1"/>
    <w:rsid w:val="0040200D"/>
    <w:rsid w:val="00402678"/>
    <w:rsid w:val="00402E1F"/>
    <w:rsid w:val="00406A98"/>
    <w:rsid w:val="00422945"/>
    <w:rsid w:val="0042329A"/>
    <w:rsid w:val="00427021"/>
    <w:rsid w:val="00431582"/>
    <w:rsid w:val="0043186D"/>
    <w:rsid w:val="00441747"/>
    <w:rsid w:val="00455877"/>
    <w:rsid w:val="00456F9E"/>
    <w:rsid w:val="00476A26"/>
    <w:rsid w:val="00482FEB"/>
    <w:rsid w:val="004846E5"/>
    <w:rsid w:val="00485A1D"/>
    <w:rsid w:val="00486CA3"/>
    <w:rsid w:val="004953E7"/>
    <w:rsid w:val="004977B9"/>
    <w:rsid w:val="004A4B97"/>
    <w:rsid w:val="004B0A0F"/>
    <w:rsid w:val="004B1A90"/>
    <w:rsid w:val="004B60D1"/>
    <w:rsid w:val="004B7884"/>
    <w:rsid w:val="004B7CFD"/>
    <w:rsid w:val="004C6A0A"/>
    <w:rsid w:val="004D4AED"/>
    <w:rsid w:val="004F22A9"/>
    <w:rsid w:val="004F22F1"/>
    <w:rsid w:val="004F6ECE"/>
    <w:rsid w:val="004F768B"/>
    <w:rsid w:val="0050108F"/>
    <w:rsid w:val="00502D48"/>
    <w:rsid w:val="005044B6"/>
    <w:rsid w:val="00506E65"/>
    <w:rsid w:val="00506FC0"/>
    <w:rsid w:val="00511218"/>
    <w:rsid w:val="00524751"/>
    <w:rsid w:val="0052689E"/>
    <w:rsid w:val="00534714"/>
    <w:rsid w:val="00534C04"/>
    <w:rsid w:val="00535AAE"/>
    <w:rsid w:val="00536942"/>
    <w:rsid w:val="005411E5"/>
    <w:rsid w:val="00542378"/>
    <w:rsid w:val="0054473E"/>
    <w:rsid w:val="0054493E"/>
    <w:rsid w:val="00550DEE"/>
    <w:rsid w:val="0055632B"/>
    <w:rsid w:val="00556584"/>
    <w:rsid w:val="0056065A"/>
    <w:rsid w:val="00566810"/>
    <w:rsid w:val="00570863"/>
    <w:rsid w:val="005724ED"/>
    <w:rsid w:val="005735C9"/>
    <w:rsid w:val="005803B2"/>
    <w:rsid w:val="00582A1D"/>
    <w:rsid w:val="00587CA6"/>
    <w:rsid w:val="00591068"/>
    <w:rsid w:val="0059408F"/>
    <w:rsid w:val="00594232"/>
    <w:rsid w:val="0059745C"/>
    <w:rsid w:val="00597648"/>
    <w:rsid w:val="005A097E"/>
    <w:rsid w:val="005A2F36"/>
    <w:rsid w:val="005A6599"/>
    <w:rsid w:val="005B0ADD"/>
    <w:rsid w:val="005B34EB"/>
    <w:rsid w:val="005B7052"/>
    <w:rsid w:val="005C4527"/>
    <w:rsid w:val="005D0BBF"/>
    <w:rsid w:val="005D2673"/>
    <w:rsid w:val="005D5514"/>
    <w:rsid w:val="005E41C0"/>
    <w:rsid w:val="005E5398"/>
    <w:rsid w:val="005E5E06"/>
    <w:rsid w:val="005E6DA5"/>
    <w:rsid w:val="005F07B6"/>
    <w:rsid w:val="005F54EF"/>
    <w:rsid w:val="00601FEE"/>
    <w:rsid w:val="006029FE"/>
    <w:rsid w:val="00605205"/>
    <w:rsid w:val="0060653F"/>
    <w:rsid w:val="0062381D"/>
    <w:rsid w:val="00626295"/>
    <w:rsid w:val="00627391"/>
    <w:rsid w:val="00633E0D"/>
    <w:rsid w:val="00636FFC"/>
    <w:rsid w:val="006423FE"/>
    <w:rsid w:val="00653755"/>
    <w:rsid w:val="00665939"/>
    <w:rsid w:val="0067342A"/>
    <w:rsid w:val="00675364"/>
    <w:rsid w:val="0067709A"/>
    <w:rsid w:val="006867C8"/>
    <w:rsid w:val="006A3872"/>
    <w:rsid w:val="006A3D5A"/>
    <w:rsid w:val="006A7C31"/>
    <w:rsid w:val="006B2B9B"/>
    <w:rsid w:val="006C0BB5"/>
    <w:rsid w:val="006C17B9"/>
    <w:rsid w:val="006C408B"/>
    <w:rsid w:val="006C5042"/>
    <w:rsid w:val="006D0E54"/>
    <w:rsid w:val="006D3FF7"/>
    <w:rsid w:val="006D4C20"/>
    <w:rsid w:val="006E06F0"/>
    <w:rsid w:val="006E4720"/>
    <w:rsid w:val="006E7BD1"/>
    <w:rsid w:val="006F20B0"/>
    <w:rsid w:val="006F2D3C"/>
    <w:rsid w:val="00703876"/>
    <w:rsid w:val="00712296"/>
    <w:rsid w:val="00713046"/>
    <w:rsid w:val="007130C2"/>
    <w:rsid w:val="007218B0"/>
    <w:rsid w:val="00724979"/>
    <w:rsid w:val="007274D3"/>
    <w:rsid w:val="00733E70"/>
    <w:rsid w:val="00733FF9"/>
    <w:rsid w:val="00734B9C"/>
    <w:rsid w:val="00744DAE"/>
    <w:rsid w:val="007522EF"/>
    <w:rsid w:val="00756FE9"/>
    <w:rsid w:val="0076031F"/>
    <w:rsid w:val="007608B3"/>
    <w:rsid w:val="00764D81"/>
    <w:rsid w:val="00774921"/>
    <w:rsid w:val="00774999"/>
    <w:rsid w:val="00775A08"/>
    <w:rsid w:val="00781162"/>
    <w:rsid w:val="00782089"/>
    <w:rsid w:val="007829C6"/>
    <w:rsid w:val="007844AD"/>
    <w:rsid w:val="007848A5"/>
    <w:rsid w:val="007849EF"/>
    <w:rsid w:val="00790AE1"/>
    <w:rsid w:val="00791DC4"/>
    <w:rsid w:val="007941DB"/>
    <w:rsid w:val="007A0005"/>
    <w:rsid w:val="007A7B60"/>
    <w:rsid w:val="007A7D64"/>
    <w:rsid w:val="007B50A2"/>
    <w:rsid w:val="007C0AF1"/>
    <w:rsid w:val="007C40D0"/>
    <w:rsid w:val="007C4619"/>
    <w:rsid w:val="007C7381"/>
    <w:rsid w:val="007D0954"/>
    <w:rsid w:val="007D3D91"/>
    <w:rsid w:val="007D675D"/>
    <w:rsid w:val="007E009C"/>
    <w:rsid w:val="007E4CF5"/>
    <w:rsid w:val="007E5523"/>
    <w:rsid w:val="007E68DA"/>
    <w:rsid w:val="007F101E"/>
    <w:rsid w:val="00800C86"/>
    <w:rsid w:val="00802599"/>
    <w:rsid w:val="0081198A"/>
    <w:rsid w:val="00813E8E"/>
    <w:rsid w:val="00815271"/>
    <w:rsid w:val="0081542F"/>
    <w:rsid w:val="0082179B"/>
    <w:rsid w:val="00831786"/>
    <w:rsid w:val="00831C30"/>
    <w:rsid w:val="00834995"/>
    <w:rsid w:val="0084080D"/>
    <w:rsid w:val="0084130B"/>
    <w:rsid w:val="00841810"/>
    <w:rsid w:val="00853D6A"/>
    <w:rsid w:val="008540FF"/>
    <w:rsid w:val="00855841"/>
    <w:rsid w:val="00863C5B"/>
    <w:rsid w:val="00865591"/>
    <w:rsid w:val="00870916"/>
    <w:rsid w:val="0087771A"/>
    <w:rsid w:val="00881DA7"/>
    <w:rsid w:val="00883CB4"/>
    <w:rsid w:val="00887529"/>
    <w:rsid w:val="00895506"/>
    <w:rsid w:val="008A2BCA"/>
    <w:rsid w:val="008A2D6E"/>
    <w:rsid w:val="008A7DD2"/>
    <w:rsid w:val="008B291F"/>
    <w:rsid w:val="008C18DB"/>
    <w:rsid w:val="008C5682"/>
    <w:rsid w:val="008D0048"/>
    <w:rsid w:val="008D7E28"/>
    <w:rsid w:val="008E33F7"/>
    <w:rsid w:val="008E523C"/>
    <w:rsid w:val="008E6148"/>
    <w:rsid w:val="008E725C"/>
    <w:rsid w:val="008F3EF7"/>
    <w:rsid w:val="008F5665"/>
    <w:rsid w:val="008F5CB5"/>
    <w:rsid w:val="009052B0"/>
    <w:rsid w:val="00907AFF"/>
    <w:rsid w:val="00910912"/>
    <w:rsid w:val="00915F7F"/>
    <w:rsid w:val="00916EFE"/>
    <w:rsid w:val="00922350"/>
    <w:rsid w:val="00923C1A"/>
    <w:rsid w:val="00931082"/>
    <w:rsid w:val="0093558D"/>
    <w:rsid w:val="00941609"/>
    <w:rsid w:val="009438D0"/>
    <w:rsid w:val="0094428D"/>
    <w:rsid w:val="00960EF7"/>
    <w:rsid w:val="0096622E"/>
    <w:rsid w:val="0096710B"/>
    <w:rsid w:val="00976567"/>
    <w:rsid w:val="0098298D"/>
    <w:rsid w:val="009949F0"/>
    <w:rsid w:val="009958E8"/>
    <w:rsid w:val="00995BB0"/>
    <w:rsid w:val="009A1E4C"/>
    <w:rsid w:val="009A755A"/>
    <w:rsid w:val="009B53C1"/>
    <w:rsid w:val="009C1759"/>
    <w:rsid w:val="009C2100"/>
    <w:rsid w:val="009C2A9A"/>
    <w:rsid w:val="009C3864"/>
    <w:rsid w:val="009C3DB7"/>
    <w:rsid w:val="009E0160"/>
    <w:rsid w:val="009E2C02"/>
    <w:rsid w:val="009E3936"/>
    <w:rsid w:val="009E401D"/>
    <w:rsid w:val="009E6E59"/>
    <w:rsid w:val="009F206A"/>
    <w:rsid w:val="009F4477"/>
    <w:rsid w:val="009F49D3"/>
    <w:rsid w:val="009F6C15"/>
    <w:rsid w:val="00A00D12"/>
    <w:rsid w:val="00A01A01"/>
    <w:rsid w:val="00A020F7"/>
    <w:rsid w:val="00A031C0"/>
    <w:rsid w:val="00A0384F"/>
    <w:rsid w:val="00A066D4"/>
    <w:rsid w:val="00A16E77"/>
    <w:rsid w:val="00A17937"/>
    <w:rsid w:val="00A257DA"/>
    <w:rsid w:val="00A278DA"/>
    <w:rsid w:val="00A27D8A"/>
    <w:rsid w:val="00A32A6B"/>
    <w:rsid w:val="00A32E51"/>
    <w:rsid w:val="00A37ADA"/>
    <w:rsid w:val="00A4397E"/>
    <w:rsid w:val="00A5302D"/>
    <w:rsid w:val="00A5396E"/>
    <w:rsid w:val="00A62005"/>
    <w:rsid w:val="00A7013D"/>
    <w:rsid w:val="00A75EA2"/>
    <w:rsid w:val="00A802F5"/>
    <w:rsid w:val="00A87D0B"/>
    <w:rsid w:val="00A95199"/>
    <w:rsid w:val="00A971E3"/>
    <w:rsid w:val="00AA06EC"/>
    <w:rsid w:val="00AA2B4D"/>
    <w:rsid w:val="00AB2633"/>
    <w:rsid w:val="00AB443B"/>
    <w:rsid w:val="00AB6D95"/>
    <w:rsid w:val="00AC13C5"/>
    <w:rsid w:val="00AC6FFF"/>
    <w:rsid w:val="00AC77A7"/>
    <w:rsid w:val="00AD4596"/>
    <w:rsid w:val="00AD4B1A"/>
    <w:rsid w:val="00AD61B7"/>
    <w:rsid w:val="00AE1584"/>
    <w:rsid w:val="00AE5E07"/>
    <w:rsid w:val="00AF2BF3"/>
    <w:rsid w:val="00B03D95"/>
    <w:rsid w:val="00B059ED"/>
    <w:rsid w:val="00B10E9B"/>
    <w:rsid w:val="00B119A9"/>
    <w:rsid w:val="00B21261"/>
    <w:rsid w:val="00B2285D"/>
    <w:rsid w:val="00B26F44"/>
    <w:rsid w:val="00B32D4A"/>
    <w:rsid w:val="00B3410B"/>
    <w:rsid w:val="00B35CD5"/>
    <w:rsid w:val="00B36203"/>
    <w:rsid w:val="00B44999"/>
    <w:rsid w:val="00B46648"/>
    <w:rsid w:val="00B47C32"/>
    <w:rsid w:val="00B53844"/>
    <w:rsid w:val="00B56D6E"/>
    <w:rsid w:val="00B64C8B"/>
    <w:rsid w:val="00B75213"/>
    <w:rsid w:val="00B807CE"/>
    <w:rsid w:val="00B819B5"/>
    <w:rsid w:val="00B841EE"/>
    <w:rsid w:val="00B84E50"/>
    <w:rsid w:val="00B9680F"/>
    <w:rsid w:val="00BA10D8"/>
    <w:rsid w:val="00BA1ADE"/>
    <w:rsid w:val="00BB696E"/>
    <w:rsid w:val="00BC1FF1"/>
    <w:rsid w:val="00BD3393"/>
    <w:rsid w:val="00BD537C"/>
    <w:rsid w:val="00BE565C"/>
    <w:rsid w:val="00BF1814"/>
    <w:rsid w:val="00BF2DEC"/>
    <w:rsid w:val="00BF725E"/>
    <w:rsid w:val="00C00B59"/>
    <w:rsid w:val="00C0127A"/>
    <w:rsid w:val="00C01B3E"/>
    <w:rsid w:val="00C04152"/>
    <w:rsid w:val="00C06AC0"/>
    <w:rsid w:val="00C07103"/>
    <w:rsid w:val="00C106B0"/>
    <w:rsid w:val="00C1370F"/>
    <w:rsid w:val="00C1396A"/>
    <w:rsid w:val="00C1505F"/>
    <w:rsid w:val="00C30846"/>
    <w:rsid w:val="00C31172"/>
    <w:rsid w:val="00C327C6"/>
    <w:rsid w:val="00C34F89"/>
    <w:rsid w:val="00C36B89"/>
    <w:rsid w:val="00C36FBA"/>
    <w:rsid w:val="00C41245"/>
    <w:rsid w:val="00C43E89"/>
    <w:rsid w:val="00C44991"/>
    <w:rsid w:val="00C47535"/>
    <w:rsid w:val="00C53ACF"/>
    <w:rsid w:val="00C5467B"/>
    <w:rsid w:val="00C5717E"/>
    <w:rsid w:val="00C659CA"/>
    <w:rsid w:val="00C65AEE"/>
    <w:rsid w:val="00C74A85"/>
    <w:rsid w:val="00C831A1"/>
    <w:rsid w:val="00C87053"/>
    <w:rsid w:val="00C90784"/>
    <w:rsid w:val="00C91121"/>
    <w:rsid w:val="00C952AB"/>
    <w:rsid w:val="00CA3369"/>
    <w:rsid w:val="00CA41BC"/>
    <w:rsid w:val="00CA59DC"/>
    <w:rsid w:val="00CB1ED0"/>
    <w:rsid w:val="00CB3878"/>
    <w:rsid w:val="00CC09CE"/>
    <w:rsid w:val="00CC2458"/>
    <w:rsid w:val="00CC68C9"/>
    <w:rsid w:val="00CC7652"/>
    <w:rsid w:val="00CD0653"/>
    <w:rsid w:val="00CD38F0"/>
    <w:rsid w:val="00CD6476"/>
    <w:rsid w:val="00CE2914"/>
    <w:rsid w:val="00CE675F"/>
    <w:rsid w:val="00CF2483"/>
    <w:rsid w:val="00CF6D6A"/>
    <w:rsid w:val="00D01049"/>
    <w:rsid w:val="00D03F92"/>
    <w:rsid w:val="00D069D3"/>
    <w:rsid w:val="00D3125B"/>
    <w:rsid w:val="00D31598"/>
    <w:rsid w:val="00D3533D"/>
    <w:rsid w:val="00D35579"/>
    <w:rsid w:val="00D35EC9"/>
    <w:rsid w:val="00D442DF"/>
    <w:rsid w:val="00D45009"/>
    <w:rsid w:val="00D45F19"/>
    <w:rsid w:val="00D5149F"/>
    <w:rsid w:val="00D54014"/>
    <w:rsid w:val="00D57442"/>
    <w:rsid w:val="00D61947"/>
    <w:rsid w:val="00D638C3"/>
    <w:rsid w:val="00D664CE"/>
    <w:rsid w:val="00D67E69"/>
    <w:rsid w:val="00D72586"/>
    <w:rsid w:val="00D815CE"/>
    <w:rsid w:val="00D878E4"/>
    <w:rsid w:val="00DA0354"/>
    <w:rsid w:val="00DA0E11"/>
    <w:rsid w:val="00DA2589"/>
    <w:rsid w:val="00DA3586"/>
    <w:rsid w:val="00DA51C3"/>
    <w:rsid w:val="00DA5E2A"/>
    <w:rsid w:val="00DB36E0"/>
    <w:rsid w:val="00DB5638"/>
    <w:rsid w:val="00DC1EFA"/>
    <w:rsid w:val="00DD374D"/>
    <w:rsid w:val="00DD53C9"/>
    <w:rsid w:val="00DE21E4"/>
    <w:rsid w:val="00DE6F32"/>
    <w:rsid w:val="00DF1AD8"/>
    <w:rsid w:val="00E12177"/>
    <w:rsid w:val="00E2078C"/>
    <w:rsid w:val="00E216E7"/>
    <w:rsid w:val="00E23803"/>
    <w:rsid w:val="00E245D7"/>
    <w:rsid w:val="00E25CA6"/>
    <w:rsid w:val="00E33C3F"/>
    <w:rsid w:val="00E370F5"/>
    <w:rsid w:val="00E505B5"/>
    <w:rsid w:val="00E51D0C"/>
    <w:rsid w:val="00E540BE"/>
    <w:rsid w:val="00E55C2A"/>
    <w:rsid w:val="00E576ED"/>
    <w:rsid w:val="00E63730"/>
    <w:rsid w:val="00E716BD"/>
    <w:rsid w:val="00E72244"/>
    <w:rsid w:val="00E95E67"/>
    <w:rsid w:val="00EA48AF"/>
    <w:rsid w:val="00EA6B2E"/>
    <w:rsid w:val="00EA734A"/>
    <w:rsid w:val="00EB4652"/>
    <w:rsid w:val="00EB64C6"/>
    <w:rsid w:val="00EC258E"/>
    <w:rsid w:val="00EC49D2"/>
    <w:rsid w:val="00EC5C5A"/>
    <w:rsid w:val="00EC6549"/>
    <w:rsid w:val="00EE022E"/>
    <w:rsid w:val="00EE0738"/>
    <w:rsid w:val="00EE6705"/>
    <w:rsid w:val="00EF5C23"/>
    <w:rsid w:val="00EF71A9"/>
    <w:rsid w:val="00F04427"/>
    <w:rsid w:val="00F060D4"/>
    <w:rsid w:val="00F067FF"/>
    <w:rsid w:val="00F0722E"/>
    <w:rsid w:val="00F104EF"/>
    <w:rsid w:val="00F219E6"/>
    <w:rsid w:val="00F32737"/>
    <w:rsid w:val="00F503B1"/>
    <w:rsid w:val="00F5768E"/>
    <w:rsid w:val="00F60AE1"/>
    <w:rsid w:val="00F62B18"/>
    <w:rsid w:val="00F70518"/>
    <w:rsid w:val="00F73091"/>
    <w:rsid w:val="00F82B9E"/>
    <w:rsid w:val="00F833E5"/>
    <w:rsid w:val="00F905A5"/>
    <w:rsid w:val="00F933E7"/>
    <w:rsid w:val="00F934B6"/>
    <w:rsid w:val="00F95F5F"/>
    <w:rsid w:val="00FA059E"/>
    <w:rsid w:val="00FA088A"/>
    <w:rsid w:val="00FA37B2"/>
    <w:rsid w:val="00FA3DCB"/>
    <w:rsid w:val="00FB4C55"/>
    <w:rsid w:val="00FB72F7"/>
    <w:rsid w:val="00FC065B"/>
    <w:rsid w:val="00FC7A07"/>
    <w:rsid w:val="00FD2643"/>
    <w:rsid w:val="00FE1A84"/>
    <w:rsid w:val="00FE282A"/>
    <w:rsid w:val="00FE2DA6"/>
    <w:rsid w:val="00FF24E3"/>
    <w:rsid w:val="00FF4258"/>
    <w:rsid w:val="00FF54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F5095D"/>
  <w15:chartTrackingRefBased/>
  <w15:docId w15:val="{814762C6-7229-4FCB-ACC0-22AB060AC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widowControl w:val="0"/>
      <w:spacing w:line="320" w:lineRule="exact"/>
      <w:jc w:val="center"/>
      <w:outlineLvl w:val="0"/>
    </w:pPr>
    <w:rPr>
      <w:b/>
      <w:sz w:val="24"/>
    </w:rPr>
  </w:style>
  <w:style w:type="paragraph" w:styleId="Ttulo2">
    <w:name w:val="heading 2"/>
    <w:basedOn w:val="Normal"/>
    <w:next w:val="Normal"/>
    <w:qFormat/>
    <w:pPr>
      <w:keepNext/>
      <w:widowControl w:val="0"/>
      <w:spacing w:line="320" w:lineRule="exact"/>
      <w:ind w:left="426" w:hanging="426"/>
      <w:jc w:val="both"/>
      <w:outlineLvl w:val="1"/>
    </w:pPr>
    <w:rPr>
      <w:sz w:val="24"/>
    </w:rPr>
  </w:style>
  <w:style w:type="paragraph" w:styleId="Ttulo3">
    <w:name w:val="heading 3"/>
    <w:basedOn w:val="Normal"/>
    <w:next w:val="Normal"/>
    <w:qFormat/>
    <w:pPr>
      <w:keepNext/>
      <w:jc w:val="center"/>
      <w:outlineLvl w:val="2"/>
    </w:pPr>
    <w:rPr>
      <w:sz w:val="24"/>
      <w:lang w:val="en-AU"/>
    </w:rPr>
  </w:style>
  <w:style w:type="paragraph" w:styleId="Ttulo4">
    <w:name w:val="heading 4"/>
    <w:basedOn w:val="Normal"/>
    <w:next w:val="Normal"/>
    <w:qFormat/>
    <w:pPr>
      <w:keepNext/>
      <w:pBdr>
        <w:bottom w:val="single" w:sz="6" w:space="1" w:color="auto"/>
      </w:pBdr>
      <w:spacing w:line="320" w:lineRule="exact"/>
      <w:jc w:val="center"/>
      <w:outlineLvl w:val="3"/>
    </w:pPr>
    <w:rPr>
      <w:b/>
      <w:sz w:val="22"/>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link w:val="Ttulo6Char"/>
    <w:qFormat/>
    <w:pPr>
      <w:keepNext/>
      <w:outlineLvl w:val="5"/>
    </w:pPr>
    <w:rPr>
      <w:b/>
    </w:rPr>
  </w:style>
  <w:style w:type="paragraph" w:styleId="Ttulo7">
    <w:name w:val="heading 7"/>
    <w:basedOn w:val="Normal"/>
    <w:next w:val="Normal"/>
    <w:qFormat/>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qFormat/>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qFormat/>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widowControl w:val="0"/>
      <w:spacing w:line="320" w:lineRule="exact"/>
      <w:jc w:val="center"/>
    </w:pPr>
    <w:rPr>
      <w:b/>
      <w:sz w:val="24"/>
    </w:rPr>
  </w:style>
  <w:style w:type="paragraph" w:styleId="Corpodetexto">
    <w:name w:val="Body Text"/>
    <w:aliases w:val="Corpo de texto Char Char Char Char Char,Corpo de texto Char Char Char Char"/>
    <w:basedOn w:val="Normal"/>
    <w:pPr>
      <w:jc w:val="center"/>
    </w:pPr>
    <w:rPr>
      <w:b/>
      <w:sz w:val="28"/>
      <w:lang w:val="en-AU" w:eastAsia="en-US"/>
    </w:rPr>
  </w:style>
  <w:style w:type="paragraph" w:styleId="Recuodecorpodetexto3">
    <w:name w:val="Body Text Indent 3"/>
    <w:basedOn w:val="Normal"/>
    <w:pPr>
      <w:widowControl w:val="0"/>
      <w:ind w:left="709" w:hanging="709"/>
      <w:jc w:val="both"/>
    </w:pPr>
    <w:rPr>
      <w:sz w:val="22"/>
    </w:rPr>
  </w:style>
  <w:style w:type="paragraph" w:styleId="Corpodetexto3">
    <w:name w:val="Body Text 3"/>
    <w:basedOn w:val="Normal"/>
    <w:pPr>
      <w:widowControl w:val="0"/>
      <w:spacing w:line="320" w:lineRule="exact"/>
      <w:jc w:val="both"/>
    </w:pPr>
    <w:rPr>
      <w:b/>
      <w:sz w:val="26"/>
    </w:rPr>
  </w:style>
  <w:style w:type="character" w:styleId="Nmerodepgina">
    <w:name w:val="page number"/>
    <w:basedOn w:val="Fontepargpadro"/>
  </w:style>
  <w:style w:type="paragraph" w:styleId="Rodap">
    <w:name w:val="footer"/>
    <w:basedOn w:val="Normal"/>
    <w:link w:val="RodapChar"/>
    <w:uiPriority w:val="99"/>
    <w:pPr>
      <w:tabs>
        <w:tab w:val="center" w:pos="4320"/>
        <w:tab w:val="right" w:pos="8640"/>
      </w:tabs>
    </w:pPr>
  </w:style>
  <w:style w:type="paragraph" w:styleId="Cabealho">
    <w:name w:val="header"/>
    <w:basedOn w:val="Normal"/>
    <w:link w:val="CabealhoChar"/>
    <w:pPr>
      <w:tabs>
        <w:tab w:val="center" w:pos="4320"/>
        <w:tab w:val="right" w:pos="8640"/>
      </w:tabs>
    </w:pPr>
  </w:style>
  <w:style w:type="paragraph" w:styleId="Corpodetexto2">
    <w:name w:val="Body Text 2"/>
    <w:basedOn w:val="Normal"/>
    <w:pPr>
      <w:jc w:val="both"/>
    </w:pPr>
    <w:rPr>
      <w:sz w:val="22"/>
    </w:rPr>
  </w:style>
  <w:style w:type="paragraph" w:styleId="Recuodecorpodetexto">
    <w:name w:val="Body Text Indent"/>
    <w:basedOn w:val="Normal"/>
    <w:pPr>
      <w:ind w:left="720" w:hanging="720"/>
      <w:jc w:val="both"/>
    </w:pPr>
    <w:rPr>
      <w:sz w:val="22"/>
    </w:rPr>
  </w:style>
  <w:style w:type="paragraph" w:styleId="Recuodecorpodetexto2">
    <w:name w:val="Body Text Indent 2"/>
    <w:basedOn w:val="Normal"/>
    <w:pPr>
      <w:ind w:left="720" w:hanging="720"/>
      <w:jc w:val="both"/>
    </w:pPr>
    <w:rPr>
      <w:snapToGrid w:val="0"/>
      <w:color w:val="000000"/>
      <w:sz w:val="22"/>
      <w:lang w:eastAsia="en-US"/>
    </w:rPr>
  </w:style>
  <w:style w:type="paragraph" w:styleId="Subttulo">
    <w:name w:val="Subtitle"/>
    <w:basedOn w:val="Normal"/>
    <w:qFormat/>
    <w:pPr>
      <w:spacing w:line="320" w:lineRule="exact"/>
      <w:ind w:left="720" w:right="656"/>
      <w:jc w:val="center"/>
    </w:pPr>
    <w:rPr>
      <w:b/>
      <w:sz w:val="22"/>
    </w:rPr>
  </w:style>
  <w:style w:type="paragraph" w:styleId="Textoembloco">
    <w:name w:val="Block Text"/>
    <w:basedOn w:val="Normal"/>
    <w:pPr>
      <w:ind w:left="1418" w:right="193" w:hanging="709"/>
      <w:jc w:val="both"/>
    </w:pPr>
    <w:rPr>
      <w:sz w:val="22"/>
    </w:rPr>
  </w:style>
  <w:style w:type="character" w:styleId="Refdecomentrio">
    <w:name w:val="annotation reference"/>
    <w:semiHidden/>
    <w:rPr>
      <w:sz w:val="16"/>
    </w:rPr>
  </w:style>
  <w:style w:type="paragraph" w:styleId="Textodecomentrio">
    <w:name w:val="annotation text"/>
    <w:basedOn w:val="Normal"/>
    <w:link w:val="TextodecomentrioChar"/>
    <w:semiHidden/>
    <w:pPr>
      <w:jc w:val="both"/>
    </w:pPr>
  </w:style>
  <w:style w:type="paragraph" w:customStyle="1" w:styleId="BodyText21">
    <w:name w:val="Body Text 21"/>
    <w:basedOn w:val="Normal"/>
    <w:pPr>
      <w:jc w:val="both"/>
    </w:pPr>
    <w:rPr>
      <w:sz w:val="22"/>
    </w:rPr>
  </w:style>
  <w:style w:type="paragraph" w:styleId="TextosemFormatao">
    <w:name w:val="Plain Text"/>
    <w:basedOn w:val="Normal"/>
    <w:rPr>
      <w:rFonts w:ascii="Courier New" w:hAnsi="Courier New"/>
    </w:rPr>
  </w:style>
  <w:style w:type="paragraph" w:styleId="Commarcadores">
    <w:name w:val="List Bullet"/>
    <w:basedOn w:val="Normal"/>
    <w:autoRedefine/>
    <w:pPr>
      <w:numPr>
        <w:numId w:val="6"/>
      </w:numPr>
    </w:pPr>
  </w:style>
  <w:style w:type="paragraph" w:styleId="NormalWeb">
    <w:name w:val="Normal (Web)"/>
    <w:basedOn w:val="Normal"/>
    <w:uiPriority w:val="99"/>
    <w:pPr>
      <w:spacing w:before="100" w:after="100"/>
    </w:pPr>
    <w:rPr>
      <w:rFonts w:ascii="Arial Unicode MS" w:eastAsia="Arial Unicode MS" w:hAnsi="Arial Unicode MS"/>
      <w:sz w:val="24"/>
    </w:rPr>
  </w:style>
  <w:style w:type="paragraph" w:customStyle="1" w:styleId="Textodebalo1">
    <w:name w:val="Texto de balão1"/>
    <w:basedOn w:val="Normal"/>
    <w:semiHidden/>
    <w:rPr>
      <w:rFonts w:ascii="Tahoma" w:hAnsi="Tahoma" w:cs="Tahoma"/>
      <w:sz w:val="16"/>
      <w:szCs w:val="16"/>
    </w:rPr>
  </w:style>
  <w:style w:type="character" w:styleId="Hyperlink">
    <w:name w:val="Hyperlink"/>
    <w:rPr>
      <w:color w:val="0000FF"/>
      <w:u w:val="single"/>
    </w:rPr>
  </w:style>
  <w:style w:type="paragraph" w:styleId="Textodenotaderodap">
    <w:name w:val="footnote text"/>
    <w:basedOn w:val="Normal"/>
    <w:link w:val="TextodenotaderodapChar"/>
    <w:uiPriority w:val="99"/>
  </w:style>
  <w:style w:type="character" w:styleId="Refdenotaderodap">
    <w:name w:val="footnote reference"/>
    <w:uiPriority w:val="99"/>
    <w:rPr>
      <w:vertAlign w:val="superscript"/>
    </w:rPr>
  </w:style>
  <w:style w:type="paragraph" w:styleId="Legenda">
    <w:name w:val="caption"/>
    <w:basedOn w:val="Normal"/>
    <w:next w:val="Normal"/>
    <w:qFormat/>
    <w:pPr>
      <w:keepNext/>
      <w:pBdr>
        <w:bottom w:val="single" w:sz="12" w:space="1" w:color="808080"/>
      </w:pBdr>
      <w:spacing w:before="360" w:after="240"/>
      <w:jc w:val="both"/>
    </w:pPr>
    <w:rPr>
      <w:rFonts w:ascii="Verdana" w:hAnsi="Verdana"/>
      <w:b/>
      <w:color w:val="000000"/>
      <w:sz w:val="22"/>
      <w:szCs w:val="22"/>
    </w:rPr>
  </w:style>
  <w:style w:type="character" w:styleId="HiperlinkVisitado">
    <w:name w:val="FollowedHyperlink"/>
    <w:rPr>
      <w:color w:val="800080"/>
      <w:u w:val="single"/>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orpo">
    <w:name w:val="Corpo"/>
    <w:basedOn w:val="Normal"/>
    <w:rsid w:val="000E4601"/>
    <w:pPr>
      <w:jc w:val="both"/>
    </w:pPr>
    <w:rPr>
      <w:color w:val="000000"/>
      <w:lang w:eastAsia="en-US"/>
    </w:rPr>
  </w:style>
  <w:style w:type="paragraph" w:customStyle="1" w:styleId="Char">
    <w:name w:val="Char"/>
    <w:basedOn w:val="Normal"/>
    <w:rsid w:val="006A3D5A"/>
    <w:pPr>
      <w:spacing w:after="160" w:line="240" w:lineRule="exact"/>
    </w:pPr>
    <w:rPr>
      <w:rFonts w:ascii="Verdana" w:hAnsi="Verdana"/>
      <w:lang w:val="en-US" w:eastAsia="en-US"/>
    </w:rPr>
  </w:style>
  <w:style w:type="paragraph" w:styleId="Textodebalo">
    <w:name w:val="Balloon Text"/>
    <w:basedOn w:val="Normal"/>
    <w:semiHidden/>
    <w:rsid w:val="00275868"/>
    <w:rPr>
      <w:rFonts w:ascii="Tahoma" w:hAnsi="Tahoma" w:cs="Tahoma"/>
      <w:sz w:val="16"/>
      <w:szCs w:val="16"/>
    </w:rPr>
  </w:style>
  <w:style w:type="character" w:styleId="nfase">
    <w:name w:val="Emphasis"/>
    <w:qFormat/>
    <w:rsid w:val="006C0BB5"/>
    <w:rPr>
      <w:i/>
      <w:iCs/>
    </w:rPr>
  </w:style>
  <w:style w:type="table" w:styleId="Tabelacomgrade">
    <w:name w:val="Table Grid"/>
    <w:basedOn w:val="Tabelanormal"/>
    <w:rsid w:val="006C0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semiHidden/>
    <w:rsid w:val="00427021"/>
    <w:pPr>
      <w:jc w:val="left"/>
    </w:pPr>
    <w:rPr>
      <w:b/>
      <w:bCs/>
    </w:rPr>
  </w:style>
  <w:style w:type="paragraph" w:customStyle="1" w:styleId="Char1">
    <w:name w:val="Char1"/>
    <w:basedOn w:val="Normal"/>
    <w:rsid w:val="00A802F5"/>
    <w:pPr>
      <w:spacing w:after="160" w:line="240" w:lineRule="exact"/>
    </w:pPr>
    <w:rPr>
      <w:rFonts w:ascii="Verdana" w:hAnsi="Verdana"/>
      <w:lang w:val="en-US" w:eastAsia="en-US"/>
    </w:rPr>
  </w:style>
  <w:style w:type="character" w:customStyle="1" w:styleId="CabealhoChar">
    <w:name w:val="Cabeçalho Char"/>
    <w:basedOn w:val="Fontepargpadro"/>
    <w:link w:val="Cabealho"/>
    <w:rsid w:val="00CC09CE"/>
  </w:style>
  <w:style w:type="character" w:customStyle="1" w:styleId="RodapChar">
    <w:name w:val="Rodapé Char"/>
    <w:basedOn w:val="Fontepargpadro"/>
    <w:link w:val="Rodap"/>
    <w:uiPriority w:val="99"/>
    <w:rsid w:val="00A87D0B"/>
  </w:style>
  <w:style w:type="paragraph" w:customStyle="1" w:styleId="CharCharCharCharCharChar">
    <w:name w:val="Char Char Char Char Char Char"/>
    <w:basedOn w:val="Normal"/>
    <w:rsid w:val="003A533A"/>
    <w:pPr>
      <w:spacing w:after="160" w:line="240" w:lineRule="exact"/>
    </w:pPr>
    <w:rPr>
      <w:rFonts w:ascii="Verdana" w:eastAsia="MS Mincho" w:hAnsi="Verdana"/>
      <w:lang w:val="en-US" w:eastAsia="en-US"/>
    </w:rPr>
  </w:style>
  <w:style w:type="paragraph" w:styleId="PargrafodaLista">
    <w:name w:val="List Paragraph"/>
    <w:basedOn w:val="Normal"/>
    <w:uiPriority w:val="34"/>
    <w:qFormat/>
    <w:rsid w:val="003A533A"/>
    <w:pPr>
      <w:ind w:left="708"/>
    </w:pPr>
    <w:rPr>
      <w:lang w:val="en-GB"/>
    </w:rPr>
  </w:style>
  <w:style w:type="character" w:customStyle="1" w:styleId="TextodecomentrioChar">
    <w:name w:val="Texto de comentário Char"/>
    <w:link w:val="Textodecomentrio"/>
    <w:semiHidden/>
    <w:locked/>
    <w:rsid w:val="00360206"/>
  </w:style>
  <w:style w:type="character" w:customStyle="1" w:styleId="Ttulo6Char">
    <w:name w:val="Título 6 Char"/>
    <w:link w:val="Ttulo6"/>
    <w:rsid w:val="00FF24E3"/>
    <w:rPr>
      <w:b/>
    </w:rPr>
  </w:style>
  <w:style w:type="character" w:customStyle="1" w:styleId="TextodenotaderodapChar">
    <w:name w:val="Texto de nota de rodapé Char"/>
    <w:basedOn w:val="Fontepargpadro"/>
    <w:link w:val="Textodenotaderodap"/>
    <w:uiPriority w:val="99"/>
    <w:rsid w:val="00FF24E3"/>
  </w:style>
  <w:style w:type="paragraph" w:styleId="Textodenotadefim">
    <w:name w:val="endnote text"/>
    <w:basedOn w:val="Normal"/>
    <w:link w:val="TextodenotadefimChar"/>
    <w:uiPriority w:val="99"/>
    <w:unhideWhenUsed/>
    <w:rsid w:val="00EB64C6"/>
  </w:style>
  <w:style w:type="character" w:customStyle="1" w:styleId="TextodenotadefimChar">
    <w:name w:val="Texto de nota de fim Char"/>
    <w:basedOn w:val="Fontepargpadro"/>
    <w:link w:val="Textodenotadefim"/>
    <w:uiPriority w:val="99"/>
    <w:rsid w:val="00EB64C6"/>
  </w:style>
  <w:style w:type="paragraph" w:styleId="Reviso">
    <w:name w:val="Revision"/>
    <w:hidden/>
    <w:uiPriority w:val="99"/>
    <w:semiHidden/>
    <w:rsid w:val="00122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987">
      <w:bodyDiv w:val="1"/>
      <w:marLeft w:val="0"/>
      <w:marRight w:val="0"/>
      <w:marTop w:val="0"/>
      <w:marBottom w:val="0"/>
      <w:divBdr>
        <w:top w:val="none" w:sz="0" w:space="0" w:color="auto"/>
        <w:left w:val="none" w:sz="0" w:space="0" w:color="auto"/>
        <w:bottom w:val="none" w:sz="0" w:space="0" w:color="auto"/>
        <w:right w:val="none" w:sz="0" w:space="0" w:color="auto"/>
      </w:divBdr>
    </w:div>
    <w:div w:id="28259118">
      <w:bodyDiv w:val="1"/>
      <w:marLeft w:val="0"/>
      <w:marRight w:val="0"/>
      <w:marTop w:val="0"/>
      <w:marBottom w:val="0"/>
      <w:divBdr>
        <w:top w:val="none" w:sz="0" w:space="0" w:color="auto"/>
        <w:left w:val="none" w:sz="0" w:space="0" w:color="auto"/>
        <w:bottom w:val="none" w:sz="0" w:space="0" w:color="auto"/>
        <w:right w:val="none" w:sz="0" w:space="0" w:color="auto"/>
      </w:divBdr>
    </w:div>
    <w:div w:id="28922989">
      <w:bodyDiv w:val="1"/>
      <w:marLeft w:val="0"/>
      <w:marRight w:val="0"/>
      <w:marTop w:val="0"/>
      <w:marBottom w:val="0"/>
      <w:divBdr>
        <w:top w:val="none" w:sz="0" w:space="0" w:color="auto"/>
        <w:left w:val="none" w:sz="0" w:space="0" w:color="auto"/>
        <w:bottom w:val="none" w:sz="0" w:space="0" w:color="auto"/>
        <w:right w:val="none" w:sz="0" w:space="0" w:color="auto"/>
      </w:divBdr>
    </w:div>
    <w:div w:id="32536212">
      <w:bodyDiv w:val="1"/>
      <w:marLeft w:val="0"/>
      <w:marRight w:val="0"/>
      <w:marTop w:val="0"/>
      <w:marBottom w:val="0"/>
      <w:divBdr>
        <w:top w:val="none" w:sz="0" w:space="0" w:color="auto"/>
        <w:left w:val="none" w:sz="0" w:space="0" w:color="auto"/>
        <w:bottom w:val="none" w:sz="0" w:space="0" w:color="auto"/>
        <w:right w:val="none" w:sz="0" w:space="0" w:color="auto"/>
      </w:divBdr>
    </w:div>
    <w:div w:id="62028244">
      <w:bodyDiv w:val="1"/>
      <w:marLeft w:val="0"/>
      <w:marRight w:val="0"/>
      <w:marTop w:val="0"/>
      <w:marBottom w:val="0"/>
      <w:divBdr>
        <w:top w:val="none" w:sz="0" w:space="0" w:color="auto"/>
        <w:left w:val="none" w:sz="0" w:space="0" w:color="auto"/>
        <w:bottom w:val="none" w:sz="0" w:space="0" w:color="auto"/>
        <w:right w:val="none" w:sz="0" w:space="0" w:color="auto"/>
      </w:divBdr>
    </w:div>
    <w:div w:id="100532609">
      <w:bodyDiv w:val="1"/>
      <w:marLeft w:val="0"/>
      <w:marRight w:val="0"/>
      <w:marTop w:val="0"/>
      <w:marBottom w:val="0"/>
      <w:divBdr>
        <w:top w:val="none" w:sz="0" w:space="0" w:color="auto"/>
        <w:left w:val="none" w:sz="0" w:space="0" w:color="auto"/>
        <w:bottom w:val="none" w:sz="0" w:space="0" w:color="auto"/>
        <w:right w:val="none" w:sz="0" w:space="0" w:color="auto"/>
      </w:divBdr>
    </w:div>
    <w:div w:id="113405719">
      <w:bodyDiv w:val="1"/>
      <w:marLeft w:val="0"/>
      <w:marRight w:val="0"/>
      <w:marTop w:val="0"/>
      <w:marBottom w:val="0"/>
      <w:divBdr>
        <w:top w:val="none" w:sz="0" w:space="0" w:color="auto"/>
        <w:left w:val="none" w:sz="0" w:space="0" w:color="auto"/>
        <w:bottom w:val="none" w:sz="0" w:space="0" w:color="auto"/>
        <w:right w:val="none" w:sz="0" w:space="0" w:color="auto"/>
      </w:divBdr>
    </w:div>
    <w:div w:id="179785405">
      <w:bodyDiv w:val="1"/>
      <w:marLeft w:val="0"/>
      <w:marRight w:val="0"/>
      <w:marTop w:val="0"/>
      <w:marBottom w:val="0"/>
      <w:divBdr>
        <w:top w:val="none" w:sz="0" w:space="0" w:color="auto"/>
        <w:left w:val="none" w:sz="0" w:space="0" w:color="auto"/>
        <w:bottom w:val="none" w:sz="0" w:space="0" w:color="auto"/>
        <w:right w:val="none" w:sz="0" w:space="0" w:color="auto"/>
      </w:divBdr>
    </w:div>
    <w:div w:id="180552467">
      <w:bodyDiv w:val="1"/>
      <w:marLeft w:val="0"/>
      <w:marRight w:val="0"/>
      <w:marTop w:val="0"/>
      <w:marBottom w:val="0"/>
      <w:divBdr>
        <w:top w:val="none" w:sz="0" w:space="0" w:color="auto"/>
        <w:left w:val="none" w:sz="0" w:space="0" w:color="auto"/>
        <w:bottom w:val="none" w:sz="0" w:space="0" w:color="auto"/>
        <w:right w:val="none" w:sz="0" w:space="0" w:color="auto"/>
      </w:divBdr>
    </w:div>
    <w:div w:id="188959705">
      <w:bodyDiv w:val="1"/>
      <w:marLeft w:val="0"/>
      <w:marRight w:val="0"/>
      <w:marTop w:val="0"/>
      <w:marBottom w:val="0"/>
      <w:divBdr>
        <w:top w:val="none" w:sz="0" w:space="0" w:color="auto"/>
        <w:left w:val="none" w:sz="0" w:space="0" w:color="auto"/>
        <w:bottom w:val="none" w:sz="0" w:space="0" w:color="auto"/>
        <w:right w:val="none" w:sz="0" w:space="0" w:color="auto"/>
      </w:divBdr>
    </w:div>
    <w:div w:id="221718453">
      <w:bodyDiv w:val="1"/>
      <w:marLeft w:val="0"/>
      <w:marRight w:val="0"/>
      <w:marTop w:val="0"/>
      <w:marBottom w:val="0"/>
      <w:divBdr>
        <w:top w:val="none" w:sz="0" w:space="0" w:color="auto"/>
        <w:left w:val="none" w:sz="0" w:space="0" w:color="auto"/>
        <w:bottom w:val="none" w:sz="0" w:space="0" w:color="auto"/>
        <w:right w:val="none" w:sz="0" w:space="0" w:color="auto"/>
      </w:divBdr>
    </w:div>
    <w:div w:id="227883075">
      <w:bodyDiv w:val="1"/>
      <w:marLeft w:val="0"/>
      <w:marRight w:val="0"/>
      <w:marTop w:val="0"/>
      <w:marBottom w:val="0"/>
      <w:divBdr>
        <w:top w:val="none" w:sz="0" w:space="0" w:color="auto"/>
        <w:left w:val="none" w:sz="0" w:space="0" w:color="auto"/>
        <w:bottom w:val="none" w:sz="0" w:space="0" w:color="auto"/>
        <w:right w:val="none" w:sz="0" w:space="0" w:color="auto"/>
      </w:divBdr>
    </w:div>
    <w:div w:id="382877156">
      <w:bodyDiv w:val="1"/>
      <w:marLeft w:val="0"/>
      <w:marRight w:val="0"/>
      <w:marTop w:val="0"/>
      <w:marBottom w:val="0"/>
      <w:divBdr>
        <w:top w:val="none" w:sz="0" w:space="0" w:color="auto"/>
        <w:left w:val="none" w:sz="0" w:space="0" w:color="auto"/>
        <w:bottom w:val="none" w:sz="0" w:space="0" w:color="auto"/>
        <w:right w:val="none" w:sz="0" w:space="0" w:color="auto"/>
      </w:divBdr>
    </w:div>
    <w:div w:id="399065327">
      <w:bodyDiv w:val="1"/>
      <w:marLeft w:val="0"/>
      <w:marRight w:val="0"/>
      <w:marTop w:val="0"/>
      <w:marBottom w:val="0"/>
      <w:divBdr>
        <w:top w:val="none" w:sz="0" w:space="0" w:color="auto"/>
        <w:left w:val="none" w:sz="0" w:space="0" w:color="auto"/>
        <w:bottom w:val="none" w:sz="0" w:space="0" w:color="auto"/>
        <w:right w:val="none" w:sz="0" w:space="0" w:color="auto"/>
      </w:divBdr>
    </w:div>
    <w:div w:id="445740404">
      <w:bodyDiv w:val="1"/>
      <w:marLeft w:val="0"/>
      <w:marRight w:val="0"/>
      <w:marTop w:val="0"/>
      <w:marBottom w:val="0"/>
      <w:divBdr>
        <w:top w:val="none" w:sz="0" w:space="0" w:color="auto"/>
        <w:left w:val="none" w:sz="0" w:space="0" w:color="auto"/>
        <w:bottom w:val="none" w:sz="0" w:space="0" w:color="auto"/>
        <w:right w:val="none" w:sz="0" w:space="0" w:color="auto"/>
      </w:divBdr>
    </w:div>
    <w:div w:id="446896083">
      <w:bodyDiv w:val="1"/>
      <w:marLeft w:val="0"/>
      <w:marRight w:val="0"/>
      <w:marTop w:val="0"/>
      <w:marBottom w:val="0"/>
      <w:divBdr>
        <w:top w:val="none" w:sz="0" w:space="0" w:color="auto"/>
        <w:left w:val="none" w:sz="0" w:space="0" w:color="auto"/>
        <w:bottom w:val="none" w:sz="0" w:space="0" w:color="auto"/>
        <w:right w:val="none" w:sz="0" w:space="0" w:color="auto"/>
      </w:divBdr>
    </w:div>
    <w:div w:id="455679037">
      <w:bodyDiv w:val="1"/>
      <w:marLeft w:val="0"/>
      <w:marRight w:val="0"/>
      <w:marTop w:val="0"/>
      <w:marBottom w:val="0"/>
      <w:divBdr>
        <w:top w:val="none" w:sz="0" w:space="0" w:color="auto"/>
        <w:left w:val="none" w:sz="0" w:space="0" w:color="auto"/>
        <w:bottom w:val="none" w:sz="0" w:space="0" w:color="auto"/>
        <w:right w:val="none" w:sz="0" w:space="0" w:color="auto"/>
      </w:divBdr>
    </w:div>
    <w:div w:id="487402398">
      <w:bodyDiv w:val="1"/>
      <w:marLeft w:val="0"/>
      <w:marRight w:val="0"/>
      <w:marTop w:val="0"/>
      <w:marBottom w:val="0"/>
      <w:divBdr>
        <w:top w:val="none" w:sz="0" w:space="0" w:color="auto"/>
        <w:left w:val="none" w:sz="0" w:space="0" w:color="auto"/>
        <w:bottom w:val="none" w:sz="0" w:space="0" w:color="auto"/>
        <w:right w:val="none" w:sz="0" w:space="0" w:color="auto"/>
      </w:divBdr>
    </w:div>
    <w:div w:id="500389991">
      <w:bodyDiv w:val="1"/>
      <w:marLeft w:val="0"/>
      <w:marRight w:val="0"/>
      <w:marTop w:val="0"/>
      <w:marBottom w:val="0"/>
      <w:divBdr>
        <w:top w:val="none" w:sz="0" w:space="0" w:color="auto"/>
        <w:left w:val="none" w:sz="0" w:space="0" w:color="auto"/>
        <w:bottom w:val="none" w:sz="0" w:space="0" w:color="auto"/>
        <w:right w:val="none" w:sz="0" w:space="0" w:color="auto"/>
      </w:divBdr>
    </w:div>
    <w:div w:id="535973573">
      <w:bodyDiv w:val="1"/>
      <w:marLeft w:val="0"/>
      <w:marRight w:val="0"/>
      <w:marTop w:val="0"/>
      <w:marBottom w:val="0"/>
      <w:divBdr>
        <w:top w:val="none" w:sz="0" w:space="0" w:color="auto"/>
        <w:left w:val="none" w:sz="0" w:space="0" w:color="auto"/>
        <w:bottom w:val="none" w:sz="0" w:space="0" w:color="auto"/>
        <w:right w:val="none" w:sz="0" w:space="0" w:color="auto"/>
      </w:divBdr>
    </w:div>
    <w:div w:id="554434829">
      <w:bodyDiv w:val="1"/>
      <w:marLeft w:val="0"/>
      <w:marRight w:val="0"/>
      <w:marTop w:val="0"/>
      <w:marBottom w:val="0"/>
      <w:divBdr>
        <w:top w:val="none" w:sz="0" w:space="0" w:color="auto"/>
        <w:left w:val="none" w:sz="0" w:space="0" w:color="auto"/>
        <w:bottom w:val="none" w:sz="0" w:space="0" w:color="auto"/>
        <w:right w:val="none" w:sz="0" w:space="0" w:color="auto"/>
      </w:divBdr>
    </w:div>
    <w:div w:id="568658392">
      <w:bodyDiv w:val="1"/>
      <w:marLeft w:val="0"/>
      <w:marRight w:val="0"/>
      <w:marTop w:val="0"/>
      <w:marBottom w:val="0"/>
      <w:divBdr>
        <w:top w:val="none" w:sz="0" w:space="0" w:color="auto"/>
        <w:left w:val="none" w:sz="0" w:space="0" w:color="auto"/>
        <w:bottom w:val="none" w:sz="0" w:space="0" w:color="auto"/>
        <w:right w:val="none" w:sz="0" w:space="0" w:color="auto"/>
      </w:divBdr>
    </w:div>
    <w:div w:id="585308919">
      <w:bodyDiv w:val="1"/>
      <w:marLeft w:val="0"/>
      <w:marRight w:val="0"/>
      <w:marTop w:val="0"/>
      <w:marBottom w:val="0"/>
      <w:divBdr>
        <w:top w:val="none" w:sz="0" w:space="0" w:color="auto"/>
        <w:left w:val="none" w:sz="0" w:space="0" w:color="auto"/>
        <w:bottom w:val="none" w:sz="0" w:space="0" w:color="auto"/>
        <w:right w:val="none" w:sz="0" w:space="0" w:color="auto"/>
      </w:divBdr>
    </w:div>
    <w:div w:id="659501817">
      <w:bodyDiv w:val="1"/>
      <w:marLeft w:val="0"/>
      <w:marRight w:val="0"/>
      <w:marTop w:val="0"/>
      <w:marBottom w:val="0"/>
      <w:divBdr>
        <w:top w:val="none" w:sz="0" w:space="0" w:color="auto"/>
        <w:left w:val="none" w:sz="0" w:space="0" w:color="auto"/>
        <w:bottom w:val="none" w:sz="0" w:space="0" w:color="auto"/>
        <w:right w:val="none" w:sz="0" w:space="0" w:color="auto"/>
      </w:divBdr>
    </w:div>
    <w:div w:id="701981994">
      <w:bodyDiv w:val="1"/>
      <w:marLeft w:val="0"/>
      <w:marRight w:val="0"/>
      <w:marTop w:val="0"/>
      <w:marBottom w:val="0"/>
      <w:divBdr>
        <w:top w:val="none" w:sz="0" w:space="0" w:color="auto"/>
        <w:left w:val="none" w:sz="0" w:space="0" w:color="auto"/>
        <w:bottom w:val="none" w:sz="0" w:space="0" w:color="auto"/>
        <w:right w:val="none" w:sz="0" w:space="0" w:color="auto"/>
      </w:divBdr>
    </w:div>
    <w:div w:id="754328286">
      <w:bodyDiv w:val="1"/>
      <w:marLeft w:val="0"/>
      <w:marRight w:val="0"/>
      <w:marTop w:val="0"/>
      <w:marBottom w:val="0"/>
      <w:divBdr>
        <w:top w:val="none" w:sz="0" w:space="0" w:color="auto"/>
        <w:left w:val="none" w:sz="0" w:space="0" w:color="auto"/>
        <w:bottom w:val="none" w:sz="0" w:space="0" w:color="auto"/>
        <w:right w:val="none" w:sz="0" w:space="0" w:color="auto"/>
      </w:divBdr>
    </w:div>
    <w:div w:id="791945266">
      <w:bodyDiv w:val="1"/>
      <w:marLeft w:val="0"/>
      <w:marRight w:val="0"/>
      <w:marTop w:val="0"/>
      <w:marBottom w:val="0"/>
      <w:divBdr>
        <w:top w:val="none" w:sz="0" w:space="0" w:color="auto"/>
        <w:left w:val="none" w:sz="0" w:space="0" w:color="auto"/>
        <w:bottom w:val="none" w:sz="0" w:space="0" w:color="auto"/>
        <w:right w:val="none" w:sz="0" w:space="0" w:color="auto"/>
      </w:divBdr>
    </w:div>
    <w:div w:id="831258857">
      <w:bodyDiv w:val="1"/>
      <w:marLeft w:val="0"/>
      <w:marRight w:val="0"/>
      <w:marTop w:val="0"/>
      <w:marBottom w:val="0"/>
      <w:divBdr>
        <w:top w:val="none" w:sz="0" w:space="0" w:color="auto"/>
        <w:left w:val="none" w:sz="0" w:space="0" w:color="auto"/>
        <w:bottom w:val="none" w:sz="0" w:space="0" w:color="auto"/>
        <w:right w:val="none" w:sz="0" w:space="0" w:color="auto"/>
      </w:divBdr>
    </w:div>
    <w:div w:id="873807821">
      <w:bodyDiv w:val="1"/>
      <w:marLeft w:val="0"/>
      <w:marRight w:val="0"/>
      <w:marTop w:val="0"/>
      <w:marBottom w:val="0"/>
      <w:divBdr>
        <w:top w:val="none" w:sz="0" w:space="0" w:color="auto"/>
        <w:left w:val="none" w:sz="0" w:space="0" w:color="auto"/>
        <w:bottom w:val="none" w:sz="0" w:space="0" w:color="auto"/>
        <w:right w:val="none" w:sz="0" w:space="0" w:color="auto"/>
      </w:divBdr>
    </w:div>
    <w:div w:id="941299314">
      <w:bodyDiv w:val="1"/>
      <w:marLeft w:val="0"/>
      <w:marRight w:val="0"/>
      <w:marTop w:val="0"/>
      <w:marBottom w:val="0"/>
      <w:divBdr>
        <w:top w:val="none" w:sz="0" w:space="0" w:color="auto"/>
        <w:left w:val="none" w:sz="0" w:space="0" w:color="auto"/>
        <w:bottom w:val="none" w:sz="0" w:space="0" w:color="auto"/>
        <w:right w:val="none" w:sz="0" w:space="0" w:color="auto"/>
      </w:divBdr>
    </w:div>
    <w:div w:id="961769144">
      <w:bodyDiv w:val="1"/>
      <w:marLeft w:val="0"/>
      <w:marRight w:val="0"/>
      <w:marTop w:val="0"/>
      <w:marBottom w:val="0"/>
      <w:divBdr>
        <w:top w:val="none" w:sz="0" w:space="0" w:color="auto"/>
        <w:left w:val="none" w:sz="0" w:space="0" w:color="auto"/>
        <w:bottom w:val="none" w:sz="0" w:space="0" w:color="auto"/>
        <w:right w:val="none" w:sz="0" w:space="0" w:color="auto"/>
      </w:divBdr>
    </w:div>
    <w:div w:id="1059284586">
      <w:bodyDiv w:val="1"/>
      <w:marLeft w:val="0"/>
      <w:marRight w:val="0"/>
      <w:marTop w:val="0"/>
      <w:marBottom w:val="0"/>
      <w:divBdr>
        <w:top w:val="none" w:sz="0" w:space="0" w:color="auto"/>
        <w:left w:val="none" w:sz="0" w:space="0" w:color="auto"/>
        <w:bottom w:val="none" w:sz="0" w:space="0" w:color="auto"/>
        <w:right w:val="none" w:sz="0" w:space="0" w:color="auto"/>
      </w:divBdr>
    </w:div>
    <w:div w:id="1092823730">
      <w:bodyDiv w:val="1"/>
      <w:marLeft w:val="0"/>
      <w:marRight w:val="0"/>
      <w:marTop w:val="0"/>
      <w:marBottom w:val="0"/>
      <w:divBdr>
        <w:top w:val="none" w:sz="0" w:space="0" w:color="auto"/>
        <w:left w:val="none" w:sz="0" w:space="0" w:color="auto"/>
        <w:bottom w:val="none" w:sz="0" w:space="0" w:color="auto"/>
        <w:right w:val="none" w:sz="0" w:space="0" w:color="auto"/>
      </w:divBdr>
    </w:div>
    <w:div w:id="1121532771">
      <w:bodyDiv w:val="1"/>
      <w:marLeft w:val="0"/>
      <w:marRight w:val="0"/>
      <w:marTop w:val="0"/>
      <w:marBottom w:val="0"/>
      <w:divBdr>
        <w:top w:val="none" w:sz="0" w:space="0" w:color="auto"/>
        <w:left w:val="none" w:sz="0" w:space="0" w:color="auto"/>
        <w:bottom w:val="none" w:sz="0" w:space="0" w:color="auto"/>
        <w:right w:val="none" w:sz="0" w:space="0" w:color="auto"/>
      </w:divBdr>
    </w:div>
    <w:div w:id="1171261166">
      <w:bodyDiv w:val="1"/>
      <w:marLeft w:val="0"/>
      <w:marRight w:val="0"/>
      <w:marTop w:val="0"/>
      <w:marBottom w:val="0"/>
      <w:divBdr>
        <w:top w:val="none" w:sz="0" w:space="0" w:color="auto"/>
        <w:left w:val="none" w:sz="0" w:space="0" w:color="auto"/>
        <w:bottom w:val="none" w:sz="0" w:space="0" w:color="auto"/>
        <w:right w:val="none" w:sz="0" w:space="0" w:color="auto"/>
      </w:divBdr>
    </w:div>
    <w:div w:id="1183395924">
      <w:bodyDiv w:val="1"/>
      <w:marLeft w:val="0"/>
      <w:marRight w:val="0"/>
      <w:marTop w:val="0"/>
      <w:marBottom w:val="0"/>
      <w:divBdr>
        <w:top w:val="none" w:sz="0" w:space="0" w:color="auto"/>
        <w:left w:val="none" w:sz="0" w:space="0" w:color="auto"/>
        <w:bottom w:val="none" w:sz="0" w:space="0" w:color="auto"/>
        <w:right w:val="none" w:sz="0" w:space="0" w:color="auto"/>
      </w:divBdr>
    </w:div>
    <w:div w:id="1203439565">
      <w:bodyDiv w:val="1"/>
      <w:marLeft w:val="0"/>
      <w:marRight w:val="0"/>
      <w:marTop w:val="0"/>
      <w:marBottom w:val="0"/>
      <w:divBdr>
        <w:top w:val="none" w:sz="0" w:space="0" w:color="auto"/>
        <w:left w:val="none" w:sz="0" w:space="0" w:color="auto"/>
        <w:bottom w:val="none" w:sz="0" w:space="0" w:color="auto"/>
        <w:right w:val="none" w:sz="0" w:space="0" w:color="auto"/>
      </w:divBdr>
    </w:div>
    <w:div w:id="1300841503">
      <w:bodyDiv w:val="1"/>
      <w:marLeft w:val="0"/>
      <w:marRight w:val="0"/>
      <w:marTop w:val="0"/>
      <w:marBottom w:val="0"/>
      <w:divBdr>
        <w:top w:val="none" w:sz="0" w:space="0" w:color="auto"/>
        <w:left w:val="none" w:sz="0" w:space="0" w:color="auto"/>
        <w:bottom w:val="none" w:sz="0" w:space="0" w:color="auto"/>
        <w:right w:val="none" w:sz="0" w:space="0" w:color="auto"/>
      </w:divBdr>
    </w:div>
    <w:div w:id="1390497212">
      <w:bodyDiv w:val="1"/>
      <w:marLeft w:val="0"/>
      <w:marRight w:val="0"/>
      <w:marTop w:val="0"/>
      <w:marBottom w:val="0"/>
      <w:divBdr>
        <w:top w:val="none" w:sz="0" w:space="0" w:color="auto"/>
        <w:left w:val="none" w:sz="0" w:space="0" w:color="auto"/>
        <w:bottom w:val="none" w:sz="0" w:space="0" w:color="auto"/>
        <w:right w:val="none" w:sz="0" w:space="0" w:color="auto"/>
      </w:divBdr>
    </w:div>
    <w:div w:id="1397167141">
      <w:bodyDiv w:val="1"/>
      <w:marLeft w:val="0"/>
      <w:marRight w:val="0"/>
      <w:marTop w:val="0"/>
      <w:marBottom w:val="0"/>
      <w:divBdr>
        <w:top w:val="none" w:sz="0" w:space="0" w:color="auto"/>
        <w:left w:val="none" w:sz="0" w:space="0" w:color="auto"/>
        <w:bottom w:val="none" w:sz="0" w:space="0" w:color="auto"/>
        <w:right w:val="none" w:sz="0" w:space="0" w:color="auto"/>
      </w:divBdr>
    </w:div>
    <w:div w:id="1415542577">
      <w:bodyDiv w:val="1"/>
      <w:marLeft w:val="0"/>
      <w:marRight w:val="0"/>
      <w:marTop w:val="0"/>
      <w:marBottom w:val="0"/>
      <w:divBdr>
        <w:top w:val="none" w:sz="0" w:space="0" w:color="auto"/>
        <w:left w:val="none" w:sz="0" w:space="0" w:color="auto"/>
        <w:bottom w:val="none" w:sz="0" w:space="0" w:color="auto"/>
        <w:right w:val="none" w:sz="0" w:space="0" w:color="auto"/>
      </w:divBdr>
    </w:div>
    <w:div w:id="1463188176">
      <w:bodyDiv w:val="1"/>
      <w:marLeft w:val="0"/>
      <w:marRight w:val="0"/>
      <w:marTop w:val="0"/>
      <w:marBottom w:val="0"/>
      <w:divBdr>
        <w:top w:val="none" w:sz="0" w:space="0" w:color="auto"/>
        <w:left w:val="none" w:sz="0" w:space="0" w:color="auto"/>
        <w:bottom w:val="none" w:sz="0" w:space="0" w:color="auto"/>
        <w:right w:val="none" w:sz="0" w:space="0" w:color="auto"/>
      </w:divBdr>
    </w:div>
    <w:div w:id="1500542529">
      <w:bodyDiv w:val="1"/>
      <w:marLeft w:val="0"/>
      <w:marRight w:val="0"/>
      <w:marTop w:val="0"/>
      <w:marBottom w:val="0"/>
      <w:divBdr>
        <w:top w:val="none" w:sz="0" w:space="0" w:color="auto"/>
        <w:left w:val="none" w:sz="0" w:space="0" w:color="auto"/>
        <w:bottom w:val="none" w:sz="0" w:space="0" w:color="auto"/>
        <w:right w:val="none" w:sz="0" w:space="0" w:color="auto"/>
      </w:divBdr>
    </w:div>
    <w:div w:id="1536652299">
      <w:bodyDiv w:val="1"/>
      <w:marLeft w:val="0"/>
      <w:marRight w:val="0"/>
      <w:marTop w:val="0"/>
      <w:marBottom w:val="0"/>
      <w:divBdr>
        <w:top w:val="none" w:sz="0" w:space="0" w:color="auto"/>
        <w:left w:val="none" w:sz="0" w:space="0" w:color="auto"/>
        <w:bottom w:val="none" w:sz="0" w:space="0" w:color="auto"/>
        <w:right w:val="none" w:sz="0" w:space="0" w:color="auto"/>
      </w:divBdr>
    </w:div>
    <w:div w:id="1567229407">
      <w:bodyDiv w:val="1"/>
      <w:marLeft w:val="0"/>
      <w:marRight w:val="0"/>
      <w:marTop w:val="0"/>
      <w:marBottom w:val="0"/>
      <w:divBdr>
        <w:top w:val="none" w:sz="0" w:space="0" w:color="auto"/>
        <w:left w:val="none" w:sz="0" w:space="0" w:color="auto"/>
        <w:bottom w:val="none" w:sz="0" w:space="0" w:color="auto"/>
        <w:right w:val="none" w:sz="0" w:space="0" w:color="auto"/>
      </w:divBdr>
    </w:div>
    <w:div w:id="1573347744">
      <w:bodyDiv w:val="1"/>
      <w:marLeft w:val="0"/>
      <w:marRight w:val="0"/>
      <w:marTop w:val="0"/>
      <w:marBottom w:val="0"/>
      <w:divBdr>
        <w:top w:val="none" w:sz="0" w:space="0" w:color="auto"/>
        <w:left w:val="none" w:sz="0" w:space="0" w:color="auto"/>
        <w:bottom w:val="none" w:sz="0" w:space="0" w:color="auto"/>
        <w:right w:val="none" w:sz="0" w:space="0" w:color="auto"/>
      </w:divBdr>
    </w:div>
    <w:div w:id="1624919162">
      <w:bodyDiv w:val="1"/>
      <w:marLeft w:val="0"/>
      <w:marRight w:val="0"/>
      <w:marTop w:val="0"/>
      <w:marBottom w:val="0"/>
      <w:divBdr>
        <w:top w:val="none" w:sz="0" w:space="0" w:color="auto"/>
        <w:left w:val="none" w:sz="0" w:space="0" w:color="auto"/>
        <w:bottom w:val="none" w:sz="0" w:space="0" w:color="auto"/>
        <w:right w:val="none" w:sz="0" w:space="0" w:color="auto"/>
      </w:divBdr>
    </w:div>
    <w:div w:id="1628051991">
      <w:bodyDiv w:val="1"/>
      <w:marLeft w:val="0"/>
      <w:marRight w:val="0"/>
      <w:marTop w:val="0"/>
      <w:marBottom w:val="0"/>
      <w:divBdr>
        <w:top w:val="none" w:sz="0" w:space="0" w:color="auto"/>
        <w:left w:val="none" w:sz="0" w:space="0" w:color="auto"/>
        <w:bottom w:val="none" w:sz="0" w:space="0" w:color="auto"/>
        <w:right w:val="none" w:sz="0" w:space="0" w:color="auto"/>
      </w:divBdr>
    </w:div>
    <w:div w:id="1691879988">
      <w:bodyDiv w:val="1"/>
      <w:marLeft w:val="0"/>
      <w:marRight w:val="0"/>
      <w:marTop w:val="0"/>
      <w:marBottom w:val="0"/>
      <w:divBdr>
        <w:top w:val="none" w:sz="0" w:space="0" w:color="auto"/>
        <w:left w:val="none" w:sz="0" w:space="0" w:color="auto"/>
        <w:bottom w:val="none" w:sz="0" w:space="0" w:color="auto"/>
        <w:right w:val="none" w:sz="0" w:space="0" w:color="auto"/>
      </w:divBdr>
    </w:div>
    <w:div w:id="1694259083">
      <w:bodyDiv w:val="1"/>
      <w:marLeft w:val="0"/>
      <w:marRight w:val="0"/>
      <w:marTop w:val="0"/>
      <w:marBottom w:val="0"/>
      <w:divBdr>
        <w:top w:val="none" w:sz="0" w:space="0" w:color="auto"/>
        <w:left w:val="none" w:sz="0" w:space="0" w:color="auto"/>
        <w:bottom w:val="none" w:sz="0" w:space="0" w:color="auto"/>
        <w:right w:val="none" w:sz="0" w:space="0" w:color="auto"/>
      </w:divBdr>
    </w:div>
    <w:div w:id="1700277558">
      <w:bodyDiv w:val="1"/>
      <w:marLeft w:val="0"/>
      <w:marRight w:val="0"/>
      <w:marTop w:val="0"/>
      <w:marBottom w:val="0"/>
      <w:divBdr>
        <w:top w:val="none" w:sz="0" w:space="0" w:color="auto"/>
        <w:left w:val="none" w:sz="0" w:space="0" w:color="auto"/>
        <w:bottom w:val="none" w:sz="0" w:space="0" w:color="auto"/>
        <w:right w:val="none" w:sz="0" w:space="0" w:color="auto"/>
      </w:divBdr>
    </w:div>
    <w:div w:id="1741322189">
      <w:bodyDiv w:val="1"/>
      <w:marLeft w:val="0"/>
      <w:marRight w:val="0"/>
      <w:marTop w:val="0"/>
      <w:marBottom w:val="0"/>
      <w:divBdr>
        <w:top w:val="none" w:sz="0" w:space="0" w:color="auto"/>
        <w:left w:val="none" w:sz="0" w:space="0" w:color="auto"/>
        <w:bottom w:val="none" w:sz="0" w:space="0" w:color="auto"/>
        <w:right w:val="none" w:sz="0" w:space="0" w:color="auto"/>
      </w:divBdr>
    </w:div>
    <w:div w:id="1779107548">
      <w:bodyDiv w:val="1"/>
      <w:marLeft w:val="0"/>
      <w:marRight w:val="0"/>
      <w:marTop w:val="0"/>
      <w:marBottom w:val="0"/>
      <w:divBdr>
        <w:top w:val="none" w:sz="0" w:space="0" w:color="auto"/>
        <w:left w:val="none" w:sz="0" w:space="0" w:color="auto"/>
        <w:bottom w:val="none" w:sz="0" w:space="0" w:color="auto"/>
        <w:right w:val="none" w:sz="0" w:space="0" w:color="auto"/>
      </w:divBdr>
    </w:div>
    <w:div w:id="1779838398">
      <w:bodyDiv w:val="1"/>
      <w:marLeft w:val="0"/>
      <w:marRight w:val="0"/>
      <w:marTop w:val="0"/>
      <w:marBottom w:val="0"/>
      <w:divBdr>
        <w:top w:val="none" w:sz="0" w:space="0" w:color="auto"/>
        <w:left w:val="none" w:sz="0" w:space="0" w:color="auto"/>
        <w:bottom w:val="none" w:sz="0" w:space="0" w:color="auto"/>
        <w:right w:val="none" w:sz="0" w:space="0" w:color="auto"/>
      </w:divBdr>
    </w:div>
    <w:div w:id="1824540480">
      <w:bodyDiv w:val="1"/>
      <w:marLeft w:val="0"/>
      <w:marRight w:val="0"/>
      <w:marTop w:val="0"/>
      <w:marBottom w:val="0"/>
      <w:divBdr>
        <w:top w:val="none" w:sz="0" w:space="0" w:color="auto"/>
        <w:left w:val="none" w:sz="0" w:space="0" w:color="auto"/>
        <w:bottom w:val="none" w:sz="0" w:space="0" w:color="auto"/>
        <w:right w:val="none" w:sz="0" w:space="0" w:color="auto"/>
      </w:divBdr>
    </w:div>
    <w:div w:id="1851069220">
      <w:bodyDiv w:val="1"/>
      <w:marLeft w:val="0"/>
      <w:marRight w:val="0"/>
      <w:marTop w:val="0"/>
      <w:marBottom w:val="0"/>
      <w:divBdr>
        <w:top w:val="none" w:sz="0" w:space="0" w:color="auto"/>
        <w:left w:val="none" w:sz="0" w:space="0" w:color="auto"/>
        <w:bottom w:val="none" w:sz="0" w:space="0" w:color="auto"/>
        <w:right w:val="none" w:sz="0" w:space="0" w:color="auto"/>
      </w:divBdr>
    </w:div>
    <w:div w:id="1856773332">
      <w:bodyDiv w:val="1"/>
      <w:marLeft w:val="0"/>
      <w:marRight w:val="0"/>
      <w:marTop w:val="0"/>
      <w:marBottom w:val="0"/>
      <w:divBdr>
        <w:top w:val="none" w:sz="0" w:space="0" w:color="auto"/>
        <w:left w:val="none" w:sz="0" w:space="0" w:color="auto"/>
        <w:bottom w:val="none" w:sz="0" w:space="0" w:color="auto"/>
        <w:right w:val="none" w:sz="0" w:space="0" w:color="auto"/>
      </w:divBdr>
    </w:div>
    <w:div w:id="1875922430">
      <w:bodyDiv w:val="1"/>
      <w:marLeft w:val="0"/>
      <w:marRight w:val="0"/>
      <w:marTop w:val="0"/>
      <w:marBottom w:val="0"/>
      <w:divBdr>
        <w:top w:val="none" w:sz="0" w:space="0" w:color="auto"/>
        <w:left w:val="none" w:sz="0" w:space="0" w:color="auto"/>
        <w:bottom w:val="none" w:sz="0" w:space="0" w:color="auto"/>
        <w:right w:val="none" w:sz="0" w:space="0" w:color="auto"/>
      </w:divBdr>
    </w:div>
    <w:div w:id="1924950310">
      <w:bodyDiv w:val="1"/>
      <w:marLeft w:val="0"/>
      <w:marRight w:val="0"/>
      <w:marTop w:val="0"/>
      <w:marBottom w:val="0"/>
      <w:divBdr>
        <w:top w:val="none" w:sz="0" w:space="0" w:color="auto"/>
        <w:left w:val="none" w:sz="0" w:space="0" w:color="auto"/>
        <w:bottom w:val="none" w:sz="0" w:space="0" w:color="auto"/>
        <w:right w:val="none" w:sz="0" w:space="0" w:color="auto"/>
      </w:divBdr>
    </w:div>
    <w:div w:id="1955361659">
      <w:bodyDiv w:val="1"/>
      <w:marLeft w:val="0"/>
      <w:marRight w:val="0"/>
      <w:marTop w:val="0"/>
      <w:marBottom w:val="0"/>
      <w:divBdr>
        <w:top w:val="none" w:sz="0" w:space="0" w:color="auto"/>
        <w:left w:val="none" w:sz="0" w:space="0" w:color="auto"/>
        <w:bottom w:val="none" w:sz="0" w:space="0" w:color="auto"/>
        <w:right w:val="none" w:sz="0" w:space="0" w:color="auto"/>
      </w:divBdr>
    </w:div>
    <w:div w:id="2079085924">
      <w:bodyDiv w:val="1"/>
      <w:marLeft w:val="0"/>
      <w:marRight w:val="0"/>
      <w:marTop w:val="0"/>
      <w:marBottom w:val="0"/>
      <w:divBdr>
        <w:top w:val="none" w:sz="0" w:space="0" w:color="auto"/>
        <w:left w:val="none" w:sz="0" w:space="0" w:color="auto"/>
        <w:bottom w:val="none" w:sz="0" w:space="0" w:color="auto"/>
        <w:right w:val="none" w:sz="0" w:space="0" w:color="auto"/>
      </w:divBdr>
    </w:div>
    <w:div w:id="21444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bimacom.br/ima/i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C1D31-DC82-426C-A6A7-4380FDF5F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5651</Words>
  <Characters>31700</Characters>
  <Application>Microsoft Office Word</Application>
  <DocSecurity>0</DocSecurity>
  <Lines>264</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REGULAMENTO DO</vt:lpstr>
      <vt:lpstr>REGULAMENTO DO</vt:lpstr>
    </vt:vector>
  </TitlesOfParts>
  <Company>ABN AMRO Bank N.V.</Company>
  <LinksUpToDate>false</LinksUpToDate>
  <CharactersWithSpaces>37277</CharactersWithSpaces>
  <SharedDoc>false</SharedDoc>
  <HLinks>
    <vt:vector size="6" baseType="variant">
      <vt:variant>
        <vt:i4>2687076</vt:i4>
      </vt:variant>
      <vt:variant>
        <vt:i4>0</vt:i4>
      </vt:variant>
      <vt:variant>
        <vt:i4>0</vt:i4>
      </vt:variant>
      <vt:variant>
        <vt:i4>5</vt:i4>
      </vt:variant>
      <vt:variant>
        <vt:lpwstr>http://www.anbimacom.br/ima/im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dc:title>
  <dc:subject/>
  <dc:creator>VRFR</dc:creator>
  <cp:keywords/>
  <dc:description>SP - 099084-00002 - 970958v1</dc:description>
  <cp:lastModifiedBy>Silmara Aleixo dos Santos Noronha</cp:lastModifiedBy>
  <cp:revision>2</cp:revision>
  <cp:lastPrinted>2023-04-24T19:51:00Z</cp:lastPrinted>
  <dcterms:created xsi:type="dcterms:W3CDTF">2023-12-28T14:45:00Z</dcterms:created>
  <dcterms:modified xsi:type="dcterms:W3CDTF">2023-12-28T14:45:00Z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SP - 099084-00002 - 970958v1 </vt:lpwstr>
  </property>
  <property fmtid="{D5CDD505-2E9C-101B-9397-08002B2CF9AE}" pid="3" name="_NewReviewCycle">
    <vt:lpwstr/>
  </property>
  <property fmtid="{D5CDD505-2E9C-101B-9397-08002B2CF9AE}" pid="4" name="MSIP_Label_0c2abd79-57a9-4473-8700-c843f76a1e37_Enabled">
    <vt:lpwstr>true</vt:lpwstr>
  </property>
  <property fmtid="{D5CDD505-2E9C-101B-9397-08002B2CF9AE}" pid="5" name="MSIP_Label_0c2abd79-57a9-4473-8700-c843f76a1e37_SetDate">
    <vt:lpwstr>2023-04-17T18:55:35Z</vt:lpwstr>
  </property>
  <property fmtid="{D5CDD505-2E9C-101B-9397-08002B2CF9AE}" pid="6" name="MSIP_Label_0c2abd79-57a9-4473-8700-c843f76a1e37_Method">
    <vt:lpwstr>Privileged</vt:lpwstr>
  </property>
  <property fmtid="{D5CDD505-2E9C-101B-9397-08002B2CF9AE}" pid="7" name="MSIP_Label_0c2abd79-57a9-4473-8700-c843f76a1e37_Name">
    <vt:lpwstr>Internal</vt:lpwstr>
  </property>
  <property fmtid="{D5CDD505-2E9C-101B-9397-08002B2CF9AE}" pid="8" name="MSIP_Label_0c2abd79-57a9-4473-8700-c843f76a1e37_SiteId">
    <vt:lpwstr>35595a02-4d6d-44ac-99e1-f9ab4cd872db</vt:lpwstr>
  </property>
  <property fmtid="{D5CDD505-2E9C-101B-9397-08002B2CF9AE}" pid="9" name="MSIP_Label_0c2abd79-57a9-4473-8700-c843f76a1e37_ActionId">
    <vt:lpwstr>8386c803-2e25-4093-9676-264a0a420ad1</vt:lpwstr>
  </property>
  <property fmtid="{D5CDD505-2E9C-101B-9397-08002B2CF9AE}" pid="10" name="MSIP_Label_0c2abd79-57a9-4473-8700-c843f76a1e37_ContentBits">
    <vt:lpwstr>0</vt:lpwstr>
  </property>
</Properties>
</file>