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19734" w14:textId="7EBB6B3A" w:rsidR="00204ACD" w:rsidRPr="000F572C" w:rsidRDefault="00204ACD" w:rsidP="001400C5">
      <w:pPr>
        <w:pStyle w:val="NormalWeb"/>
        <w:spacing w:before="0" w:after="0"/>
        <w:rPr>
          <w:rFonts w:ascii="Tahoma" w:eastAsia="Times New Roman" w:hAnsi="Tahoma" w:cs="Tahoma"/>
          <w:b/>
          <w:sz w:val="21"/>
          <w:szCs w:val="21"/>
        </w:rPr>
      </w:pPr>
      <w:r w:rsidRPr="00615E5D">
        <w:rPr>
          <w:rFonts w:ascii="Tahoma" w:hAnsi="Tahoma"/>
          <w:sz w:val="21"/>
          <w:szCs w:val="21"/>
        </w:rPr>
        <w:t xml:space="preserve">O presente Regulamento é parte integrante do Instrumento Particular de Alteração do regulamento do </w:t>
      </w:r>
      <w:r w:rsidRPr="00E23C40">
        <w:rPr>
          <w:rFonts w:ascii="Tahoma" w:hAnsi="Tahoma"/>
          <w:sz w:val="21"/>
          <w:szCs w:val="21"/>
        </w:rPr>
        <w:t>SANTANDER FUNDO INCENTIVADO DE INVESTIMENTO EM COTAS DE FUNDOS DE INVESTIMENTO EM INFRAESTRUTURA CDI RENDA FIXA CRÉDITO PRIVADO</w:t>
      </w:r>
      <w:r w:rsidRPr="00615E5D">
        <w:rPr>
          <w:rFonts w:ascii="Tahoma" w:hAnsi="Tahoma"/>
          <w:sz w:val="21"/>
          <w:szCs w:val="21"/>
        </w:rPr>
        <w:t xml:space="preserve">, datado de </w:t>
      </w:r>
      <w:r w:rsidR="001400C5" w:rsidRPr="001400C5">
        <w:rPr>
          <w:rFonts w:ascii="Tahoma" w:eastAsia="Times New Roman" w:hAnsi="Tahoma" w:cs="Tahoma"/>
          <w:sz w:val="20"/>
        </w:rPr>
        <w:t>09/02/202</w:t>
      </w:r>
      <w:r w:rsidR="001400C5">
        <w:rPr>
          <w:rFonts w:ascii="Tahoma" w:eastAsia="Times New Roman" w:hAnsi="Tahoma" w:cs="Tahoma"/>
          <w:sz w:val="20"/>
        </w:rPr>
        <w:t>4.</w:t>
      </w:r>
    </w:p>
    <w:p w14:paraId="7938AA7D" w14:textId="77777777" w:rsidR="009949F7" w:rsidRPr="000F572C" w:rsidRDefault="009949F7" w:rsidP="009949F7">
      <w:pPr>
        <w:spacing w:after="0"/>
        <w:rPr>
          <w:sz w:val="21"/>
          <w:szCs w:val="21"/>
        </w:rPr>
      </w:pPr>
    </w:p>
    <w:p w14:paraId="0DF183D6" w14:textId="77777777" w:rsidR="009949F7" w:rsidRPr="009949F7" w:rsidRDefault="009949F7" w:rsidP="009949F7">
      <w:pPr>
        <w:pStyle w:val="Ttulo6"/>
        <w:spacing w:line="280" w:lineRule="atLeast"/>
        <w:jc w:val="center"/>
        <w:rPr>
          <w:rFonts w:ascii="Tahoma" w:hAnsi="Tahoma"/>
          <w:b w:val="0"/>
          <w:sz w:val="21"/>
          <w:szCs w:val="21"/>
          <w:lang w:val="pt-BR"/>
        </w:rPr>
      </w:pPr>
      <w:r w:rsidRPr="009949F7">
        <w:rPr>
          <w:rFonts w:ascii="Tahoma" w:hAnsi="Tahoma"/>
          <w:sz w:val="21"/>
          <w:szCs w:val="21"/>
          <w:lang w:val="pt-BR"/>
        </w:rPr>
        <w:t>REGULAMENTO DO</w:t>
      </w:r>
      <w:bookmarkStart w:id="0" w:name="OLE_LINK4"/>
    </w:p>
    <w:bookmarkEnd w:id="0"/>
    <w:p w14:paraId="055B5720" w14:textId="77777777" w:rsidR="009949F7" w:rsidRPr="000F572C" w:rsidRDefault="009949F7" w:rsidP="009949F7">
      <w:pPr>
        <w:spacing w:after="0" w:line="280" w:lineRule="atLeast"/>
        <w:jc w:val="center"/>
        <w:rPr>
          <w:rFonts w:ascii="Tahoma" w:hAnsi="Tahoma"/>
          <w:b/>
          <w:sz w:val="21"/>
          <w:szCs w:val="21"/>
        </w:rPr>
      </w:pPr>
      <w:r w:rsidRPr="000F572C">
        <w:rPr>
          <w:rFonts w:ascii="Tahoma" w:hAnsi="Tahoma"/>
          <w:b/>
          <w:sz w:val="21"/>
          <w:szCs w:val="21"/>
        </w:rPr>
        <w:t xml:space="preserve">SANTANDER FUNDO INCENTIVADO DE INVESTIMENTO EM COTAS DE FUNDOS DE INVESTIMENTO EM INFRAESTRUTURA CDI RENDA FIXA CRÉDITO PRIVADO </w:t>
      </w:r>
    </w:p>
    <w:p w14:paraId="1C2A2AD0" w14:textId="77777777" w:rsidR="009949F7" w:rsidRPr="000F572C" w:rsidRDefault="009949F7" w:rsidP="009949F7">
      <w:pPr>
        <w:spacing w:after="0" w:line="280" w:lineRule="atLeast"/>
        <w:jc w:val="center"/>
        <w:rPr>
          <w:rFonts w:ascii="Tahoma" w:hAnsi="Tahoma"/>
          <w:b/>
          <w:sz w:val="21"/>
          <w:szCs w:val="21"/>
        </w:rPr>
      </w:pPr>
      <w:r w:rsidRPr="000F572C">
        <w:rPr>
          <w:rFonts w:ascii="Tahoma" w:hAnsi="Tahoma"/>
          <w:b/>
          <w:sz w:val="21"/>
          <w:szCs w:val="21"/>
        </w:rPr>
        <w:t>CNPJ n.º 30.493.739/0001-43</w:t>
      </w:r>
    </w:p>
    <w:p w14:paraId="18B92C48" w14:textId="77777777" w:rsidR="009949F7" w:rsidRPr="000F572C" w:rsidRDefault="009949F7" w:rsidP="009949F7">
      <w:pPr>
        <w:spacing w:after="0" w:line="280" w:lineRule="atLeast"/>
        <w:jc w:val="center"/>
        <w:rPr>
          <w:rFonts w:ascii="Tahoma" w:hAnsi="Tahoma"/>
          <w:b/>
          <w:sz w:val="21"/>
          <w:szCs w:val="21"/>
        </w:rPr>
      </w:pPr>
    </w:p>
    <w:p w14:paraId="12E47AE9" w14:textId="77777777" w:rsidR="009949F7" w:rsidRPr="000F572C" w:rsidRDefault="009949F7" w:rsidP="009949F7">
      <w:pPr>
        <w:spacing w:after="0" w:line="280" w:lineRule="atLeast"/>
        <w:jc w:val="both"/>
        <w:rPr>
          <w:rFonts w:ascii="Tahoma" w:hAnsi="Tahoma"/>
          <w:sz w:val="21"/>
          <w:szCs w:val="21"/>
        </w:rPr>
      </w:pPr>
    </w:p>
    <w:p w14:paraId="624BEB53"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CLÁUSULA PRIMEIRA – DO FUNDO</w:t>
      </w:r>
    </w:p>
    <w:p w14:paraId="158FAF37" w14:textId="77777777" w:rsidR="009949F7" w:rsidRPr="000F572C" w:rsidRDefault="009949F7" w:rsidP="009949F7">
      <w:pPr>
        <w:spacing w:after="0" w:line="280" w:lineRule="atLeast"/>
        <w:jc w:val="both"/>
        <w:rPr>
          <w:rFonts w:ascii="Tahoma" w:hAnsi="Tahoma"/>
          <w:sz w:val="21"/>
          <w:szCs w:val="21"/>
        </w:rPr>
      </w:pPr>
    </w:p>
    <w:p w14:paraId="44417F36" w14:textId="77777777" w:rsidR="009949F7" w:rsidRPr="000F572C" w:rsidRDefault="009949F7" w:rsidP="009949F7">
      <w:pPr>
        <w:spacing w:after="0" w:line="280" w:lineRule="atLeast"/>
        <w:jc w:val="both"/>
        <w:rPr>
          <w:rFonts w:ascii="Tahoma" w:hAnsi="Tahoma"/>
          <w:b/>
          <w:color w:val="000000"/>
          <w:sz w:val="21"/>
          <w:szCs w:val="21"/>
          <w:u w:val="single"/>
        </w:rPr>
      </w:pPr>
      <w:r w:rsidRPr="000F572C">
        <w:rPr>
          <w:rFonts w:ascii="Tahoma" w:hAnsi="Tahoma"/>
          <w:sz w:val="21"/>
          <w:szCs w:val="21"/>
        </w:rPr>
        <w:t xml:space="preserve">1.1. </w:t>
      </w:r>
      <w:r w:rsidRPr="000F572C">
        <w:rPr>
          <w:rFonts w:ascii="Tahoma" w:hAnsi="Tahoma"/>
          <w:sz w:val="21"/>
          <w:szCs w:val="21"/>
        </w:rPr>
        <w:tab/>
        <w:t>O</w:t>
      </w:r>
      <w:r w:rsidRPr="000F572C">
        <w:rPr>
          <w:rFonts w:ascii="Tahoma" w:hAnsi="Tahoma"/>
          <w:b/>
          <w:sz w:val="21"/>
          <w:szCs w:val="21"/>
        </w:rPr>
        <w:t xml:space="preserve"> SANTANDER FUNDO INCENTIVADO DE INVESTIMENTO EM COTAS DE FUNDOS DE INVESTIMENTO EM INFRAESTRUTURA CDI RENDA FIXA CRÉDITO PRIVADO </w:t>
      </w:r>
      <w:r w:rsidRPr="000F572C">
        <w:rPr>
          <w:rFonts w:ascii="Tahoma" w:hAnsi="Tahoma"/>
          <w:sz w:val="21"/>
          <w:szCs w:val="21"/>
        </w:rPr>
        <w:t xml:space="preserve">(“FUNDO”) é uma comunhão de recursos, constituído sob a forma de condomínio </w:t>
      </w:r>
      <w:r w:rsidRPr="000F572C">
        <w:rPr>
          <w:rFonts w:ascii="Tahoma" w:hAnsi="Tahoma"/>
          <w:color w:val="000000"/>
          <w:sz w:val="21"/>
          <w:szCs w:val="21"/>
        </w:rPr>
        <w:t>aberto, com prazo de duração indeterminado (“Prazo de Duração”), sendo regido pelo presente regulamento (“Regulamento”), pelo formulário de informações complementares, pela lâmina de informações essenciais do FUNDO (“Formulário” e “Lâmina”, respectivamente) e pela legislação e regulamentação em vigor.</w:t>
      </w:r>
    </w:p>
    <w:p w14:paraId="1FBA173B" w14:textId="77777777" w:rsidR="009949F7" w:rsidRPr="000F572C" w:rsidRDefault="009949F7" w:rsidP="009949F7">
      <w:pPr>
        <w:spacing w:after="0" w:line="280" w:lineRule="atLeast"/>
        <w:jc w:val="both"/>
        <w:rPr>
          <w:rFonts w:ascii="Tahoma" w:hAnsi="Tahoma"/>
          <w:sz w:val="21"/>
          <w:szCs w:val="21"/>
        </w:rPr>
      </w:pPr>
    </w:p>
    <w:p w14:paraId="4119F964"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 xml:space="preserve">CLÁUSULA SEGUNDA – DO </w:t>
      </w:r>
      <w:proofErr w:type="gramStart"/>
      <w:r w:rsidRPr="000F572C">
        <w:rPr>
          <w:rFonts w:ascii="Tahoma" w:hAnsi="Tahoma"/>
          <w:b/>
          <w:sz w:val="21"/>
          <w:szCs w:val="21"/>
        </w:rPr>
        <w:t>PÚBLICO ALVO</w:t>
      </w:r>
      <w:proofErr w:type="gramEnd"/>
      <w:r w:rsidRPr="000F572C">
        <w:rPr>
          <w:rFonts w:ascii="Tahoma" w:hAnsi="Tahoma"/>
          <w:b/>
          <w:sz w:val="21"/>
          <w:szCs w:val="21"/>
        </w:rPr>
        <w:t xml:space="preserve"> </w:t>
      </w:r>
    </w:p>
    <w:p w14:paraId="1C814BB2" w14:textId="77777777" w:rsidR="009949F7" w:rsidRPr="000F572C" w:rsidRDefault="009949F7" w:rsidP="009949F7">
      <w:pPr>
        <w:pStyle w:val="BodyText21"/>
        <w:spacing w:line="280" w:lineRule="atLeast"/>
        <w:rPr>
          <w:rFonts w:ascii="Tahoma" w:hAnsi="Tahoma"/>
          <w:sz w:val="21"/>
          <w:szCs w:val="21"/>
        </w:rPr>
      </w:pPr>
    </w:p>
    <w:p w14:paraId="2741A164"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2.1.</w:t>
      </w:r>
      <w:r w:rsidRPr="000F572C">
        <w:rPr>
          <w:rFonts w:ascii="Tahoma" w:hAnsi="Tahoma"/>
          <w:sz w:val="21"/>
          <w:szCs w:val="21"/>
        </w:rPr>
        <w:tab/>
        <w:t xml:space="preserve">O FUNDO é destinado a receber aplicações de investidores pessoas físicas, </w:t>
      </w:r>
      <w:r w:rsidRPr="000F572C">
        <w:rPr>
          <w:rFonts w:ascii="Tahoma" w:hAnsi="Tahoma"/>
          <w:bCs/>
          <w:sz w:val="21"/>
          <w:szCs w:val="21"/>
        </w:rPr>
        <w:t>a critério do ADMINISTRADOR,</w:t>
      </w:r>
      <w:r w:rsidRPr="000F572C">
        <w:rPr>
          <w:rFonts w:ascii="Tahoma" w:hAnsi="Tahoma"/>
          <w:sz w:val="21"/>
          <w:szCs w:val="21"/>
        </w:rPr>
        <w:t xml:space="preserve"> que conhecem, entendem e aceitam os riscos descritos neste Regulamento, na legislação em vigor e na Lâmina, aos quais os investimentos do FUNDO estão expostos em razão dos mercados de atuação do FUNDO (“Cotistas”).</w:t>
      </w:r>
    </w:p>
    <w:p w14:paraId="1BD935DF" w14:textId="77777777" w:rsidR="009949F7" w:rsidRPr="000F572C" w:rsidRDefault="009949F7" w:rsidP="009949F7">
      <w:pPr>
        <w:pBdr>
          <w:bottom w:val="single" w:sz="6" w:space="1" w:color="auto"/>
        </w:pBdr>
        <w:spacing w:after="0" w:line="280" w:lineRule="atLeast"/>
        <w:jc w:val="both"/>
        <w:rPr>
          <w:rFonts w:ascii="Tahoma" w:hAnsi="Tahoma"/>
          <w:sz w:val="21"/>
          <w:szCs w:val="21"/>
        </w:rPr>
      </w:pPr>
    </w:p>
    <w:p w14:paraId="76F47CDB" w14:textId="77777777" w:rsidR="009949F7" w:rsidRPr="000F572C" w:rsidRDefault="009949F7" w:rsidP="009949F7">
      <w:pPr>
        <w:pBdr>
          <w:bottom w:val="single" w:sz="6" w:space="1" w:color="auto"/>
        </w:pBdr>
        <w:spacing w:after="0" w:line="280" w:lineRule="atLeast"/>
        <w:jc w:val="both"/>
        <w:rPr>
          <w:rFonts w:ascii="Tahoma" w:hAnsi="Tahoma"/>
          <w:sz w:val="21"/>
          <w:szCs w:val="21"/>
        </w:rPr>
      </w:pPr>
      <w:r w:rsidRPr="000F572C">
        <w:rPr>
          <w:rFonts w:ascii="Tahoma" w:hAnsi="Tahoma"/>
          <w:sz w:val="21"/>
          <w:szCs w:val="21"/>
        </w:rPr>
        <w:t>2.2.</w:t>
      </w:r>
      <w:r w:rsidRPr="000F572C">
        <w:rPr>
          <w:rFonts w:ascii="Tahoma" w:hAnsi="Tahoma"/>
          <w:sz w:val="21"/>
          <w:szCs w:val="21"/>
        </w:rPr>
        <w:tab/>
        <w:t xml:space="preserve">O enquadramento dos Cotistas no </w:t>
      </w:r>
      <w:proofErr w:type="gramStart"/>
      <w:r w:rsidRPr="000F572C">
        <w:rPr>
          <w:rFonts w:ascii="Tahoma" w:hAnsi="Tahoma"/>
          <w:sz w:val="21"/>
          <w:szCs w:val="21"/>
        </w:rPr>
        <w:t>Público Alvo</w:t>
      </w:r>
      <w:proofErr w:type="gramEnd"/>
      <w:r w:rsidRPr="000F572C">
        <w:rPr>
          <w:rFonts w:ascii="Tahoma" w:hAnsi="Tahoma"/>
          <w:sz w:val="21"/>
          <w:szCs w:val="21"/>
        </w:rPr>
        <w:t xml:space="preserve"> descrito no item anterior será verificado pelo distribuidor das cotas do FUNDO, no ato do ingresso dos Cotistas.</w:t>
      </w:r>
    </w:p>
    <w:p w14:paraId="1C66DD64" w14:textId="77777777" w:rsidR="009949F7" w:rsidRPr="000F572C" w:rsidRDefault="009949F7" w:rsidP="009949F7">
      <w:pPr>
        <w:pBdr>
          <w:bottom w:val="single" w:sz="6" w:space="1" w:color="auto"/>
        </w:pBdr>
        <w:spacing w:after="0" w:line="280" w:lineRule="atLeast"/>
        <w:jc w:val="both"/>
        <w:rPr>
          <w:rFonts w:ascii="Tahoma" w:hAnsi="Tahoma"/>
          <w:sz w:val="21"/>
          <w:szCs w:val="21"/>
        </w:rPr>
      </w:pPr>
    </w:p>
    <w:p w14:paraId="3147F44F"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CLÁUSULA TERCEIRA – DO OBJETIVO E DA POLÍTICA DE INVESTIMENTO</w:t>
      </w:r>
    </w:p>
    <w:p w14:paraId="30745045" w14:textId="77777777" w:rsidR="009949F7" w:rsidRPr="000F572C" w:rsidRDefault="009949F7" w:rsidP="009949F7">
      <w:pPr>
        <w:spacing w:after="0" w:line="280" w:lineRule="atLeast"/>
        <w:jc w:val="both"/>
        <w:rPr>
          <w:rFonts w:ascii="Tahoma" w:hAnsi="Tahoma" w:cs="Tahoma"/>
          <w:sz w:val="21"/>
          <w:szCs w:val="21"/>
        </w:rPr>
      </w:pPr>
    </w:p>
    <w:p w14:paraId="79382B2C" w14:textId="77777777" w:rsidR="009949F7" w:rsidRPr="000F572C" w:rsidRDefault="009949F7" w:rsidP="009949F7">
      <w:pPr>
        <w:spacing w:after="0"/>
        <w:jc w:val="both"/>
        <w:rPr>
          <w:rFonts w:ascii="Tahoma" w:hAnsi="Tahoma" w:cs="Tahoma"/>
          <w:color w:val="000000"/>
          <w:sz w:val="21"/>
          <w:szCs w:val="21"/>
        </w:rPr>
      </w:pPr>
      <w:r w:rsidRPr="000F572C">
        <w:rPr>
          <w:rFonts w:ascii="Tahoma" w:hAnsi="Tahoma" w:cs="Tahoma"/>
          <w:color w:val="000000"/>
          <w:sz w:val="21"/>
          <w:szCs w:val="21"/>
        </w:rPr>
        <w:t>3.1. O FUNDO tem por objetivo investir em ativos financeiros e/ou modalidades operacionais de renda fixa relacionados à variação das taxas de juros (pós ou pré-fixados), de índices de preços, ou ambos, excluindo estratégias que impliquem em risco de renda variável, por meio da aplicação de seus recursos, preponderantemente, em cotas de fundos de investimento e/ou fundos de investimento em cotas de fundos de investimento que invistam</w:t>
      </w:r>
      <w:r w:rsidRPr="000F572C">
        <w:rPr>
          <w:rFonts w:ascii="Tahoma" w:eastAsia="Calibri" w:hAnsi="Tahoma" w:cs="Tahoma"/>
          <w:sz w:val="21"/>
          <w:szCs w:val="21"/>
        </w:rPr>
        <w:t>, preponderantemente, em debêntures de infraestrutura e outros ativos financeiros que atendam aos critérios de elegibilidade previstos na Lei nº 12.431 de 24 de junho de 2011 (“Ativos de Infraestrutura” e “Lei 12.431”, respectivamente). Os Fundos Investidos de Infraestrutura poderão utilizar estratégias nos mercados de derivativos buscando proporcionar retornos atrelados à variação das taxas de juros pós-fixadas.</w:t>
      </w:r>
      <w:r w:rsidRPr="000F572C">
        <w:rPr>
          <w:rFonts w:ascii="Tahoma" w:hAnsi="Tahoma" w:cs="Tahoma"/>
          <w:color w:val="000000"/>
          <w:sz w:val="21"/>
          <w:szCs w:val="21"/>
        </w:rPr>
        <w:t xml:space="preserve"> </w:t>
      </w:r>
    </w:p>
    <w:p w14:paraId="7ADD3B74" w14:textId="77777777" w:rsidR="009949F7" w:rsidRPr="000F572C" w:rsidRDefault="009949F7" w:rsidP="009949F7">
      <w:pPr>
        <w:spacing w:after="0"/>
        <w:jc w:val="both"/>
        <w:rPr>
          <w:rFonts w:ascii="Tahoma" w:hAnsi="Tahoma" w:cs="Tahoma"/>
          <w:color w:val="000000"/>
          <w:sz w:val="21"/>
          <w:szCs w:val="21"/>
        </w:rPr>
      </w:pPr>
    </w:p>
    <w:p w14:paraId="143ED6BE" w14:textId="77777777" w:rsidR="009949F7" w:rsidRPr="000F572C" w:rsidRDefault="009949F7" w:rsidP="009949F7">
      <w:pPr>
        <w:spacing w:after="0"/>
        <w:jc w:val="both"/>
        <w:rPr>
          <w:rFonts w:ascii="Tahoma" w:hAnsi="Tahoma" w:cs="Tahoma"/>
          <w:color w:val="000000"/>
          <w:sz w:val="21"/>
          <w:szCs w:val="21"/>
        </w:rPr>
      </w:pPr>
      <w:r w:rsidRPr="000F572C">
        <w:rPr>
          <w:rFonts w:ascii="Tahoma" w:hAnsi="Tahoma" w:cs="Tahoma"/>
          <w:color w:val="000000"/>
          <w:sz w:val="21"/>
          <w:szCs w:val="21"/>
        </w:rPr>
        <w:t xml:space="preserve">3.1.1. A rentabilidade do FUNDO será impactada pelos impostos, custos e despesas do FUNDO e pela taxa de administração de 1,00% (um inteiro por cento) ao </w:t>
      </w:r>
      <w:r w:rsidRPr="000F572C">
        <w:rPr>
          <w:rFonts w:ascii="Tahoma" w:hAnsi="Tahoma" w:cs="Tahoma"/>
          <w:sz w:val="21"/>
          <w:szCs w:val="21"/>
        </w:rPr>
        <w:t>ano, que corresponde à taxa de administração máxima do FUNDO.</w:t>
      </w:r>
      <w:r w:rsidRPr="000F572C">
        <w:rPr>
          <w:rFonts w:ascii="Tahoma" w:hAnsi="Tahoma" w:cs="Tahoma"/>
          <w:color w:val="000000"/>
          <w:sz w:val="21"/>
          <w:szCs w:val="21"/>
        </w:rPr>
        <w:t xml:space="preserve"> Para analisar o impacto das despesas do FUNDO na rentabilidade obtida o investidor deve consultar o item 9 da Lâmina. Tal objetivo de investimento não constitui garantia ou promessa de rentabilidade pelo ADMINISTRADOR e pelo GESTOR.</w:t>
      </w:r>
    </w:p>
    <w:p w14:paraId="49C0E567" w14:textId="77777777" w:rsidR="009949F7" w:rsidRPr="000F572C" w:rsidRDefault="009949F7" w:rsidP="009949F7">
      <w:pPr>
        <w:pStyle w:val="Corpodetexto3"/>
        <w:rPr>
          <w:rFonts w:ascii="Tahoma" w:hAnsi="Tahoma" w:cs="Tahoma"/>
          <w:sz w:val="21"/>
          <w:szCs w:val="21"/>
        </w:rPr>
      </w:pPr>
    </w:p>
    <w:p w14:paraId="082D8AF8"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3.2. Para atingir o objetivo de investimento descrito acima, o FUNDO alocará seus recursos de acordo com as regras e limites previstos nos quadros a seguir:</w:t>
      </w:r>
    </w:p>
    <w:p w14:paraId="56390ACF" w14:textId="77777777" w:rsidR="009949F7" w:rsidRPr="000F572C" w:rsidRDefault="009949F7" w:rsidP="009949F7">
      <w:pPr>
        <w:spacing w:after="0"/>
        <w:jc w:val="both"/>
        <w:rPr>
          <w:rFonts w:ascii="Tahoma" w:hAnsi="Tahoma" w:cs="Tahoma"/>
          <w:sz w:val="21"/>
          <w:szCs w:val="21"/>
        </w:rPr>
      </w:pPr>
    </w:p>
    <w:tbl>
      <w:tblPr>
        <w:tblW w:w="9770" w:type="dxa"/>
        <w:jc w:val="center"/>
        <w:tblCellMar>
          <w:left w:w="70" w:type="dxa"/>
          <w:right w:w="70" w:type="dxa"/>
        </w:tblCellMar>
        <w:tblLook w:val="04A0" w:firstRow="1" w:lastRow="0" w:firstColumn="1" w:lastColumn="0" w:noHBand="0" w:noVBand="1"/>
      </w:tblPr>
      <w:tblGrid>
        <w:gridCol w:w="1487"/>
        <w:gridCol w:w="4973"/>
        <w:gridCol w:w="1576"/>
        <w:gridCol w:w="1734"/>
      </w:tblGrid>
      <w:tr w:rsidR="009949F7" w:rsidRPr="000F572C" w14:paraId="790147DD" w14:textId="77777777" w:rsidTr="00D75CE9">
        <w:trPr>
          <w:trHeight w:val="286"/>
          <w:jc w:val="center"/>
        </w:trPr>
        <w:tc>
          <w:tcPr>
            <w:tcW w:w="6460" w:type="dxa"/>
            <w:gridSpan w:val="2"/>
            <w:vMerge w:val="restart"/>
            <w:tcBorders>
              <w:top w:val="single" w:sz="4" w:space="0" w:color="auto"/>
              <w:left w:val="single" w:sz="4" w:space="0" w:color="auto"/>
              <w:right w:val="single" w:sz="4" w:space="0" w:color="auto"/>
            </w:tcBorders>
            <w:shd w:val="clear" w:color="auto" w:fill="D9D9D9"/>
            <w:vAlign w:val="center"/>
          </w:tcPr>
          <w:p w14:paraId="6560824F"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COMPOSIÇÃO DA CARTEIRA DO FUNDO (“CARTEIRA”)</w:t>
            </w:r>
          </w:p>
        </w:tc>
        <w:tc>
          <w:tcPr>
            <w:tcW w:w="3309"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42740C1B" w14:textId="77777777" w:rsidR="009949F7" w:rsidRPr="000F572C" w:rsidRDefault="009949F7" w:rsidP="00D75CE9">
            <w:pPr>
              <w:spacing w:after="0"/>
              <w:jc w:val="center"/>
              <w:rPr>
                <w:rFonts w:ascii="Tahoma" w:hAnsi="Tahoma" w:cs="Tahoma"/>
                <w:sz w:val="21"/>
                <w:szCs w:val="21"/>
              </w:rPr>
            </w:pPr>
            <w:r w:rsidRPr="000F572C">
              <w:rPr>
                <w:rFonts w:ascii="Tahoma" w:hAnsi="Tahoma" w:cs="Tahoma"/>
                <w:b/>
                <w:bCs/>
                <w:color w:val="000000"/>
                <w:sz w:val="21"/>
                <w:szCs w:val="21"/>
              </w:rPr>
              <w:t>% do PL</w:t>
            </w:r>
          </w:p>
        </w:tc>
      </w:tr>
      <w:tr w:rsidR="009949F7" w:rsidRPr="000F572C" w14:paraId="17F0EEBE" w14:textId="77777777" w:rsidTr="00D75CE9">
        <w:trPr>
          <w:trHeight w:val="286"/>
          <w:jc w:val="center"/>
        </w:trPr>
        <w:tc>
          <w:tcPr>
            <w:tcW w:w="6460" w:type="dxa"/>
            <w:gridSpan w:val="2"/>
            <w:vMerge/>
            <w:tcBorders>
              <w:left w:val="single" w:sz="4" w:space="0" w:color="auto"/>
              <w:bottom w:val="single" w:sz="4" w:space="0" w:color="auto"/>
              <w:right w:val="single" w:sz="4" w:space="0" w:color="auto"/>
            </w:tcBorders>
            <w:shd w:val="clear" w:color="auto" w:fill="D9D9D9"/>
          </w:tcPr>
          <w:p w14:paraId="412EE43E" w14:textId="77777777" w:rsidR="009949F7" w:rsidRPr="000F572C" w:rsidRDefault="009949F7" w:rsidP="00D75CE9">
            <w:pPr>
              <w:spacing w:after="0"/>
              <w:jc w:val="center"/>
              <w:rPr>
                <w:rFonts w:ascii="Tahoma" w:hAnsi="Tahoma" w:cs="Tahoma"/>
                <w:b/>
                <w:bCs/>
                <w:color w:val="000000"/>
                <w:sz w:val="21"/>
                <w:szCs w:val="21"/>
              </w:rPr>
            </w:pPr>
          </w:p>
        </w:tc>
        <w:tc>
          <w:tcPr>
            <w:tcW w:w="1576" w:type="dxa"/>
            <w:tcBorders>
              <w:top w:val="single" w:sz="4" w:space="0" w:color="auto"/>
              <w:left w:val="nil"/>
              <w:bottom w:val="single" w:sz="4" w:space="0" w:color="auto"/>
              <w:right w:val="single" w:sz="4" w:space="0" w:color="auto"/>
            </w:tcBorders>
            <w:shd w:val="clear" w:color="auto" w:fill="D9D9D9"/>
            <w:noWrap/>
            <w:vAlign w:val="center"/>
            <w:hideMark/>
          </w:tcPr>
          <w:p w14:paraId="3EF6FB36"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Mín.</w:t>
            </w:r>
          </w:p>
        </w:tc>
        <w:tc>
          <w:tcPr>
            <w:tcW w:w="173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410148B" w14:textId="77777777" w:rsidR="009949F7" w:rsidRPr="000F572C" w:rsidRDefault="009949F7" w:rsidP="00D75CE9">
            <w:pPr>
              <w:spacing w:after="0"/>
              <w:jc w:val="center"/>
              <w:rPr>
                <w:rFonts w:ascii="Tahoma" w:hAnsi="Tahoma" w:cs="Tahoma"/>
                <w:sz w:val="21"/>
                <w:szCs w:val="21"/>
              </w:rPr>
            </w:pPr>
            <w:r w:rsidRPr="000F572C">
              <w:rPr>
                <w:rFonts w:ascii="Tahoma" w:hAnsi="Tahoma" w:cs="Tahoma"/>
                <w:b/>
                <w:bCs/>
                <w:color w:val="000000"/>
                <w:sz w:val="21"/>
                <w:szCs w:val="21"/>
              </w:rPr>
              <w:t>Máx.</w:t>
            </w:r>
          </w:p>
        </w:tc>
      </w:tr>
      <w:tr w:rsidR="009949F7" w:rsidRPr="000F572C" w14:paraId="65225F32" w14:textId="77777777" w:rsidTr="00D75CE9">
        <w:trPr>
          <w:trHeight w:val="286"/>
          <w:jc w:val="center"/>
        </w:trPr>
        <w:tc>
          <w:tcPr>
            <w:tcW w:w="6460" w:type="dxa"/>
            <w:gridSpan w:val="2"/>
            <w:tcBorders>
              <w:top w:val="nil"/>
              <w:left w:val="single" w:sz="4" w:space="0" w:color="auto"/>
              <w:bottom w:val="single" w:sz="4" w:space="0" w:color="auto"/>
              <w:right w:val="single" w:sz="4" w:space="0" w:color="auto"/>
            </w:tcBorders>
          </w:tcPr>
          <w:p w14:paraId="1103A520" w14:textId="77777777" w:rsidR="009949F7" w:rsidRPr="000F572C" w:rsidRDefault="009949F7" w:rsidP="00D75CE9">
            <w:pPr>
              <w:spacing w:after="0"/>
              <w:jc w:val="both"/>
              <w:rPr>
                <w:rFonts w:ascii="Tahoma" w:hAnsi="Tahoma" w:cs="Tahoma"/>
                <w:color w:val="000000"/>
                <w:sz w:val="21"/>
                <w:szCs w:val="21"/>
              </w:rPr>
            </w:pPr>
            <w:r w:rsidRPr="000F572C">
              <w:rPr>
                <w:rFonts w:ascii="Tahoma" w:hAnsi="Tahoma" w:cs="Tahoma"/>
                <w:sz w:val="21"/>
                <w:szCs w:val="21"/>
              </w:rPr>
              <w:t>Cotas de fundos de investimento e cotas de fundos de investimento em cotas da classe Renda Fixa,</w:t>
            </w:r>
            <w:r w:rsidRPr="000F572C">
              <w:rPr>
                <w:rFonts w:ascii="Tahoma" w:hAnsi="Tahoma" w:cs="Tahoma"/>
                <w:color w:val="000000"/>
                <w:sz w:val="21"/>
                <w:szCs w:val="21"/>
              </w:rPr>
              <w:t xml:space="preserve"> que invistam</w:t>
            </w:r>
            <w:r w:rsidRPr="000F572C">
              <w:rPr>
                <w:rFonts w:ascii="Tahoma" w:eastAsia="Calibri" w:hAnsi="Tahoma" w:cs="Tahoma"/>
                <w:sz w:val="21"/>
                <w:szCs w:val="21"/>
              </w:rPr>
              <w:t xml:space="preserve">, preponderantemente, </w:t>
            </w:r>
            <w:r w:rsidRPr="000F572C">
              <w:rPr>
                <w:rFonts w:ascii="Tahoma" w:eastAsia="Calibri" w:hAnsi="Tahoma" w:cs="Tahoma"/>
                <w:sz w:val="21"/>
                <w:szCs w:val="21"/>
              </w:rPr>
              <w:lastRenderedPageBreak/>
              <w:t xml:space="preserve">em debêntures de infraestrutura e outros ativos financeiros que atendam aos critérios de elegibilidade previstos na Lei 12.431 </w:t>
            </w:r>
            <w:r w:rsidRPr="000F572C">
              <w:rPr>
                <w:rFonts w:ascii="Tahoma" w:hAnsi="Tahoma" w:cs="Tahoma"/>
                <w:sz w:val="21"/>
                <w:szCs w:val="21"/>
              </w:rPr>
              <w:t>(“Fundos Investidos de Infraestrutura” ou “Fundos Investidos") (*)</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53E275A5"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lastRenderedPageBreak/>
              <w:t>95%</w:t>
            </w: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81D8C" w14:textId="77777777" w:rsidR="009949F7" w:rsidRPr="000F572C" w:rsidRDefault="009949F7" w:rsidP="00D75CE9">
            <w:pPr>
              <w:spacing w:after="0"/>
              <w:jc w:val="center"/>
              <w:rPr>
                <w:rFonts w:ascii="Tahoma" w:hAnsi="Tahoma" w:cs="Tahoma"/>
                <w:b/>
                <w:sz w:val="21"/>
                <w:szCs w:val="21"/>
              </w:rPr>
            </w:pPr>
            <w:r w:rsidRPr="000F572C">
              <w:rPr>
                <w:rFonts w:ascii="Tahoma" w:hAnsi="Tahoma" w:cs="Tahoma"/>
                <w:b/>
                <w:color w:val="000000"/>
                <w:sz w:val="21"/>
                <w:szCs w:val="21"/>
              </w:rPr>
              <w:t>100%</w:t>
            </w:r>
          </w:p>
        </w:tc>
      </w:tr>
      <w:tr w:rsidR="009949F7" w:rsidRPr="000F572C" w14:paraId="73E9CBBC" w14:textId="77777777" w:rsidTr="00D75CE9">
        <w:trPr>
          <w:trHeight w:val="286"/>
          <w:jc w:val="center"/>
        </w:trPr>
        <w:tc>
          <w:tcPr>
            <w:tcW w:w="1487" w:type="dxa"/>
            <w:vMerge w:val="restart"/>
            <w:tcBorders>
              <w:top w:val="nil"/>
              <w:left w:val="single" w:sz="4" w:space="0" w:color="auto"/>
              <w:right w:val="single" w:sz="4" w:space="0" w:color="auto"/>
            </w:tcBorders>
            <w:vAlign w:val="center"/>
          </w:tcPr>
          <w:p w14:paraId="72AAEB1C" w14:textId="77777777" w:rsidR="009949F7" w:rsidRPr="000F572C" w:rsidRDefault="009949F7" w:rsidP="00D75CE9">
            <w:pPr>
              <w:spacing w:after="0"/>
              <w:jc w:val="center"/>
              <w:rPr>
                <w:rFonts w:ascii="Tahoma" w:hAnsi="Tahoma" w:cs="Tahoma"/>
                <w:sz w:val="21"/>
                <w:szCs w:val="21"/>
              </w:rPr>
            </w:pPr>
            <w:r w:rsidRPr="000F572C">
              <w:rPr>
                <w:rFonts w:ascii="Tahoma" w:hAnsi="Tahoma" w:cs="Tahoma"/>
                <w:sz w:val="21"/>
                <w:szCs w:val="21"/>
              </w:rPr>
              <w:t>Dentro do limite previsto na linha acima</w:t>
            </w:r>
          </w:p>
        </w:tc>
        <w:tc>
          <w:tcPr>
            <w:tcW w:w="4972" w:type="dxa"/>
            <w:tcBorders>
              <w:top w:val="nil"/>
              <w:left w:val="single" w:sz="4" w:space="0" w:color="auto"/>
              <w:bottom w:val="single" w:sz="4" w:space="0" w:color="auto"/>
              <w:right w:val="single" w:sz="4" w:space="0" w:color="auto"/>
            </w:tcBorders>
            <w:shd w:val="clear" w:color="auto" w:fill="auto"/>
            <w:vAlign w:val="center"/>
          </w:tcPr>
          <w:p w14:paraId="220A8B3B" w14:textId="77777777" w:rsidR="009949F7" w:rsidRPr="000F572C" w:rsidRDefault="009949F7" w:rsidP="00D75CE9">
            <w:pPr>
              <w:spacing w:after="0"/>
              <w:jc w:val="both"/>
              <w:rPr>
                <w:rFonts w:ascii="Tahoma" w:hAnsi="Tahoma" w:cs="Tahoma"/>
                <w:sz w:val="21"/>
                <w:szCs w:val="21"/>
              </w:rPr>
            </w:pPr>
            <w:r w:rsidRPr="000F572C">
              <w:rPr>
                <w:rFonts w:ascii="Tahoma" w:hAnsi="Tahoma" w:cs="Tahoma"/>
                <w:sz w:val="21"/>
                <w:szCs w:val="21"/>
              </w:rPr>
              <w:t>Cotas de fundos de investimento e cotas de fundos de investimento em cotas da classe Renda Fixa (“Fundos Investidos”), destinados a investidores qualificados</w:t>
            </w:r>
          </w:p>
        </w:tc>
        <w:tc>
          <w:tcPr>
            <w:tcW w:w="1576" w:type="dxa"/>
            <w:vMerge w:val="restart"/>
            <w:tcBorders>
              <w:left w:val="nil"/>
              <w:right w:val="single" w:sz="4" w:space="0" w:color="auto"/>
            </w:tcBorders>
            <w:shd w:val="clear" w:color="auto" w:fill="auto"/>
            <w:noWrap/>
            <w:vAlign w:val="center"/>
          </w:tcPr>
          <w:p w14:paraId="098C2C3B"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0%</w:t>
            </w: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98615"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20%</w:t>
            </w:r>
          </w:p>
        </w:tc>
      </w:tr>
      <w:tr w:rsidR="009949F7" w:rsidRPr="000F572C" w14:paraId="5DE64DBF" w14:textId="77777777" w:rsidTr="00D75CE9">
        <w:trPr>
          <w:trHeight w:val="286"/>
          <w:jc w:val="center"/>
        </w:trPr>
        <w:tc>
          <w:tcPr>
            <w:tcW w:w="1487" w:type="dxa"/>
            <w:vMerge/>
            <w:tcBorders>
              <w:left w:val="single" w:sz="4" w:space="0" w:color="auto"/>
              <w:right w:val="single" w:sz="4" w:space="0" w:color="auto"/>
            </w:tcBorders>
          </w:tcPr>
          <w:p w14:paraId="6B39F204" w14:textId="77777777" w:rsidR="009949F7" w:rsidRPr="000F572C" w:rsidRDefault="009949F7" w:rsidP="00D75CE9">
            <w:pPr>
              <w:spacing w:after="0"/>
              <w:rPr>
                <w:rFonts w:ascii="Tahoma" w:hAnsi="Tahoma" w:cs="Tahoma"/>
                <w:color w:val="000000"/>
                <w:sz w:val="21"/>
                <w:szCs w:val="21"/>
              </w:rPr>
            </w:pPr>
          </w:p>
        </w:tc>
        <w:tc>
          <w:tcPr>
            <w:tcW w:w="4972" w:type="dxa"/>
            <w:tcBorders>
              <w:top w:val="nil"/>
              <w:left w:val="single" w:sz="4" w:space="0" w:color="auto"/>
              <w:bottom w:val="single" w:sz="4" w:space="0" w:color="auto"/>
              <w:right w:val="single" w:sz="4" w:space="0" w:color="auto"/>
            </w:tcBorders>
            <w:shd w:val="clear" w:color="auto" w:fill="auto"/>
            <w:vAlign w:val="center"/>
          </w:tcPr>
          <w:p w14:paraId="29067412" w14:textId="77777777" w:rsidR="009949F7" w:rsidRPr="000F572C" w:rsidRDefault="009949F7" w:rsidP="00D75CE9">
            <w:pPr>
              <w:spacing w:after="0"/>
              <w:jc w:val="both"/>
              <w:rPr>
                <w:rFonts w:ascii="Tahoma" w:hAnsi="Tahoma" w:cs="Tahoma"/>
                <w:sz w:val="21"/>
                <w:szCs w:val="21"/>
              </w:rPr>
            </w:pPr>
            <w:r w:rsidRPr="000F572C">
              <w:rPr>
                <w:rFonts w:ascii="Tahoma" w:hAnsi="Tahoma" w:cs="Tahoma"/>
                <w:color w:val="000000"/>
                <w:sz w:val="21"/>
                <w:szCs w:val="21"/>
              </w:rPr>
              <w:t xml:space="preserve">Cotas de fundos de investimento e cotas de fundos de investimento em cotas </w:t>
            </w:r>
            <w:r w:rsidRPr="000F572C">
              <w:rPr>
                <w:rFonts w:ascii="Tahoma" w:hAnsi="Tahoma" w:cs="Tahoma"/>
                <w:sz w:val="21"/>
                <w:szCs w:val="21"/>
              </w:rPr>
              <w:t>da classe Renda Fixa (“Fundos Investidos”),</w:t>
            </w:r>
            <w:r w:rsidRPr="000F572C">
              <w:rPr>
                <w:rFonts w:ascii="Tahoma" w:hAnsi="Tahoma" w:cs="Tahoma"/>
                <w:color w:val="000000"/>
                <w:sz w:val="21"/>
                <w:szCs w:val="21"/>
              </w:rPr>
              <w:t xml:space="preserve"> destinados a investidores profissionais</w:t>
            </w:r>
          </w:p>
        </w:tc>
        <w:tc>
          <w:tcPr>
            <w:tcW w:w="1576" w:type="dxa"/>
            <w:vMerge/>
            <w:tcBorders>
              <w:left w:val="nil"/>
              <w:right w:val="single" w:sz="4" w:space="0" w:color="auto"/>
            </w:tcBorders>
            <w:shd w:val="clear" w:color="auto" w:fill="auto"/>
            <w:noWrap/>
            <w:vAlign w:val="center"/>
          </w:tcPr>
          <w:p w14:paraId="779FB0AD" w14:textId="77777777" w:rsidR="009949F7" w:rsidRPr="000F572C" w:rsidRDefault="009949F7" w:rsidP="00D75CE9">
            <w:pPr>
              <w:spacing w:after="0"/>
              <w:jc w:val="center"/>
              <w:rPr>
                <w:rFonts w:ascii="Tahoma" w:hAnsi="Tahoma" w:cs="Tahoma"/>
                <w:b/>
                <w:color w:val="000000"/>
                <w:sz w:val="21"/>
                <w:szCs w:val="21"/>
              </w:rPr>
            </w:pP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9CA65"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5%, dentro do limite da linha acima.</w:t>
            </w:r>
          </w:p>
        </w:tc>
      </w:tr>
      <w:tr w:rsidR="009949F7" w:rsidRPr="000F572C" w14:paraId="6802CDDE" w14:textId="77777777" w:rsidTr="00D75CE9">
        <w:trPr>
          <w:trHeight w:val="286"/>
          <w:jc w:val="center"/>
        </w:trPr>
        <w:tc>
          <w:tcPr>
            <w:tcW w:w="1487" w:type="dxa"/>
            <w:vMerge/>
            <w:tcBorders>
              <w:left w:val="single" w:sz="4" w:space="0" w:color="auto"/>
              <w:right w:val="single" w:sz="4" w:space="0" w:color="auto"/>
            </w:tcBorders>
          </w:tcPr>
          <w:p w14:paraId="6741760C" w14:textId="77777777" w:rsidR="009949F7" w:rsidRPr="000F572C" w:rsidRDefault="009949F7" w:rsidP="00D75CE9">
            <w:pPr>
              <w:spacing w:after="0"/>
              <w:rPr>
                <w:rFonts w:ascii="Tahoma" w:hAnsi="Tahoma" w:cs="Tahoma"/>
                <w:sz w:val="21"/>
                <w:szCs w:val="21"/>
              </w:rPr>
            </w:pPr>
          </w:p>
        </w:tc>
        <w:tc>
          <w:tcPr>
            <w:tcW w:w="4972" w:type="dxa"/>
            <w:tcBorders>
              <w:top w:val="nil"/>
              <w:left w:val="single" w:sz="4" w:space="0" w:color="auto"/>
              <w:bottom w:val="single" w:sz="4" w:space="0" w:color="auto"/>
              <w:right w:val="single" w:sz="4" w:space="0" w:color="auto"/>
            </w:tcBorders>
            <w:shd w:val="clear" w:color="auto" w:fill="auto"/>
            <w:vAlign w:val="center"/>
          </w:tcPr>
          <w:p w14:paraId="555A8625" w14:textId="77777777" w:rsidR="009949F7" w:rsidRPr="000F572C" w:rsidRDefault="009949F7" w:rsidP="00D75CE9">
            <w:pPr>
              <w:spacing w:after="0"/>
              <w:jc w:val="both"/>
              <w:rPr>
                <w:rFonts w:ascii="Tahoma" w:hAnsi="Tahoma" w:cs="Tahoma"/>
                <w:sz w:val="21"/>
                <w:szCs w:val="21"/>
              </w:rPr>
            </w:pPr>
            <w:r w:rsidRPr="000F572C">
              <w:rPr>
                <w:rFonts w:ascii="Tahoma" w:hAnsi="Tahoma" w:cs="Tahoma"/>
                <w:sz w:val="21"/>
                <w:szCs w:val="21"/>
              </w:rPr>
              <w:t xml:space="preserve">Cotas de Fundos de Investimento Imobiliário - FII, </w:t>
            </w:r>
            <w:r w:rsidRPr="000F572C">
              <w:rPr>
                <w:rFonts w:ascii="Tahoma" w:hAnsi="Tahoma" w:cs="Tahoma"/>
                <w:color w:val="000000"/>
                <w:sz w:val="21"/>
                <w:szCs w:val="21"/>
              </w:rPr>
              <w:t xml:space="preserve">Fundos de Investimento em Direitos Creditórios - FIDC e Fundos de Investimento em Cotas de Fundos de Investimento em Direitos Creditórios – FICFIDC </w:t>
            </w:r>
          </w:p>
        </w:tc>
        <w:tc>
          <w:tcPr>
            <w:tcW w:w="1576" w:type="dxa"/>
            <w:vMerge/>
            <w:tcBorders>
              <w:left w:val="nil"/>
              <w:right w:val="single" w:sz="4" w:space="0" w:color="auto"/>
            </w:tcBorders>
            <w:shd w:val="clear" w:color="auto" w:fill="auto"/>
            <w:noWrap/>
            <w:vAlign w:val="center"/>
          </w:tcPr>
          <w:p w14:paraId="0CD926D7" w14:textId="77777777" w:rsidR="009949F7" w:rsidRPr="000F572C" w:rsidRDefault="009949F7" w:rsidP="00D75CE9">
            <w:pPr>
              <w:spacing w:after="0"/>
              <w:jc w:val="center"/>
              <w:rPr>
                <w:rFonts w:ascii="Tahoma" w:hAnsi="Tahoma" w:cs="Tahoma"/>
                <w:b/>
                <w:color w:val="000000"/>
                <w:sz w:val="21"/>
                <w:szCs w:val="21"/>
              </w:rPr>
            </w:pPr>
          </w:p>
        </w:tc>
        <w:tc>
          <w:tcPr>
            <w:tcW w:w="1733" w:type="dxa"/>
            <w:vMerge w:val="restart"/>
            <w:tcBorders>
              <w:top w:val="single" w:sz="4" w:space="0" w:color="auto"/>
              <w:left w:val="single" w:sz="4" w:space="0" w:color="auto"/>
              <w:right w:val="single" w:sz="4" w:space="0" w:color="auto"/>
            </w:tcBorders>
            <w:shd w:val="clear" w:color="auto" w:fill="auto"/>
            <w:noWrap/>
            <w:vAlign w:val="center"/>
          </w:tcPr>
          <w:p w14:paraId="01B3C114"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0%</w:t>
            </w:r>
          </w:p>
        </w:tc>
      </w:tr>
      <w:tr w:rsidR="009949F7" w:rsidRPr="000F572C" w14:paraId="0C318C7F" w14:textId="77777777" w:rsidTr="00D75CE9">
        <w:trPr>
          <w:trHeight w:val="453"/>
          <w:jc w:val="center"/>
        </w:trPr>
        <w:tc>
          <w:tcPr>
            <w:tcW w:w="1487" w:type="dxa"/>
            <w:vMerge/>
            <w:tcBorders>
              <w:left w:val="single" w:sz="4" w:space="0" w:color="auto"/>
              <w:right w:val="single" w:sz="4" w:space="0" w:color="auto"/>
            </w:tcBorders>
          </w:tcPr>
          <w:p w14:paraId="4EA0A0EE" w14:textId="77777777" w:rsidR="009949F7" w:rsidRPr="000F572C" w:rsidRDefault="009949F7" w:rsidP="00D75CE9">
            <w:pPr>
              <w:spacing w:after="0"/>
              <w:rPr>
                <w:rFonts w:ascii="Tahoma" w:hAnsi="Tahoma" w:cs="Tahoma"/>
                <w:sz w:val="21"/>
                <w:szCs w:val="21"/>
              </w:rPr>
            </w:pPr>
          </w:p>
        </w:tc>
        <w:tc>
          <w:tcPr>
            <w:tcW w:w="4972" w:type="dxa"/>
            <w:vMerge w:val="restart"/>
            <w:tcBorders>
              <w:top w:val="nil"/>
              <w:left w:val="single" w:sz="4" w:space="0" w:color="auto"/>
              <w:right w:val="single" w:sz="4" w:space="0" w:color="auto"/>
            </w:tcBorders>
            <w:shd w:val="clear" w:color="auto" w:fill="auto"/>
            <w:vAlign w:val="center"/>
          </w:tcPr>
          <w:p w14:paraId="034AAECB" w14:textId="77777777" w:rsidR="009949F7" w:rsidRPr="000F572C" w:rsidRDefault="009949F7" w:rsidP="00D75CE9">
            <w:pPr>
              <w:spacing w:after="0"/>
              <w:jc w:val="both"/>
              <w:rPr>
                <w:rFonts w:ascii="Tahoma" w:hAnsi="Tahoma" w:cs="Tahoma"/>
                <w:sz w:val="21"/>
                <w:szCs w:val="21"/>
              </w:rPr>
            </w:pPr>
            <w:r w:rsidRPr="000F572C">
              <w:rPr>
                <w:rFonts w:ascii="Tahoma" w:hAnsi="Tahoma" w:cs="Tahoma"/>
                <w:sz w:val="21"/>
                <w:szCs w:val="21"/>
              </w:rPr>
              <w:t>Cotas de F</w:t>
            </w:r>
            <w:r w:rsidRPr="000F572C">
              <w:rPr>
                <w:rFonts w:ascii="Tahoma" w:hAnsi="Tahoma" w:cs="Tahoma"/>
                <w:color w:val="000000"/>
                <w:sz w:val="21"/>
                <w:szCs w:val="21"/>
              </w:rPr>
              <w:t>undos de Investimento em Direitos Creditórios Não – Padronizados -</w:t>
            </w:r>
            <w:r w:rsidRPr="000F572C">
              <w:rPr>
                <w:rFonts w:ascii="Tahoma" w:hAnsi="Tahoma" w:cs="Tahoma"/>
                <w:sz w:val="21"/>
                <w:szCs w:val="21"/>
              </w:rPr>
              <w:t xml:space="preserve"> FIDC-NP e </w:t>
            </w:r>
            <w:r w:rsidRPr="000F572C">
              <w:rPr>
                <w:rFonts w:ascii="Tahoma" w:hAnsi="Tahoma" w:cs="Tahoma"/>
                <w:color w:val="000000"/>
                <w:sz w:val="21"/>
                <w:szCs w:val="21"/>
              </w:rPr>
              <w:t xml:space="preserve">Fundos de Investimento em Cotas de Fundos de Investimento em Direitos Creditórios Não – Padronizados - </w:t>
            </w:r>
            <w:r w:rsidRPr="000F572C">
              <w:rPr>
                <w:rFonts w:ascii="Tahoma" w:hAnsi="Tahoma" w:cs="Tahoma"/>
                <w:sz w:val="21"/>
                <w:szCs w:val="21"/>
              </w:rPr>
              <w:t>FICFIDC-NP</w:t>
            </w:r>
          </w:p>
        </w:tc>
        <w:tc>
          <w:tcPr>
            <w:tcW w:w="1576" w:type="dxa"/>
            <w:vMerge/>
            <w:tcBorders>
              <w:left w:val="nil"/>
              <w:right w:val="single" w:sz="4" w:space="0" w:color="auto"/>
            </w:tcBorders>
            <w:shd w:val="clear" w:color="auto" w:fill="auto"/>
            <w:noWrap/>
            <w:vAlign w:val="center"/>
          </w:tcPr>
          <w:p w14:paraId="63205D89" w14:textId="77777777" w:rsidR="009949F7" w:rsidRPr="000F572C" w:rsidRDefault="009949F7" w:rsidP="00D75CE9">
            <w:pPr>
              <w:spacing w:after="0"/>
              <w:jc w:val="center"/>
              <w:rPr>
                <w:rFonts w:ascii="Tahoma" w:hAnsi="Tahoma" w:cs="Tahoma"/>
                <w:b/>
                <w:color w:val="000000"/>
                <w:sz w:val="21"/>
                <w:szCs w:val="21"/>
              </w:rPr>
            </w:pPr>
          </w:p>
        </w:tc>
        <w:tc>
          <w:tcPr>
            <w:tcW w:w="1733" w:type="dxa"/>
            <w:vMerge/>
            <w:tcBorders>
              <w:left w:val="single" w:sz="4" w:space="0" w:color="auto"/>
              <w:bottom w:val="single" w:sz="4" w:space="0" w:color="auto"/>
              <w:right w:val="single" w:sz="4" w:space="0" w:color="auto"/>
            </w:tcBorders>
            <w:shd w:val="clear" w:color="auto" w:fill="auto"/>
            <w:noWrap/>
            <w:vAlign w:val="center"/>
          </w:tcPr>
          <w:p w14:paraId="6BB14F06" w14:textId="77777777" w:rsidR="009949F7" w:rsidRPr="000F572C" w:rsidRDefault="009949F7" w:rsidP="00D75CE9">
            <w:pPr>
              <w:spacing w:after="0"/>
              <w:jc w:val="center"/>
              <w:rPr>
                <w:rFonts w:ascii="Tahoma" w:hAnsi="Tahoma" w:cs="Tahoma"/>
                <w:b/>
                <w:color w:val="000000"/>
                <w:sz w:val="21"/>
                <w:szCs w:val="21"/>
              </w:rPr>
            </w:pPr>
          </w:p>
        </w:tc>
      </w:tr>
      <w:tr w:rsidR="009949F7" w:rsidRPr="000F572C" w14:paraId="1872D032" w14:textId="77777777" w:rsidTr="00D75CE9">
        <w:trPr>
          <w:trHeight w:val="286"/>
          <w:jc w:val="center"/>
        </w:trPr>
        <w:tc>
          <w:tcPr>
            <w:tcW w:w="1487" w:type="dxa"/>
            <w:vMerge/>
            <w:tcBorders>
              <w:left w:val="single" w:sz="4" w:space="0" w:color="auto"/>
              <w:bottom w:val="single" w:sz="4" w:space="0" w:color="auto"/>
              <w:right w:val="single" w:sz="4" w:space="0" w:color="auto"/>
            </w:tcBorders>
          </w:tcPr>
          <w:p w14:paraId="63E7AC97" w14:textId="77777777" w:rsidR="009949F7" w:rsidRPr="000F572C" w:rsidRDefault="009949F7" w:rsidP="00D75CE9">
            <w:pPr>
              <w:spacing w:after="0"/>
              <w:rPr>
                <w:rFonts w:ascii="Tahoma" w:hAnsi="Tahoma" w:cs="Tahoma"/>
                <w:sz w:val="21"/>
                <w:szCs w:val="21"/>
              </w:rPr>
            </w:pPr>
          </w:p>
        </w:tc>
        <w:tc>
          <w:tcPr>
            <w:tcW w:w="4972" w:type="dxa"/>
            <w:vMerge/>
            <w:tcBorders>
              <w:left w:val="single" w:sz="4" w:space="0" w:color="auto"/>
              <w:bottom w:val="single" w:sz="4" w:space="0" w:color="auto"/>
              <w:right w:val="single" w:sz="4" w:space="0" w:color="auto"/>
            </w:tcBorders>
            <w:shd w:val="clear" w:color="auto" w:fill="auto"/>
            <w:vAlign w:val="center"/>
          </w:tcPr>
          <w:p w14:paraId="49D50F7F" w14:textId="77777777" w:rsidR="009949F7" w:rsidRPr="000F572C" w:rsidRDefault="009949F7" w:rsidP="00D75CE9">
            <w:pPr>
              <w:spacing w:after="0"/>
              <w:jc w:val="both"/>
              <w:rPr>
                <w:rFonts w:ascii="Tahoma" w:hAnsi="Tahoma" w:cs="Tahoma"/>
                <w:sz w:val="21"/>
                <w:szCs w:val="21"/>
              </w:rPr>
            </w:pPr>
          </w:p>
        </w:tc>
        <w:tc>
          <w:tcPr>
            <w:tcW w:w="1576" w:type="dxa"/>
            <w:vMerge/>
            <w:tcBorders>
              <w:left w:val="nil"/>
              <w:bottom w:val="single" w:sz="4" w:space="0" w:color="auto"/>
              <w:right w:val="single" w:sz="4" w:space="0" w:color="auto"/>
            </w:tcBorders>
            <w:shd w:val="clear" w:color="auto" w:fill="auto"/>
            <w:noWrap/>
            <w:vAlign w:val="center"/>
          </w:tcPr>
          <w:p w14:paraId="0DC05188" w14:textId="77777777" w:rsidR="009949F7" w:rsidRPr="000F572C" w:rsidRDefault="009949F7" w:rsidP="00D75CE9">
            <w:pPr>
              <w:spacing w:after="0"/>
              <w:jc w:val="center"/>
              <w:rPr>
                <w:rFonts w:ascii="Tahoma" w:hAnsi="Tahoma" w:cs="Tahoma"/>
                <w:b/>
                <w:color w:val="000000"/>
                <w:sz w:val="21"/>
                <w:szCs w:val="21"/>
              </w:rPr>
            </w:pP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49271"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0%</w:t>
            </w:r>
          </w:p>
        </w:tc>
      </w:tr>
      <w:tr w:rsidR="009949F7" w:rsidRPr="000F572C" w14:paraId="08CDED8F" w14:textId="77777777" w:rsidTr="00D75CE9">
        <w:trPr>
          <w:trHeight w:val="286"/>
          <w:jc w:val="center"/>
        </w:trPr>
        <w:tc>
          <w:tcPr>
            <w:tcW w:w="6460" w:type="dxa"/>
            <w:gridSpan w:val="2"/>
            <w:tcBorders>
              <w:top w:val="single" w:sz="4" w:space="0" w:color="auto"/>
              <w:left w:val="single" w:sz="4" w:space="0" w:color="auto"/>
              <w:bottom w:val="single" w:sz="4" w:space="0" w:color="auto"/>
              <w:right w:val="single" w:sz="4" w:space="0" w:color="auto"/>
            </w:tcBorders>
          </w:tcPr>
          <w:p w14:paraId="07A9CB29" w14:textId="77777777" w:rsidR="009949F7" w:rsidRPr="000F572C" w:rsidRDefault="009949F7" w:rsidP="00D75CE9">
            <w:pPr>
              <w:spacing w:after="0"/>
              <w:jc w:val="both"/>
              <w:rPr>
                <w:rFonts w:ascii="Tahoma" w:hAnsi="Tahoma" w:cs="Tahoma"/>
                <w:sz w:val="21"/>
                <w:szCs w:val="21"/>
              </w:rPr>
            </w:pPr>
            <w:r w:rsidRPr="000F572C">
              <w:rPr>
                <w:rFonts w:ascii="Tahoma" w:hAnsi="Tahoma" w:cs="Tahoma"/>
                <w:sz w:val="21"/>
                <w:szCs w:val="21"/>
              </w:rPr>
              <w:t>Depósitos à vista</w:t>
            </w:r>
          </w:p>
        </w:tc>
        <w:tc>
          <w:tcPr>
            <w:tcW w:w="1576" w:type="dxa"/>
            <w:vMerge w:val="restart"/>
            <w:tcBorders>
              <w:top w:val="single" w:sz="4" w:space="0" w:color="auto"/>
              <w:left w:val="nil"/>
              <w:right w:val="single" w:sz="4" w:space="0" w:color="auto"/>
            </w:tcBorders>
            <w:shd w:val="clear" w:color="auto" w:fill="auto"/>
            <w:noWrap/>
            <w:vAlign w:val="center"/>
          </w:tcPr>
          <w:p w14:paraId="17E391D4"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0%</w:t>
            </w:r>
          </w:p>
        </w:tc>
        <w:tc>
          <w:tcPr>
            <w:tcW w:w="1733" w:type="dxa"/>
            <w:vMerge w:val="restart"/>
            <w:tcBorders>
              <w:top w:val="single" w:sz="4" w:space="0" w:color="auto"/>
              <w:left w:val="single" w:sz="4" w:space="0" w:color="auto"/>
              <w:right w:val="single" w:sz="4" w:space="0" w:color="auto"/>
            </w:tcBorders>
            <w:shd w:val="clear" w:color="auto" w:fill="auto"/>
            <w:noWrap/>
            <w:vAlign w:val="center"/>
          </w:tcPr>
          <w:p w14:paraId="105E32C2"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5%</w:t>
            </w:r>
          </w:p>
        </w:tc>
      </w:tr>
      <w:tr w:rsidR="009949F7" w:rsidRPr="000F572C" w14:paraId="30657518" w14:textId="77777777" w:rsidTr="00D75CE9">
        <w:trPr>
          <w:trHeight w:val="286"/>
          <w:jc w:val="center"/>
        </w:trPr>
        <w:tc>
          <w:tcPr>
            <w:tcW w:w="6460" w:type="dxa"/>
            <w:gridSpan w:val="2"/>
            <w:tcBorders>
              <w:top w:val="single" w:sz="4" w:space="0" w:color="auto"/>
              <w:left w:val="single" w:sz="4" w:space="0" w:color="auto"/>
              <w:bottom w:val="single" w:sz="4" w:space="0" w:color="auto"/>
              <w:right w:val="single" w:sz="4" w:space="0" w:color="auto"/>
            </w:tcBorders>
          </w:tcPr>
          <w:p w14:paraId="5F1F3973" w14:textId="77777777" w:rsidR="009949F7" w:rsidRPr="000F572C" w:rsidRDefault="009949F7" w:rsidP="00D75CE9">
            <w:pPr>
              <w:spacing w:after="0"/>
              <w:jc w:val="both"/>
              <w:rPr>
                <w:rFonts w:ascii="Tahoma" w:hAnsi="Tahoma" w:cs="Tahoma"/>
                <w:sz w:val="21"/>
                <w:szCs w:val="21"/>
              </w:rPr>
            </w:pPr>
            <w:r w:rsidRPr="000F572C">
              <w:rPr>
                <w:rFonts w:ascii="Tahoma" w:hAnsi="Tahoma" w:cs="Tahoma"/>
                <w:sz w:val="21"/>
                <w:szCs w:val="21"/>
              </w:rPr>
              <w:t>Títulos Públicos Federais</w:t>
            </w:r>
          </w:p>
        </w:tc>
        <w:tc>
          <w:tcPr>
            <w:tcW w:w="1576" w:type="dxa"/>
            <w:vMerge/>
            <w:tcBorders>
              <w:left w:val="nil"/>
              <w:right w:val="single" w:sz="4" w:space="0" w:color="auto"/>
            </w:tcBorders>
            <w:shd w:val="clear" w:color="auto" w:fill="auto"/>
            <w:noWrap/>
            <w:vAlign w:val="center"/>
            <w:hideMark/>
          </w:tcPr>
          <w:p w14:paraId="4BEBDAF3" w14:textId="77777777" w:rsidR="009949F7" w:rsidRPr="000F572C" w:rsidRDefault="009949F7" w:rsidP="00D75CE9">
            <w:pPr>
              <w:spacing w:after="0"/>
              <w:jc w:val="center"/>
              <w:rPr>
                <w:rFonts w:ascii="Tahoma" w:hAnsi="Tahoma" w:cs="Tahoma"/>
                <w:b/>
                <w:color w:val="000000"/>
                <w:sz w:val="21"/>
                <w:szCs w:val="21"/>
              </w:rPr>
            </w:pPr>
          </w:p>
        </w:tc>
        <w:tc>
          <w:tcPr>
            <w:tcW w:w="1733" w:type="dxa"/>
            <w:vMerge/>
            <w:tcBorders>
              <w:left w:val="single" w:sz="4" w:space="0" w:color="auto"/>
              <w:right w:val="single" w:sz="4" w:space="0" w:color="auto"/>
            </w:tcBorders>
            <w:shd w:val="clear" w:color="auto" w:fill="auto"/>
            <w:noWrap/>
            <w:vAlign w:val="center"/>
          </w:tcPr>
          <w:p w14:paraId="323B84E1" w14:textId="77777777" w:rsidR="009949F7" w:rsidRPr="000F572C" w:rsidRDefault="009949F7" w:rsidP="00D75CE9">
            <w:pPr>
              <w:spacing w:after="0"/>
              <w:jc w:val="center"/>
              <w:rPr>
                <w:rFonts w:ascii="Tahoma" w:hAnsi="Tahoma" w:cs="Tahoma"/>
                <w:b/>
                <w:sz w:val="21"/>
                <w:szCs w:val="21"/>
              </w:rPr>
            </w:pPr>
          </w:p>
        </w:tc>
      </w:tr>
      <w:tr w:rsidR="009949F7" w:rsidRPr="000F572C" w14:paraId="263BD359" w14:textId="77777777" w:rsidTr="00D75CE9">
        <w:trPr>
          <w:trHeight w:val="329"/>
          <w:jc w:val="center"/>
        </w:trPr>
        <w:tc>
          <w:tcPr>
            <w:tcW w:w="6460" w:type="dxa"/>
            <w:gridSpan w:val="2"/>
            <w:tcBorders>
              <w:top w:val="single" w:sz="4" w:space="0" w:color="auto"/>
              <w:left w:val="single" w:sz="4" w:space="0" w:color="auto"/>
              <w:bottom w:val="single" w:sz="4" w:space="0" w:color="auto"/>
              <w:right w:val="single" w:sz="4" w:space="0" w:color="auto"/>
            </w:tcBorders>
          </w:tcPr>
          <w:p w14:paraId="3F49ECE4" w14:textId="77777777" w:rsidR="009949F7" w:rsidRPr="000F572C" w:rsidRDefault="009949F7" w:rsidP="00D75CE9">
            <w:pPr>
              <w:spacing w:after="0"/>
              <w:jc w:val="both"/>
              <w:rPr>
                <w:rFonts w:ascii="Tahoma" w:hAnsi="Tahoma" w:cs="Tahoma"/>
                <w:sz w:val="21"/>
                <w:szCs w:val="21"/>
              </w:rPr>
            </w:pPr>
            <w:r w:rsidRPr="000F572C">
              <w:rPr>
                <w:rFonts w:ascii="Tahoma" w:hAnsi="Tahoma" w:cs="Tahoma"/>
                <w:sz w:val="21"/>
                <w:szCs w:val="21"/>
              </w:rPr>
              <w:t>Títulos de Renda Fixa de emissão de instituição financeira</w:t>
            </w:r>
          </w:p>
        </w:tc>
        <w:tc>
          <w:tcPr>
            <w:tcW w:w="1576" w:type="dxa"/>
            <w:vMerge/>
            <w:tcBorders>
              <w:left w:val="nil"/>
              <w:right w:val="single" w:sz="4" w:space="0" w:color="auto"/>
            </w:tcBorders>
            <w:shd w:val="clear" w:color="auto" w:fill="auto"/>
            <w:noWrap/>
            <w:vAlign w:val="center"/>
          </w:tcPr>
          <w:p w14:paraId="1211B222" w14:textId="77777777" w:rsidR="009949F7" w:rsidRPr="000F572C" w:rsidRDefault="009949F7" w:rsidP="00D75CE9">
            <w:pPr>
              <w:spacing w:after="0"/>
              <w:jc w:val="center"/>
              <w:rPr>
                <w:rFonts w:ascii="Tahoma" w:hAnsi="Tahoma" w:cs="Tahoma"/>
                <w:b/>
                <w:color w:val="000000"/>
                <w:sz w:val="21"/>
                <w:szCs w:val="21"/>
              </w:rPr>
            </w:pPr>
          </w:p>
        </w:tc>
        <w:tc>
          <w:tcPr>
            <w:tcW w:w="1733" w:type="dxa"/>
            <w:vMerge/>
            <w:tcBorders>
              <w:left w:val="single" w:sz="4" w:space="0" w:color="auto"/>
              <w:right w:val="single" w:sz="4" w:space="0" w:color="auto"/>
            </w:tcBorders>
            <w:shd w:val="clear" w:color="auto" w:fill="auto"/>
            <w:noWrap/>
            <w:vAlign w:val="center"/>
          </w:tcPr>
          <w:p w14:paraId="4BEB8AE2" w14:textId="77777777" w:rsidR="009949F7" w:rsidRPr="000F572C" w:rsidRDefault="009949F7" w:rsidP="00D75CE9">
            <w:pPr>
              <w:spacing w:after="0"/>
              <w:jc w:val="center"/>
              <w:rPr>
                <w:rFonts w:ascii="Tahoma" w:hAnsi="Tahoma" w:cs="Tahoma"/>
                <w:b/>
                <w:color w:val="000000"/>
                <w:sz w:val="21"/>
                <w:szCs w:val="21"/>
              </w:rPr>
            </w:pPr>
          </w:p>
        </w:tc>
      </w:tr>
      <w:tr w:rsidR="009949F7" w:rsidRPr="000F572C" w14:paraId="73372AFA" w14:textId="77777777" w:rsidTr="00D75CE9">
        <w:trPr>
          <w:trHeight w:val="286"/>
          <w:jc w:val="center"/>
        </w:trPr>
        <w:tc>
          <w:tcPr>
            <w:tcW w:w="6460" w:type="dxa"/>
            <w:gridSpan w:val="2"/>
            <w:tcBorders>
              <w:top w:val="single" w:sz="4" w:space="0" w:color="auto"/>
              <w:left w:val="single" w:sz="4" w:space="0" w:color="auto"/>
              <w:bottom w:val="single" w:sz="4" w:space="0" w:color="auto"/>
              <w:right w:val="single" w:sz="4" w:space="0" w:color="auto"/>
            </w:tcBorders>
          </w:tcPr>
          <w:p w14:paraId="6027CF9A" w14:textId="77777777" w:rsidR="009949F7" w:rsidRPr="000F572C" w:rsidRDefault="009949F7" w:rsidP="00D75CE9">
            <w:pPr>
              <w:spacing w:after="0"/>
              <w:jc w:val="both"/>
              <w:rPr>
                <w:rFonts w:ascii="Tahoma" w:hAnsi="Tahoma" w:cs="Tahoma"/>
                <w:sz w:val="21"/>
                <w:szCs w:val="21"/>
              </w:rPr>
            </w:pPr>
            <w:r w:rsidRPr="000F572C">
              <w:rPr>
                <w:rFonts w:ascii="Tahoma" w:hAnsi="Tahoma" w:cs="Tahoma"/>
                <w:sz w:val="21"/>
                <w:szCs w:val="21"/>
              </w:rPr>
              <w:t>Cotas de fundos de investimento e cotas de fundos de investimento em cotas da classe Renda Fixa e cotas de fundos de índice de renda fixa (“Fundos Investidos”)</w:t>
            </w:r>
          </w:p>
        </w:tc>
        <w:tc>
          <w:tcPr>
            <w:tcW w:w="1576" w:type="dxa"/>
            <w:vMerge/>
            <w:tcBorders>
              <w:left w:val="nil"/>
              <w:right w:val="single" w:sz="4" w:space="0" w:color="auto"/>
            </w:tcBorders>
            <w:shd w:val="clear" w:color="auto" w:fill="auto"/>
            <w:noWrap/>
            <w:vAlign w:val="center"/>
          </w:tcPr>
          <w:p w14:paraId="725431B7" w14:textId="77777777" w:rsidR="009949F7" w:rsidRPr="000F572C" w:rsidRDefault="009949F7" w:rsidP="00D75CE9">
            <w:pPr>
              <w:spacing w:after="0"/>
              <w:jc w:val="center"/>
              <w:rPr>
                <w:rFonts w:ascii="Tahoma" w:hAnsi="Tahoma" w:cs="Tahoma"/>
                <w:b/>
                <w:color w:val="000000"/>
                <w:sz w:val="21"/>
                <w:szCs w:val="21"/>
              </w:rPr>
            </w:pPr>
          </w:p>
        </w:tc>
        <w:tc>
          <w:tcPr>
            <w:tcW w:w="1733" w:type="dxa"/>
            <w:vMerge/>
            <w:tcBorders>
              <w:left w:val="single" w:sz="4" w:space="0" w:color="auto"/>
              <w:right w:val="single" w:sz="4" w:space="0" w:color="auto"/>
            </w:tcBorders>
            <w:shd w:val="clear" w:color="auto" w:fill="auto"/>
            <w:noWrap/>
            <w:vAlign w:val="center"/>
          </w:tcPr>
          <w:p w14:paraId="23043377" w14:textId="77777777" w:rsidR="009949F7" w:rsidRPr="000F572C" w:rsidRDefault="009949F7" w:rsidP="00D75CE9">
            <w:pPr>
              <w:spacing w:after="0"/>
              <w:jc w:val="center"/>
              <w:rPr>
                <w:rFonts w:ascii="Tahoma" w:hAnsi="Tahoma" w:cs="Tahoma"/>
                <w:b/>
                <w:color w:val="000000"/>
                <w:sz w:val="21"/>
                <w:szCs w:val="21"/>
              </w:rPr>
            </w:pPr>
          </w:p>
        </w:tc>
      </w:tr>
      <w:tr w:rsidR="009949F7" w:rsidRPr="000F572C" w14:paraId="69F902B6" w14:textId="77777777" w:rsidTr="00D75CE9">
        <w:trPr>
          <w:trHeight w:val="286"/>
          <w:jc w:val="center"/>
        </w:trPr>
        <w:tc>
          <w:tcPr>
            <w:tcW w:w="6460" w:type="dxa"/>
            <w:gridSpan w:val="2"/>
            <w:tcBorders>
              <w:top w:val="single" w:sz="4" w:space="0" w:color="auto"/>
              <w:left w:val="single" w:sz="4" w:space="0" w:color="auto"/>
              <w:bottom w:val="single" w:sz="4" w:space="0" w:color="auto"/>
              <w:right w:val="single" w:sz="4" w:space="0" w:color="auto"/>
            </w:tcBorders>
          </w:tcPr>
          <w:p w14:paraId="2678B55A" w14:textId="77777777" w:rsidR="009949F7" w:rsidRPr="000F572C" w:rsidRDefault="009949F7" w:rsidP="00D75CE9">
            <w:pPr>
              <w:spacing w:after="0"/>
              <w:jc w:val="both"/>
              <w:rPr>
                <w:rFonts w:ascii="Tahoma" w:hAnsi="Tahoma" w:cs="Tahoma"/>
                <w:sz w:val="21"/>
                <w:szCs w:val="21"/>
              </w:rPr>
            </w:pPr>
            <w:r w:rsidRPr="000F572C">
              <w:rPr>
                <w:rFonts w:ascii="Tahoma" w:hAnsi="Tahoma" w:cs="Tahoma"/>
                <w:sz w:val="21"/>
                <w:szCs w:val="21"/>
              </w:rPr>
              <w:t>Operações compromissadas</w:t>
            </w:r>
          </w:p>
        </w:tc>
        <w:tc>
          <w:tcPr>
            <w:tcW w:w="1576" w:type="dxa"/>
            <w:vMerge/>
            <w:tcBorders>
              <w:left w:val="nil"/>
              <w:bottom w:val="single" w:sz="4" w:space="0" w:color="auto"/>
              <w:right w:val="single" w:sz="4" w:space="0" w:color="auto"/>
            </w:tcBorders>
            <w:shd w:val="clear" w:color="auto" w:fill="auto"/>
            <w:noWrap/>
            <w:vAlign w:val="center"/>
          </w:tcPr>
          <w:p w14:paraId="7FD21356" w14:textId="77777777" w:rsidR="009949F7" w:rsidRPr="000F572C" w:rsidRDefault="009949F7" w:rsidP="00D75CE9">
            <w:pPr>
              <w:spacing w:after="0"/>
              <w:jc w:val="center"/>
              <w:rPr>
                <w:rFonts w:ascii="Tahoma" w:hAnsi="Tahoma" w:cs="Tahoma"/>
                <w:b/>
                <w:color w:val="000000"/>
                <w:sz w:val="21"/>
                <w:szCs w:val="21"/>
              </w:rPr>
            </w:pPr>
          </w:p>
        </w:tc>
        <w:tc>
          <w:tcPr>
            <w:tcW w:w="1733" w:type="dxa"/>
            <w:vMerge/>
            <w:tcBorders>
              <w:left w:val="single" w:sz="4" w:space="0" w:color="auto"/>
              <w:bottom w:val="single" w:sz="4" w:space="0" w:color="auto"/>
              <w:right w:val="single" w:sz="4" w:space="0" w:color="auto"/>
            </w:tcBorders>
            <w:shd w:val="clear" w:color="auto" w:fill="auto"/>
            <w:noWrap/>
            <w:vAlign w:val="center"/>
          </w:tcPr>
          <w:p w14:paraId="393CBBAF" w14:textId="77777777" w:rsidR="009949F7" w:rsidRPr="000F572C" w:rsidRDefault="009949F7" w:rsidP="00D75CE9">
            <w:pPr>
              <w:spacing w:after="0"/>
              <w:jc w:val="center"/>
              <w:rPr>
                <w:rFonts w:ascii="Tahoma" w:hAnsi="Tahoma" w:cs="Tahoma"/>
                <w:b/>
                <w:color w:val="000000"/>
                <w:sz w:val="21"/>
                <w:szCs w:val="21"/>
              </w:rPr>
            </w:pPr>
          </w:p>
        </w:tc>
      </w:tr>
      <w:tr w:rsidR="009949F7" w:rsidRPr="000F572C" w14:paraId="794F5BA9" w14:textId="77777777" w:rsidTr="00D75CE9">
        <w:trPr>
          <w:trHeight w:val="286"/>
          <w:jc w:val="center"/>
        </w:trPr>
        <w:tc>
          <w:tcPr>
            <w:tcW w:w="9770" w:type="dxa"/>
            <w:gridSpan w:val="4"/>
            <w:tcBorders>
              <w:top w:val="single" w:sz="4" w:space="0" w:color="auto"/>
              <w:left w:val="single" w:sz="4" w:space="0" w:color="auto"/>
              <w:bottom w:val="single" w:sz="4" w:space="0" w:color="auto"/>
              <w:right w:val="single" w:sz="4" w:space="0" w:color="auto"/>
            </w:tcBorders>
            <w:vAlign w:val="center"/>
          </w:tcPr>
          <w:p w14:paraId="10E9EDAA" w14:textId="77777777" w:rsidR="009949F7" w:rsidRPr="000B61F5" w:rsidRDefault="009949F7" w:rsidP="00D75CE9">
            <w:pPr>
              <w:jc w:val="both"/>
              <w:rPr>
                <w:rFonts w:ascii="Tahoma" w:eastAsia="Calibri" w:hAnsi="Tahoma" w:cs="Tahoma"/>
                <w:b/>
                <w:color w:val="000000"/>
                <w:sz w:val="21"/>
                <w:szCs w:val="21"/>
              </w:rPr>
            </w:pPr>
            <w:r w:rsidRPr="000F572C">
              <w:rPr>
                <w:rFonts w:ascii="Tahoma" w:hAnsi="Tahoma" w:cs="Tahoma"/>
                <w:b/>
                <w:color w:val="000000"/>
                <w:sz w:val="21"/>
                <w:szCs w:val="21"/>
              </w:rPr>
              <w:t>(*)</w:t>
            </w:r>
            <w:r>
              <w:rPr>
                <w:rFonts w:ascii="Tahoma" w:eastAsia="Calibri" w:hAnsi="Tahoma" w:cs="Tahoma"/>
                <w:b/>
                <w:color w:val="000000"/>
                <w:sz w:val="21"/>
                <w:szCs w:val="21"/>
              </w:rPr>
              <w:t xml:space="preserve"> </w:t>
            </w:r>
            <w:r w:rsidRPr="000F572C">
              <w:rPr>
                <w:rFonts w:ascii="Tahoma" w:hAnsi="Tahoma" w:cs="Tahoma"/>
                <w:b/>
                <w:color w:val="000000"/>
                <w:sz w:val="21"/>
                <w:szCs w:val="21"/>
              </w:rPr>
              <w:t>Para fins de enquadramento da carteira e para fins fiscais, nos termos da Instrução CVM 555 e da Lei 12.431, a partir do 180º a contar da data da primeira integralização de cotas dos Fundos Investidos de Infraestrutura e até o 2º ano, os Fundos Investidos de Infraestrutura deverão investir, no mínimo, 67</w:t>
            </w:r>
            <w:proofErr w:type="gramStart"/>
            <w:r w:rsidRPr="000F572C">
              <w:rPr>
                <w:rFonts w:ascii="Tahoma" w:hAnsi="Tahoma" w:cs="Tahoma"/>
                <w:b/>
                <w:color w:val="000000"/>
                <w:sz w:val="21"/>
                <w:szCs w:val="21"/>
              </w:rPr>
              <w:t xml:space="preserve">% </w:t>
            </w:r>
            <w:r>
              <w:rPr>
                <w:rFonts w:ascii="Tahoma" w:hAnsi="Tahoma" w:cs="Tahoma"/>
                <w:b/>
                <w:color w:val="000000"/>
                <w:sz w:val="21"/>
                <w:szCs w:val="21"/>
              </w:rPr>
              <w:t xml:space="preserve"> </w:t>
            </w:r>
            <w:r w:rsidRPr="000F572C">
              <w:rPr>
                <w:rFonts w:ascii="Tahoma" w:hAnsi="Tahoma" w:cs="Tahoma"/>
                <w:b/>
                <w:color w:val="000000"/>
                <w:sz w:val="21"/>
                <w:szCs w:val="21"/>
              </w:rPr>
              <w:t>de</w:t>
            </w:r>
            <w:proofErr w:type="gramEnd"/>
            <w:r w:rsidRPr="000F572C">
              <w:rPr>
                <w:rFonts w:ascii="Tahoma" w:hAnsi="Tahoma" w:cs="Tahoma"/>
                <w:b/>
                <w:color w:val="000000"/>
                <w:sz w:val="21"/>
                <w:szCs w:val="21"/>
              </w:rPr>
              <w:t xml:space="preserve"> seu </w:t>
            </w:r>
            <w:r>
              <w:rPr>
                <w:rFonts w:ascii="Tahoma" w:hAnsi="Tahoma" w:cs="Tahoma"/>
                <w:b/>
                <w:color w:val="000000"/>
                <w:sz w:val="21"/>
                <w:szCs w:val="21"/>
              </w:rPr>
              <w:t>Valor de Referência</w:t>
            </w:r>
            <w:r w:rsidRPr="000F572C">
              <w:rPr>
                <w:rFonts w:ascii="Tahoma" w:hAnsi="Tahoma" w:cs="Tahoma"/>
                <w:b/>
                <w:color w:val="000000"/>
                <w:sz w:val="21"/>
                <w:szCs w:val="21"/>
              </w:rPr>
              <w:t xml:space="preserve"> em Ativos de Infraestrutura. Após esse período, o referido percentual passa a ser de, no mínimo, 85%</w:t>
            </w:r>
            <w:r>
              <w:rPr>
                <w:rFonts w:ascii="Tahoma" w:hAnsi="Tahoma" w:cs="Tahoma"/>
                <w:b/>
                <w:color w:val="000000"/>
                <w:sz w:val="21"/>
                <w:szCs w:val="21"/>
              </w:rPr>
              <w:t>.</w:t>
            </w:r>
            <w:r>
              <w:rPr>
                <w:rFonts w:ascii="Tahoma" w:eastAsia="Calibri" w:hAnsi="Tahoma" w:cs="Tahoma"/>
                <w:b/>
                <w:color w:val="000000"/>
                <w:sz w:val="21"/>
                <w:szCs w:val="21"/>
              </w:rPr>
              <w:t xml:space="preserve"> Entende-se por valor de referência dos Fundos Investidos o menor valor entre o patrimônio líquido dos Fundos Investidos e a média do patrimônio líquido dos Fundos Investidos nos 180 dias anteriores à data de apuração ("</w:t>
            </w:r>
            <w:r w:rsidRPr="004D474A">
              <w:rPr>
                <w:rFonts w:ascii="Tahoma" w:eastAsia="Calibri" w:hAnsi="Tahoma" w:cs="Tahoma"/>
                <w:b/>
                <w:color w:val="000000"/>
                <w:sz w:val="21"/>
                <w:szCs w:val="21"/>
                <w:u w:val="single"/>
              </w:rPr>
              <w:t>Valor de Referência</w:t>
            </w:r>
            <w:r>
              <w:rPr>
                <w:rFonts w:ascii="Tahoma" w:eastAsia="Calibri" w:hAnsi="Tahoma" w:cs="Tahoma"/>
                <w:b/>
                <w:color w:val="000000"/>
                <w:sz w:val="21"/>
                <w:szCs w:val="21"/>
              </w:rPr>
              <w:t>”).</w:t>
            </w:r>
          </w:p>
        </w:tc>
      </w:tr>
      <w:tr w:rsidR="009949F7" w:rsidRPr="000F572C" w14:paraId="2CA133B0" w14:textId="77777777" w:rsidTr="00D75CE9">
        <w:trPr>
          <w:trHeight w:val="650"/>
          <w:jc w:val="center"/>
        </w:trPr>
        <w:tc>
          <w:tcPr>
            <w:tcW w:w="646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47C587B"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CRÉDITO PRIVADO</w:t>
            </w:r>
          </w:p>
        </w:tc>
        <w:tc>
          <w:tcPr>
            <w:tcW w:w="15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5B4AB6"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Permitido / Vedado</w:t>
            </w:r>
          </w:p>
        </w:tc>
        <w:tc>
          <w:tcPr>
            <w:tcW w:w="17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4E14D8"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Limite aplicável</w:t>
            </w:r>
          </w:p>
          <w:p w14:paraId="7C824515"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 do PL)</w:t>
            </w:r>
          </w:p>
        </w:tc>
      </w:tr>
      <w:tr w:rsidR="009949F7" w:rsidRPr="000F572C" w14:paraId="170AC04D" w14:textId="77777777" w:rsidTr="00D75CE9">
        <w:trPr>
          <w:trHeight w:val="973"/>
          <w:jc w:val="center"/>
        </w:trPr>
        <w:tc>
          <w:tcPr>
            <w:tcW w:w="6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48A08F" w14:textId="77777777" w:rsidR="009949F7" w:rsidRPr="000F572C" w:rsidRDefault="009949F7" w:rsidP="00D75CE9">
            <w:pPr>
              <w:spacing w:after="0"/>
              <w:jc w:val="both"/>
              <w:rPr>
                <w:rFonts w:ascii="Tahoma" w:hAnsi="Tahoma" w:cs="Tahoma"/>
                <w:color w:val="000000"/>
                <w:sz w:val="21"/>
                <w:szCs w:val="21"/>
              </w:rPr>
            </w:pPr>
            <w:r w:rsidRPr="000F572C">
              <w:rPr>
                <w:rFonts w:ascii="Tahoma" w:hAnsi="Tahoma" w:cs="Tahoma"/>
                <w:color w:val="000000"/>
                <w:sz w:val="21"/>
                <w:szCs w:val="21"/>
              </w:rPr>
              <w:t>Ativos de crédito privado e/ou títulos públicos que não da União, considerando-se a consolidação dos investimentos do FUNDO e dos Fundos Investidos</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60445B93" w14:textId="77777777" w:rsidR="009949F7" w:rsidRPr="000F572C" w:rsidRDefault="009949F7" w:rsidP="00D75CE9">
            <w:pPr>
              <w:spacing w:after="0"/>
              <w:jc w:val="center"/>
              <w:rPr>
                <w:rFonts w:ascii="Tahoma" w:hAnsi="Tahoma" w:cs="Tahoma"/>
                <w:color w:val="000000"/>
                <w:sz w:val="21"/>
                <w:szCs w:val="21"/>
              </w:rPr>
            </w:pPr>
            <w:r w:rsidRPr="000F572C">
              <w:rPr>
                <w:rFonts w:ascii="Tahoma" w:hAnsi="Tahoma" w:cs="Tahoma"/>
                <w:color w:val="000000"/>
                <w:sz w:val="21"/>
                <w:szCs w:val="21"/>
              </w:rPr>
              <w:t>Permitido</w:t>
            </w:r>
          </w:p>
        </w:tc>
        <w:tc>
          <w:tcPr>
            <w:tcW w:w="1733" w:type="dxa"/>
            <w:tcBorders>
              <w:top w:val="single" w:sz="4" w:space="0" w:color="auto"/>
              <w:left w:val="nil"/>
              <w:bottom w:val="single" w:sz="4" w:space="0" w:color="auto"/>
              <w:right w:val="single" w:sz="4" w:space="0" w:color="auto"/>
            </w:tcBorders>
            <w:shd w:val="clear" w:color="auto" w:fill="auto"/>
            <w:vAlign w:val="center"/>
            <w:hideMark/>
          </w:tcPr>
          <w:p w14:paraId="3979F723"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Até 100%</w:t>
            </w:r>
          </w:p>
        </w:tc>
      </w:tr>
      <w:tr w:rsidR="009949F7" w:rsidRPr="000F572C" w14:paraId="4F98ECA9" w14:textId="77777777" w:rsidTr="00D75CE9">
        <w:trPr>
          <w:trHeight w:val="286"/>
          <w:jc w:val="center"/>
        </w:trPr>
        <w:tc>
          <w:tcPr>
            <w:tcW w:w="646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280017F"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INVESTIMENTO NO EXTERIOR</w:t>
            </w:r>
          </w:p>
        </w:tc>
        <w:tc>
          <w:tcPr>
            <w:tcW w:w="15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C62F77"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Permitido / Vedado</w:t>
            </w:r>
          </w:p>
        </w:tc>
        <w:tc>
          <w:tcPr>
            <w:tcW w:w="17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17C942"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Limite aplicável</w:t>
            </w:r>
          </w:p>
          <w:p w14:paraId="2C90F1CC"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 do PL)</w:t>
            </w:r>
          </w:p>
        </w:tc>
      </w:tr>
      <w:tr w:rsidR="009949F7" w:rsidRPr="000F572C" w14:paraId="49375992" w14:textId="77777777" w:rsidTr="00D75CE9">
        <w:trPr>
          <w:trHeight w:val="286"/>
          <w:jc w:val="center"/>
        </w:trPr>
        <w:tc>
          <w:tcPr>
            <w:tcW w:w="6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BE929" w14:textId="77777777" w:rsidR="009949F7" w:rsidRPr="000F572C" w:rsidRDefault="009949F7" w:rsidP="00D75CE9">
            <w:pPr>
              <w:spacing w:after="0"/>
              <w:jc w:val="both"/>
              <w:rPr>
                <w:rFonts w:ascii="Tahoma" w:hAnsi="Tahoma" w:cs="Tahoma"/>
                <w:color w:val="000000"/>
                <w:sz w:val="21"/>
                <w:szCs w:val="21"/>
              </w:rPr>
            </w:pPr>
            <w:r w:rsidRPr="000F572C">
              <w:rPr>
                <w:rFonts w:ascii="Tahoma" w:hAnsi="Tahoma" w:cs="Tahoma"/>
                <w:color w:val="000000"/>
                <w:sz w:val="21"/>
                <w:szCs w:val="21"/>
              </w:rPr>
              <w:t>Ativos financeiros negociados no exterior que tenham a mesma natureza econômica dos ativos financeiros no Brasil</w:t>
            </w:r>
            <w:r w:rsidRPr="000F572C">
              <w:rPr>
                <w:rFonts w:ascii="Tahoma" w:hAnsi="Tahoma" w:cs="Tahoma"/>
                <w:sz w:val="21"/>
                <w:szCs w:val="21"/>
              </w:rPr>
              <w:t>, considerando-se a consolidação dos investimentos dos Fundos Investidos</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BEC949A" w14:textId="77777777" w:rsidR="009949F7" w:rsidRPr="000F572C" w:rsidRDefault="009949F7" w:rsidP="00D75CE9">
            <w:pPr>
              <w:spacing w:after="0"/>
              <w:jc w:val="center"/>
              <w:rPr>
                <w:rFonts w:ascii="Tahoma" w:hAnsi="Tahoma" w:cs="Tahoma"/>
                <w:color w:val="000000"/>
                <w:sz w:val="21"/>
                <w:szCs w:val="21"/>
              </w:rPr>
            </w:pPr>
            <w:r w:rsidRPr="000F572C">
              <w:rPr>
                <w:rFonts w:ascii="Tahoma" w:hAnsi="Tahoma" w:cs="Tahoma"/>
                <w:color w:val="000000"/>
                <w:sz w:val="21"/>
                <w:szCs w:val="21"/>
              </w:rPr>
              <w:t>Vedado</w:t>
            </w:r>
          </w:p>
        </w:tc>
        <w:tc>
          <w:tcPr>
            <w:tcW w:w="1733" w:type="dxa"/>
            <w:tcBorders>
              <w:top w:val="single" w:sz="4" w:space="0" w:color="auto"/>
              <w:left w:val="nil"/>
              <w:bottom w:val="single" w:sz="4" w:space="0" w:color="auto"/>
              <w:right w:val="single" w:sz="4" w:space="0" w:color="auto"/>
            </w:tcBorders>
            <w:shd w:val="clear" w:color="auto" w:fill="auto"/>
            <w:noWrap/>
            <w:vAlign w:val="center"/>
            <w:hideMark/>
          </w:tcPr>
          <w:p w14:paraId="5E0D8F17"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0%</w:t>
            </w:r>
          </w:p>
        </w:tc>
      </w:tr>
      <w:tr w:rsidR="009949F7" w:rsidRPr="000F572C" w14:paraId="5CFCAEA5" w14:textId="77777777" w:rsidTr="00D75CE9">
        <w:trPr>
          <w:trHeight w:val="286"/>
          <w:jc w:val="center"/>
        </w:trPr>
        <w:tc>
          <w:tcPr>
            <w:tcW w:w="97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740550" w14:textId="77777777" w:rsidR="009949F7" w:rsidRPr="000F572C" w:rsidRDefault="009949F7" w:rsidP="00D75CE9">
            <w:pPr>
              <w:spacing w:after="0"/>
              <w:jc w:val="both"/>
              <w:rPr>
                <w:rFonts w:ascii="Tahoma" w:hAnsi="Tahoma" w:cs="Tahoma"/>
                <w:b/>
                <w:color w:val="000000"/>
                <w:sz w:val="21"/>
                <w:szCs w:val="21"/>
              </w:rPr>
            </w:pPr>
            <w:r w:rsidRPr="000F572C">
              <w:rPr>
                <w:rFonts w:ascii="Tahoma" w:hAnsi="Tahoma" w:cs="Tahoma"/>
                <w:b/>
                <w:color w:val="000000"/>
                <w:sz w:val="21"/>
                <w:szCs w:val="21"/>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64C4CF06" w14:textId="77777777" w:rsidR="009949F7" w:rsidRPr="000F572C" w:rsidRDefault="009949F7" w:rsidP="009949F7">
      <w:pPr>
        <w:spacing w:after="0"/>
        <w:jc w:val="center"/>
        <w:rPr>
          <w:rFonts w:ascii="Tahoma" w:hAnsi="Tahoma" w:cs="Tahoma"/>
          <w:b/>
          <w:sz w:val="21"/>
          <w:szCs w:val="21"/>
        </w:rPr>
      </w:pPr>
    </w:p>
    <w:p w14:paraId="6D470646" w14:textId="77777777" w:rsidR="009949F7" w:rsidRPr="000F572C" w:rsidRDefault="009949F7" w:rsidP="009949F7">
      <w:pPr>
        <w:spacing w:after="0"/>
        <w:jc w:val="center"/>
        <w:rPr>
          <w:rFonts w:ascii="Tahoma" w:hAnsi="Tahoma" w:cs="Tahoma"/>
          <w:b/>
          <w:sz w:val="21"/>
          <w:szCs w:val="21"/>
        </w:rPr>
      </w:pPr>
      <w:r w:rsidRPr="000F572C">
        <w:rPr>
          <w:rFonts w:ascii="Tahoma" w:hAnsi="Tahoma" w:cs="Tahoma"/>
          <w:b/>
          <w:sz w:val="21"/>
          <w:szCs w:val="21"/>
        </w:rPr>
        <w:t>DOS FUNDOS INVESTIDOS</w:t>
      </w:r>
    </w:p>
    <w:p w14:paraId="58C89740" w14:textId="77777777" w:rsidR="009949F7" w:rsidRPr="000F572C" w:rsidRDefault="009949F7" w:rsidP="009949F7">
      <w:pPr>
        <w:spacing w:after="0"/>
        <w:jc w:val="both"/>
        <w:rPr>
          <w:rFonts w:ascii="Tahoma" w:hAnsi="Tahoma" w:cs="Tahoma"/>
          <w:sz w:val="21"/>
          <w:szCs w:val="21"/>
        </w:rPr>
      </w:pPr>
    </w:p>
    <w:tbl>
      <w:tblPr>
        <w:tblW w:w="9937" w:type="dxa"/>
        <w:jc w:val="center"/>
        <w:tblCellMar>
          <w:left w:w="70" w:type="dxa"/>
          <w:right w:w="70" w:type="dxa"/>
        </w:tblCellMar>
        <w:tblLook w:val="04A0" w:firstRow="1" w:lastRow="0" w:firstColumn="1" w:lastColumn="0" w:noHBand="0" w:noVBand="1"/>
      </w:tblPr>
      <w:tblGrid>
        <w:gridCol w:w="6732"/>
        <w:gridCol w:w="1601"/>
        <w:gridCol w:w="1604"/>
      </w:tblGrid>
      <w:tr w:rsidR="009949F7" w:rsidRPr="000F572C" w14:paraId="53E65880" w14:textId="77777777" w:rsidTr="00D75CE9">
        <w:trPr>
          <w:trHeight w:val="312"/>
          <w:jc w:val="center"/>
        </w:trPr>
        <w:tc>
          <w:tcPr>
            <w:tcW w:w="6732" w:type="dxa"/>
            <w:vMerge w:val="restart"/>
            <w:tcBorders>
              <w:top w:val="single" w:sz="4" w:space="0" w:color="auto"/>
              <w:left w:val="single" w:sz="4" w:space="0" w:color="auto"/>
              <w:right w:val="single" w:sz="4" w:space="0" w:color="auto"/>
            </w:tcBorders>
            <w:shd w:val="clear" w:color="auto" w:fill="D9D9D9"/>
            <w:noWrap/>
            <w:vAlign w:val="center"/>
            <w:hideMark/>
          </w:tcPr>
          <w:p w14:paraId="225F5AC7"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COMPOSIÇÃO DA CARTEIRA</w:t>
            </w:r>
            <w:r w:rsidRPr="000F572C">
              <w:rPr>
                <w:rFonts w:ascii="Tahoma" w:hAnsi="Tahoma" w:cs="Tahoma"/>
                <w:bCs/>
                <w:color w:val="000000"/>
                <w:sz w:val="21"/>
                <w:szCs w:val="21"/>
              </w:rPr>
              <w:t xml:space="preserve"> </w:t>
            </w:r>
          </w:p>
        </w:tc>
        <w:tc>
          <w:tcPr>
            <w:tcW w:w="320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3F2A46AE" w14:textId="77777777" w:rsidR="009949F7" w:rsidRPr="000F572C" w:rsidRDefault="009949F7" w:rsidP="00D75CE9">
            <w:pPr>
              <w:spacing w:after="0"/>
              <w:jc w:val="center"/>
              <w:rPr>
                <w:rFonts w:ascii="Tahoma" w:hAnsi="Tahoma" w:cs="Tahoma"/>
                <w:sz w:val="21"/>
                <w:szCs w:val="21"/>
              </w:rPr>
            </w:pPr>
            <w:r w:rsidRPr="000F572C">
              <w:rPr>
                <w:rFonts w:ascii="Tahoma" w:hAnsi="Tahoma" w:cs="Tahoma"/>
                <w:b/>
                <w:bCs/>
                <w:color w:val="000000"/>
                <w:sz w:val="21"/>
                <w:szCs w:val="21"/>
              </w:rPr>
              <w:t>% do PL</w:t>
            </w:r>
          </w:p>
        </w:tc>
      </w:tr>
      <w:tr w:rsidR="009949F7" w:rsidRPr="000F572C" w14:paraId="0CCA44C5" w14:textId="77777777" w:rsidTr="00D75CE9">
        <w:trPr>
          <w:trHeight w:val="312"/>
          <w:jc w:val="center"/>
        </w:trPr>
        <w:tc>
          <w:tcPr>
            <w:tcW w:w="6732" w:type="dxa"/>
            <w:vMerge/>
            <w:tcBorders>
              <w:left w:val="single" w:sz="4" w:space="0" w:color="auto"/>
              <w:bottom w:val="single" w:sz="4" w:space="0" w:color="auto"/>
              <w:right w:val="single" w:sz="4" w:space="0" w:color="auto"/>
            </w:tcBorders>
            <w:shd w:val="clear" w:color="auto" w:fill="D9D9D9"/>
            <w:noWrap/>
            <w:vAlign w:val="center"/>
            <w:hideMark/>
          </w:tcPr>
          <w:p w14:paraId="46DE17CB" w14:textId="77777777" w:rsidR="009949F7" w:rsidRPr="000F572C" w:rsidRDefault="009949F7" w:rsidP="00D75CE9">
            <w:pPr>
              <w:spacing w:after="0"/>
              <w:jc w:val="center"/>
              <w:rPr>
                <w:rFonts w:ascii="Tahoma" w:hAnsi="Tahoma" w:cs="Tahoma"/>
                <w:b/>
                <w:bCs/>
                <w:color w:val="000000"/>
                <w:sz w:val="21"/>
                <w:szCs w:val="21"/>
              </w:rPr>
            </w:pPr>
          </w:p>
        </w:tc>
        <w:tc>
          <w:tcPr>
            <w:tcW w:w="1601" w:type="dxa"/>
            <w:tcBorders>
              <w:top w:val="single" w:sz="4" w:space="0" w:color="auto"/>
              <w:left w:val="nil"/>
              <w:bottom w:val="single" w:sz="4" w:space="0" w:color="auto"/>
              <w:right w:val="single" w:sz="4" w:space="0" w:color="auto"/>
            </w:tcBorders>
            <w:shd w:val="clear" w:color="auto" w:fill="D9D9D9"/>
            <w:noWrap/>
            <w:vAlign w:val="center"/>
            <w:hideMark/>
          </w:tcPr>
          <w:p w14:paraId="514392CC"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Mín.</w:t>
            </w:r>
          </w:p>
        </w:tc>
        <w:tc>
          <w:tcPr>
            <w:tcW w:w="160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86383F6" w14:textId="77777777" w:rsidR="009949F7" w:rsidRPr="000F572C" w:rsidRDefault="009949F7" w:rsidP="00D75CE9">
            <w:pPr>
              <w:spacing w:after="0"/>
              <w:jc w:val="center"/>
              <w:rPr>
                <w:rFonts w:ascii="Tahoma" w:hAnsi="Tahoma" w:cs="Tahoma"/>
                <w:sz w:val="21"/>
                <w:szCs w:val="21"/>
              </w:rPr>
            </w:pPr>
            <w:r w:rsidRPr="000F572C">
              <w:rPr>
                <w:rFonts w:ascii="Tahoma" w:hAnsi="Tahoma" w:cs="Tahoma"/>
                <w:b/>
                <w:bCs/>
                <w:color w:val="000000"/>
                <w:sz w:val="21"/>
                <w:szCs w:val="21"/>
              </w:rPr>
              <w:t>Máx.</w:t>
            </w:r>
          </w:p>
        </w:tc>
      </w:tr>
      <w:tr w:rsidR="009949F7" w:rsidRPr="000F572C" w14:paraId="0CEB7A7A" w14:textId="77777777" w:rsidTr="00D75CE9">
        <w:trPr>
          <w:trHeight w:val="312"/>
          <w:jc w:val="center"/>
        </w:trPr>
        <w:tc>
          <w:tcPr>
            <w:tcW w:w="6732" w:type="dxa"/>
            <w:tcBorders>
              <w:top w:val="nil"/>
              <w:left w:val="single" w:sz="4" w:space="0" w:color="auto"/>
              <w:bottom w:val="single" w:sz="4" w:space="0" w:color="auto"/>
              <w:right w:val="single" w:sz="4" w:space="0" w:color="auto"/>
            </w:tcBorders>
            <w:shd w:val="clear" w:color="auto" w:fill="auto"/>
            <w:vAlign w:val="center"/>
            <w:hideMark/>
          </w:tcPr>
          <w:p w14:paraId="46BCE939" w14:textId="77777777" w:rsidR="009949F7" w:rsidRPr="000F572C" w:rsidRDefault="009949F7" w:rsidP="00D75CE9">
            <w:pPr>
              <w:spacing w:after="0"/>
              <w:jc w:val="both"/>
              <w:rPr>
                <w:rFonts w:ascii="Tahoma" w:hAnsi="Tahoma" w:cs="Tahoma"/>
                <w:color w:val="000000"/>
                <w:sz w:val="21"/>
                <w:szCs w:val="21"/>
              </w:rPr>
            </w:pPr>
            <w:r w:rsidRPr="000F572C">
              <w:rPr>
                <w:rFonts w:ascii="Tahoma" w:hAnsi="Tahoma" w:cs="Tahoma"/>
                <w:color w:val="000000"/>
                <w:sz w:val="21"/>
                <w:szCs w:val="21"/>
              </w:rPr>
              <w:t>Ativos financeiros e/ou modalidades operacionais de renda fixa relacionados diretamente, ou sintetizados via derivativos, à variação das taxas de juros (pós ou pré-fixados), de índices de preços, ou ambos, inclusive</w:t>
            </w:r>
            <w:r w:rsidRPr="000F572C">
              <w:rPr>
                <w:rFonts w:ascii="Tahoma" w:eastAsia="Calibri" w:hAnsi="Tahoma" w:cs="Tahoma"/>
                <w:sz w:val="21"/>
                <w:szCs w:val="21"/>
              </w:rPr>
              <w:t xml:space="preserve"> </w:t>
            </w:r>
            <w:r w:rsidRPr="000F572C">
              <w:rPr>
                <w:rFonts w:ascii="Tahoma" w:eastAsia="Calibri" w:hAnsi="Tahoma" w:cs="Tahoma"/>
                <w:sz w:val="21"/>
                <w:szCs w:val="21"/>
                <w:u w:val="single"/>
              </w:rPr>
              <w:t>Ativos de Infraestrutura</w:t>
            </w:r>
          </w:p>
        </w:tc>
        <w:tc>
          <w:tcPr>
            <w:tcW w:w="1601" w:type="dxa"/>
            <w:tcBorders>
              <w:top w:val="single" w:sz="4" w:space="0" w:color="auto"/>
              <w:left w:val="nil"/>
              <w:bottom w:val="single" w:sz="4" w:space="0" w:color="auto"/>
              <w:right w:val="single" w:sz="4" w:space="0" w:color="auto"/>
            </w:tcBorders>
            <w:shd w:val="clear" w:color="auto" w:fill="auto"/>
            <w:noWrap/>
            <w:vAlign w:val="center"/>
            <w:hideMark/>
          </w:tcPr>
          <w:p w14:paraId="584BF743"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80%</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9B115" w14:textId="77777777" w:rsidR="009949F7" w:rsidRPr="000F572C" w:rsidRDefault="009949F7" w:rsidP="00D75CE9">
            <w:pPr>
              <w:spacing w:after="0"/>
              <w:jc w:val="center"/>
              <w:rPr>
                <w:rFonts w:ascii="Tahoma" w:hAnsi="Tahoma" w:cs="Tahoma"/>
                <w:b/>
                <w:sz w:val="21"/>
                <w:szCs w:val="21"/>
              </w:rPr>
            </w:pPr>
            <w:r w:rsidRPr="000F572C">
              <w:rPr>
                <w:rFonts w:ascii="Tahoma" w:hAnsi="Tahoma" w:cs="Tahoma"/>
                <w:b/>
                <w:color w:val="000000"/>
                <w:sz w:val="21"/>
                <w:szCs w:val="21"/>
              </w:rPr>
              <w:t>100%</w:t>
            </w:r>
          </w:p>
        </w:tc>
      </w:tr>
      <w:tr w:rsidR="009949F7" w:rsidRPr="000F572C" w14:paraId="4C42E16F" w14:textId="77777777" w:rsidTr="00D75CE9">
        <w:trPr>
          <w:trHeight w:val="312"/>
          <w:jc w:val="center"/>
        </w:trPr>
        <w:tc>
          <w:tcPr>
            <w:tcW w:w="6732" w:type="dxa"/>
            <w:tcBorders>
              <w:top w:val="nil"/>
              <w:left w:val="single" w:sz="4" w:space="0" w:color="auto"/>
              <w:bottom w:val="single" w:sz="4" w:space="0" w:color="auto"/>
              <w:right w:val="single" w:sz="4" w:space="0" w:color="auto"/>
            </w:tcBorders>
            <w:shd w:val="clear" w:color="auto" w:fill="auto"/>
            <w:vAlign w:val="center"/>
            <w:hideMark/>
          </w:tcPr>
          <w:p w14:paraId="40C659EF" w14:textId="77777777" w:rsidR="009949F7" w:rsidRPr="000F572C" w:rsidRDefault="009949F7" w:rsidP="00D75CE9">
            <w:pPr>
              <w:spacing w:after="0"/>
              <w:jc w:val="both"/>
              <w:rPr>
                <w:rFonts w:ascii="Tahoma" w:hAnsi="Tahoma" w:cs="Tahoma"/>
                <w:color w:val="000000"/>
                <w:sz w:val="21"/>
                <w:szCs w:val="21"/>
              </w:rPr>
            </w:pPr>
            <w:r w:rsidRPr="000F572C">
              <w:rPr>
                <w:rFonts w:ascii="Tahoma" w:hAnsi="Tahoma" w:cs="Tahoma"/>
                <w:color w:val="000000"/>
                <w:sz w:val="21"/>
                <w:szCs w:val="21"/>
              </w:rPr>
              <w:t>Outros ativos financeiros e/ou modalidades operacionais, excluindo estratégias que impliquem em risco de renda variável</w:t>
            </w:r>
          </w:p>
        </w:tc>
        <w:tc>
          <w:tcPr>
            <w:tcW w:w="1601" w:type="dxa"/>
            <w:tcBorders>
              <w:top w:val="single" w:sz="4" w:space="0" w:color="auto"/>
              <w:left w:val="nil"/>
              <w:bottom w:val="single" w:sz="4" w:space="0" w:color="auto"/>
              <w:right w:val="single" w:sz="4" w:space="0" w:color="auto"/>
            </w:tcBorders>
            <w:shd w:val="clear" w:color="auto" w:fill="auto"/>
            <w:noWrap/>
            <w:vAlign w:val="center"/>
            <w:hideMark/>
          </w:tcPr>
          <w:p w14:paraId="147507D5"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0%</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A4055" w14:textId="77777777" w:rsidR="009949F7" w:rsidRPr="000F572C" w:rsidRDefault="009949F7" w:rsidP="00D75CE9">
            <w:pPr>
              <w:spacing w:after="0"/>
              <w:jc w:val="center"/>
              <w:rPr>
                <w:rFonts w:ascii="Tahoma" w:hAnsi="Tahoma" w:cs="Tahoma"/>
                <w:b/>
                <w:sz w:val="21"/>
                <w:szCs w:val="21"/>
              </w:rPr>
            </w:pPr>
            <w:r w:rsidRPr="000F572C">
              <w:rPr>
                <w:rFonts w:ascii="Tahoma" w:hAnsi="Tahoma" w:cs="Tahoma"/>
                <w:b/>
                <w:color w:val="000000"/>
                <w:sz w:val="21"/>
                <w:szCs w:val="21"/>
              </w:rPr>
              <w:t>20%</w:t>
            </w:r>
          </w:p>
        </w:tc>
      </w:tr>
      <w:tr w:rsidR="009949F7" w:rsidRPr="000F572C" w14:paraId="271E1CEB" w14:textId="77777777" w:rsidTr="00D75CE9">
        <w:trPr>
          <w:trHeight w:val="312"/>
          <w:jc w:val="center"/>
        </w:trPr>
        <w:tc>
          <w:tcPr>
            <w:tcW w:w="67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CF3006"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DERIVATIVOS</w:t>
            </w:r>
          </w:p>
        </w:tc>
        <w:tc>
          <w:tcPr>
            <w:tcW w:w="160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7221B4"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Permitido / Vedado</w:t>
            </w:r>
          </w:p>
        </w:tc>
        <w:tc>
          <w:tcPr>
            <w:tcW w:w="16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83FA30"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Limite aplicável</w:t>
            </w:r>
          </w:p>
          <w:p w14:paraId="6E21F0C1"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 do PL)</w:t>
            </w:r>
          </w:p>
        </w:tc>
      </w:tr>
      <w:tr w:rsidR="009949F7" w:rsidRPr="000F572C" w14:paraId="30410F0F" w14:textId="77777777" w:rsidTr="00D75CE9">
        <w:trPr>
          <w:trHeight w:val="312"/>
          <w:jc w:val="center"/>
        </w:trPr>
        <w:tc>
          <w:tcPr>
            <w:tcW w:w="6732" w:type="dxa"/>
            <w:tcBorders>
              <w:top w:val="single" w:sz="4" w:space="0" w:color="auto"/>
              <w:left w:val="single" w:sz="4" w:space="0" w:color="auto"/>
              <w:bottom w:val="single" w:sz="4" w:space="0" w:color="auto"/>
              <w:right w:val="single" w:sz="4" w:space="0" w:color="auto"/>
            </w:tcBorders>
            <w:noWrap/>
            <w:vAlign w:val="center"/>
            <w:hideMark/>
          </w:tcPr>
          <w:p w14:paraId="49482023" w14:textId="77777777" w:rsidR="009949F7" w:rsidRPr="000F572C" w:rsidRDefault="009949F7" w:rsidP="00D75CE9">
            <w:pPr>
              <w:spacing w:after="0"/>
              <w:rPr>
                <w:rFonts w:ascii="Tahoma" w:hAnsi="Tahoma" w:cs="Tahoma"/>
                <w:color w:val="000000"/>
                <w:sz w:val="21"/>
                <w:szCs w:val="21"/>
              </w:rPr>
            </w:pPr>
            <w:r w:rsidRPr="000F572C">
              <w:rPr>
                <w:rFonts w:ascii="Tahoma" w:hAnsi="Tahoma" w:cs="Tahoma"/>
                <w:color w:val="000000"/>
                <w:sz w:val="21"/>
                <w:szCs w:val="21"/>
              </w:rPr>
              <w:t>Proteção da carteira (</w:t>
            </w:r>
            <w:r w:rsidRPr="000F572C">
              <w:rPr>
                <w:rFonts w:ascii="Tahoma" w:hAnsi="Tahoma" w:cs="Tahoma"/>
                <w:i/>
                <w:color w:val="000000"/>
                <w:sz w:val="21"/>
                <w:szCs w:val="21"/>
              </w:rPr>
              <w:t>hedge</w:t>
            </w:r>
            <w:r w:rsidRPr="000F572C">
              <w:rPr>
                <w:rFonts w:ascii="Tahoma" w:hAnsi="Tahoma" w:cs="Tahoma"/>
                <w:color w:val="000000"/>
                <w:sz w:val="21"/>
                <w:szCs w:val="21"/>
              </w:rPr>
              <w:t>)</w:t>
            </w:r>
          </w:p>
        </w:tc>
        <w:tc>
          <w:tcPr>
            <w:tcW w:w="1601" w:type="dxa"/>
            <w:tcBorders>
              <w:top w:val="single" w:sz="4" w:space="0" w:color="auto"/>
              <w:left w:val="single" w:sz="4" w:space="0" w:color="auto"/>
              <w:bottom w:val="single" w:sz="4" w:space="0" w:color="auto"/>
              <w:right w:val="single" w:sz="4" w:space="0" w:color="auto"/>
            </w:tcBorders>
            <w:vAlign w:val="center"/>
            <w:hideMark/>
          </w:tcPr>
          <w:p w14:paraId="6F05C477" w14:textId="77777777" w:rsidR="009949F7" w:rsidRPr="000F572C" w:rsidRDefault="009949F7" w:rsidP="00D75CE9">
            <w:pPr>
              <w:spacing w:after="0"/>
              <w:jc w:val="center"/>
              <w:rPr>
                <w:rFonts w:ascii="Tahoma" w:hAnsi="Tahoma" w:cs="Tahoma"/>
                <w:color w:val="000000"/>
                <w:sz w:val="21"/>
                <w:szCs w:val="21"/>
              </w:rPr>
            </w:pPr>
            <w:r w:rsidRPr="000F572C">
              <w:rPr>
                <w:rFonts w:ascii="Tahoma" w:hAnsi="Tahoma" w:cs="Tahoma"/>
                <w:color w:val="000000"/>
                <w:sz w:val="21"/>
                <w:szCs w:val="21"/>
              </w:rPr>
              <w:t>Permitido</w:t>
            </w:r>
          </w:p>
        </w:tc>
        <w:tc>
          <w:tcPr>
            <w:tcW w:w="1603" w:type="dxa"/>
            <w:tcBorders>
              <w:top w:val="single" w:sz="4" w:space="0" w:color="auto"/>
              <w:left w:val="single" w:sz="4" w:space="0" w:color="auto"/>
              <w:bottom w:val="single" w:sz="4" w:space="0" w:color="auto"/>
              <w:right w:val="single" w:sz="4" w:space="0" w:color="auto"/>
            </w:tcBorders>
            <w:noWrap/>
            <w:vAlign w:val="center"/>
            <w:hideMark/>
          </w:tcPr>
          <w:p w14:paraId="4B4EFCB2"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Até 100%</w:t>
            </w:r>
          </w:p>
        </w:tc>
      </w:tr>
      <w:tr w:rsidR="009949F7" w:rsidRPr="000F572C" w14:paraId="2B9F9E0B" w14:textId="77777777" w:rsidTr="00D75CE9">
        <w:trPr>
          <w:trHeight w:val="312"/>
          <w:jc w:val="center"/>
        </w:trPr>
        <w:tc>
          <w:tcPr>
            <w:tcW w:w="6732" w:type="dxa"/>
            <w:tcBorders>
              <w:top w:val="single" w:sz="4" w:space="0" w:color="auto"/>
              <w:left w:val="single" w:sz="4" w:space="0" w:color="auto"/>
              <w:bottom w:val="single" w:sz="4" w:space="0" w:color="auto"/>
              <w:right w:val="single" w:sz="4" w:space="0" w:color="auto"/>
            </w:tcBorders>
            <w:noWrap/>
            <w:vAlign w:val="center"/>
            <w:hideMark/>
          </w:tcPr>
          <w:p w14:paraId="4AEB767C" w14:textId="77777777" w:rsidR="009949F7" w:rsidRPr="000F572C" w:rsidRDefault="009949F7" w:rsidP="00D75CE9">
            <w:pPr>
              <w:spacing w:after="0"/>
              <w:rPr>
                <w:rFonts w:ascii="Tahoma" w:hAnsi="Tahoma" w:cs="Tahoma"/>
                <w:color w:val="000000"/>
                <w:sz w:val="21"/>
                <w:szCs w:val="21"/>
              </w:rPr>
            </w:pPr>
            <w:r w:rsidRPr="000F572C">
              <w:rPr>
                <w:rFonts w:ascii="Tahoma" w:hAnsi="Tahoma" w:cs="Tahoma"/>
                <w:color w:val="000000"/>
                <w:sz w:val="21"/>
                <w:szCs w:val="21"/>
              </w:rPr>
              <w:t>Assunção de risco</w:t>
            </w:r>
          </w:p>
        </w:tc>
        <w:tc>
          <w:tcPr>
            <w:tcW w:w="1601" w:type="dxa"/>
            <w:tcBorders>
              <w:top w:val="single" w:sz="4" w:space="0" w:color="auto"/>
              <w:left w:val="single" w:sz="4" w:space="0" w:color="auto"/>
              <w:bottom w:val="single" w:sz="4" w:space="0" w:color="auto"/>
              <w:right w:val="single" w:sz="4" w:space="0" w:color="auto"/>
            </w:tcBorders>
            <w:vAlign w:val="center"/>
            <w:hideMark/>
          </w:tcPr>
          <w:p w14:paraId="462D4A30" w14:textId="77777777" w:rsidR="009949F7" w:rsidRPr="000F572C" w:rsidRDefault="009949F7" w:rsidP="00D75CE9">
            <w:pPr>
              <w:spacing w:after="0"/>
              <w:jc w:val="center"/>
              <w:rPr>
                <w:rFonts w:ascii="Tahoma" w:hAnsi="Tahoma" w:cs="Tahoma"/>
                <w:color w:val="000000"/>
                <w:sz w:val="21"/>
                <w:szCs w:val="21"/>
              </w:rPr>
            </w:pPr>
            <w:r w:rsidRPr="000F572C">
              <w:rPr>
                <w:rFonts w:ascii="Tahoma" w:hAnsi="Tahoma" w:cs="Tahoma"/>
                <w:color w:val="000000"/>
                <w:sz w:val="21"/>
                <w:szCs w:val="21"/>
              </w:rPr>
              <w:t>Permitido</w:t>
            </w:r>
          </w:p>
        </w:tc>
        <w:tc>
          <w:tcPr>
            <w:tcW w:w="1603" w:type="dxa"/>
            <w:tcBorders>
              <w:top w:val="single" w:sz="4" w:space="0" w:color="auto"/>
              <w:left w:val="single" w:sz="4" w:space="0" w:color="auto"/>
              <w:bottom w:val="single" w:sz="4" w:space="0" w:color="auto"/>
              <w:right w:val="single" w:sz="4" w:space="0" w:color="auto"/>
            </w:tcBorders>
            <w:noWrap/>
            <w:vAlign w:val="center"/>
            <w:hideMark/>
          </w:tcPr>
          <w:p w14:paraId="5283F6CB"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Até 100%</w:t>
            </w:r>
          </w:p>
        </w:tc>
      </w:tr>
      <w:tr w:rsidR="009949F7" w:rsidRPr="000F572C" w14:paraId="5BBBF4DA" w14:textId="77777777" w:rsidTr="00D75CE9">
        <w:trPr>
          <w:trHeight w:val="312"/>
          <w:jc w:val="center"/>
        </w:trPr>
        <w:tc>
          <w:tcPr>
            <w:tcW w:w="6732" w:type="dxa"/>
            <w:tcBorders>
              <w:top w:val="single" w:sz="4" w:space="0" w:color="auto"/>
              <w:left w:val="single" w:sz="4" w:space="0" w:color="auto"/>
              <w:bottom w:val="single" w:sz="4" w:space="0" w:color="auto"/>
              <w:right w:val="single" w:sz="4" w:space="0" w:color="auto"/>
            </w:tcBorders>
            <w:noWrap/>
            <w:vAlign w:val="center"/>
            <w:hideMark/>
          </w:tcPr>
          <w:p w14:paraId="257ECCBC" w14:textId="77777777" w:rsidR="009949F7" w:rsidRPr="000F572C" w:rsidRDefault="009949F7" w:rsidP="00D75CE9">
            <w:pPr>
              <w:spacing w:after="0"/>
              <w:rPr>
                <w:rFonts w:ascii="Tahoma" w:hAnsi="Tahoma" w:cs="Tahoma"/>
                <w:sz w:val="21"/>
                <w:szCs w:val="21"/>
              </w:rPr>
            </w:pPr>
            <w:r w:rsidRPr="000F572C">
              <w:rPr>
                <w:rFonts w:ascii="Tahoma" w:hAnsi="Tahoma" w:cs="Tahoma"/>
                <w:sz w:val="21"/>
                <w:szCs w:val="21"/>
              </w:rPr>
              <w:t xml:space="preserve">Alavancagem </w:t>
            </w:r>
          </w:p>
        </w:tc>
        <w:tc>
          <w:tcPr>
            <w:tcW w:w="1601" w:type="dxa"/>
            <w:tcBorders>
              <w:top w:val="single" w:sz="4" w:space="0" w:color="auto"/>
              <w:left w:val="single" w:sz="4" w:space="0" w:color="auto"/>
              <w:bottom w:val="single" w:sz="4" w:space="0" w:color="auto"/>
              <w:right w:val="single" w:sz="4" w:space="0" w:color="auto"/>
            </w:tcBorders>
            <w:vAlign w:val="center"/>
            <w:hideMark/>
          </w:tcPr>
          <w:p w14:paraId="0C811FBE" w14:textId="77777777" w:rsidR="009949F7" w:rsidRPr="000F572C" w:rsidRDefault="009949F7" w:rsidP="00D75CE9">
            <w:pPr>
              <w:spacing w:after="0"/>
              <w:jc w:val="center"/>
              <w:rPr>
                <w:rFonts w:ascii="Tahoma" w:hAnsi="Tahoma" w:cs="Tahoma"/>
                <w:sz w:val="21"/>
                <w:szCs w:val="21"/>
              </w:rPr>
            </w:pPr>
            <w:r w:rsidRPr="000F572C">
              <w:rPr>
                <w:rFonts w:ascii="Tahoma" w:hAnsi="Tahoma" w:cs="Tahoma"/>
                <w:sz w:val="21"/>
                <w:szCs w:val="21"/>
              </w:rPr>
              <w:t>Vedado</w:t>
            </w:r>
          </w:p>
        </w:tc>
        <w:tc>
          <w:tcPr>
            <w:tcW w:w="1603" w:type="dxa"/>
            <w:tcBorders>
              <w:top w:val="single" w:sz="4" w:space="0" w:color="auto"/>
              <w:left w:val="single" w:sz="4" w:space="0" w:color="auto"/>
              <w:bottom w:val="single" w:sz="4" w:space="0" w:color="auto"/>
              <w:right w:val="single" w:sz="4" w:space="0" w:color="auto"/>
            </w:tcBorders>
            <w:noWrap/>
            <w:vAlign w:val="center"/>
            <w:hideMark/>
          </w:tcPr>
          <w:p w14:paraId="50AB6E86" w14:textId="77777777" w:rsidR="009949F7" w:rsidRPr="000F572C" w:rsidRDefault="009949F7" w:rsidP="00D75CE9">
            <w:pPr>
              <w:spacing w:after="0"/>
              <w:jc w:val="center"/>
              <w:rPr>
                <w:rFonts w:ascii="Tahoma" w:hAnsi="Tahoma" w:cs="Tahoma"/>
                <w:b/>
                <w:sz w:val="21"/>
                <w:szCs w:val="21"/>
              </w:rPr>
            </w:pPr>
            <w:r w:rsidRPr="000F572C">
              <w:rPr>
                <w:rFonts w:ascii="Tahoma" w:hAnsi="Tahoma" w:cs="Tahoma"/>
                <w:b/>
                <w:sz w:val="21"/>
                <w:szCs w:val="21"/>
              </w:rPr>
              <w:t>0%</w:t>
            </w:r>
          </w:p>
        </w:tc>
      </w:tr>
    </w:tbl>
    <w:p w14:paraId="54AD37CB" w14:textId="77777777" w:rsidR="009949F7" w:rsidRPr="000F572C" w:rsidRDefault="009949F7" w:rsidP="009949F7">
      <w:pPr>
        <w:spacing w:after="0"/>
        <w:jc w:val="center"/>
        <w:rPr>
          <w:rFonts w:ascii="Tahoma" w:hAnsi="Tahoma" w:cs="Tahoma"/>
          <w:b/>
          <w:sz w:val="21"/>
          <w:szCs w:val="21"/>
        </w:rPr>
      </w:pPr>
    </w:p>
    <w:p w14:paraId="14425678" w14:textId="77777777" w:rsidR="009949F7" w:rsidRPr="000F572C" w:rsidRDefault="009949F7" w:rsidP="009949F7">
      <w:pPr>
        <w:spacing w:after="0"/>
        <w:jc w:val="center"/>
        <w:rPr>
          <w:rFonts w:ascii="Tahoma" w:hAnsi="Tahoma" w:cs="Tahoma"/>
          <w:b/>
          <w:sz w:val="21"/>
          <w:szCs w:val="21"/>
        </w:rPr>
      </w:pPr>
    </w:p>
    <w:p w14:paraId="4FFBE666" w14:textId="77777777" w:rsidR="009949F7" w:rsidRPr="000F572C" w:rsidRDefault="009949F7" w:rsidP="009949F7">
      <w:pPr>
        <w:spacing w:after="0"/>
        <w:jc w:val="center"/>
        <w:rPr>
          <w:rFonts w:ascii="Tahoma" w:hAnsi="Tahoma" w:cs="Tahoma"/>
          <w:b/>
          <w:sz w:val="21"/>
          <w:szCs w:val="21"/>
        </w:rPr>
      </w:pPr>
    </w:p>
    <w:p w14:paraId="0DC2C8B9" w14:textId="77777777" w:rsidR="009949F7" w:rsidRPr="000F572C" w:rsidRDefault="009949F7" w:rsidP="009949F7">
      <w:pPr>
        <w:spacing w:after="0"/>
        <w:jc w:val="center"/>
        <w:rPr>
          <w:rFonts w:ascii="Tahoma" w:hAnsi="Tahoma" w:cs="Tahoma"/>
          <w:b/>
          <w:sz w:val="21"/>
          <w:szCs w:val="21"/>
        </w:rPr>
      </w:pPr>
      <w:r w:rsidRPr="000F572C">
        <w:rPr>
          <w:rFonts w:ascii="Tahoma" w:hAnsi="Tahoma" w:cs="Tahoma"/>
          <w:b/>
          <w:sz w:val="21"/>
          <w:szCs w:val="21"/>
        </w:rPr>
        <w:t>DAS OPERAÇÕES COM O ADMINISTRADOR, GESTOR E LIGADAS PELO FUNDO E/OU PELOS FUNDOS INVESTIDOS</w:t>
      </w:r>
    </w:p>
    <w:p w14:paraId="049B29BE" w14:textId="77777777" w:rsidR="009949F7" w:rsidRPr="000F572C" w:rsidRDefault="009949F7" w:rsidP="009949F7">
      <w:pPr>
        <w:spacing w:after="0"/>
        <w:rPr>
          <w:rFonts w:ascii="Tahoma" w:hAnsi="Tahoma" w:cs="Tahoma"/>
          <w:sz w:val="21"/>
          <w:szCs w:val="21"/>
        </w:rPr>
      </w:pPr>
    </w:p>
    <w:tbl>
      <w:tblPr>
        <w:tblW w:w="10035" w:type="dxa"/>
        <w:jc w:val="center"/>
        <w:tblCellMar>
          <w:left w:w="70" w:type="dxa"/>
          <w:right w:w="70" w:type="dxa"/>
        </w:tblCellMar>
        <w:tblLook w:val="04A0" w:firstRow="1" w:lastRow="0" w:firstColumn="1" w:lastColumn="0" w:noHBand="0" w:noVBand="1"/>
      </w:tblPr>
      <w:tblGrid>
        <w:gridCol w:w="6800"/>
        <w:gridCol w:w="1617"/>
        <w:gridCol w:w="1618"/>
      </w:tblGrid>
      <w:tr w:rsidR="009949F7" w:rsidRPr="000F572C" w14:paraId="7A500FB9" w14:textId="77777777" w:rsidTr="00D75CE9">
        <w:trPr>
          <w:trHeight w:val="674"/>
          <w:jc w:val="center"/>
        </w:trPr>
        <w:tc>
          <w:tcPr>
            <w:tcW w:w="68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9D0AE8"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OPERAÇÕES COM O ADMINISTRADOR, GESTOR E LIGADAS</w:t>
            </w:r>
          </w:p>
        </w:tc>
        <w:tc>
          <w:tcPr>
            <w:tcW w:w="16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B8388D"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Permitido / Vedado</w:t>
            </w:r>
          </w:p>
        </w:tc>
        <w:tc>
          <w:tcPr>
            <w:tcW w:w="16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5E63FE"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Limite aplicável</w:t>
            </w:r>
          </w:p>
          <w:p w14:paraId="642F0141" w14:textId="77777777" w:rsidR="009949F7" w:rsidRPr="000F572C" w:rsidRDefault="009949F7" w:rsidP="00D75CE9">
            <w:pPr>
              <w:spacing w:after="0"/>
              <w:jc w:val="center"/>
              <w:rPr>
                <w:rFonts w:ascii="Tahoma" w:hAnsi="Tahoma" w:cs="Tahoma"/>
                <w:b/>
                <w:bCs/>
                <w:color w:val="000000"/>
                <w:sz w:val="21"/>
                <w:szCs w:val="21"/>
              </w:rPr>
            </w:pPr>
            <w:r w:rsidRPr="000F572C">
              <w:rPr>
                <w:rFonts w:ascii="Tahoma" w:hAnsi="Tahoma" w:cs="Tahoma"/>
                <w:b/>
                <w:bCs/>
                <w:color w:val="000000"/>
                <w:sz w:val="21"/>
                <w:szCs w:val="21"/>
              </w:rPr>
              <w:t>(% do PL)</w:t>
            </w:r>
          </w:p>
        </w:tc>
      </w:tr>
      <w:tr w:rsidR="009949F7" w:rsidRPr="000F572C" w14:paraId="5204A0A3" w14:textId="77777777" w:rsidTr="00D75CE9">
        <w:trPr>
          <w:trHeight w:val="811"/>
          <w:jc w:val="center"/>
        </w:trPr>
        <w:tc>
          <w:tcPr>
            <w:tcW w:w="6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828BC" w14:textId="77777777" w:rsidR="009949F7" w:rsidRPr="000F572C" w:rsidRDefault="009949F7" w:rsidP="00D75CE9">
            <w:pPr>
              <w:spacing w:after="0"/>
              <w:jc w:val="both"/>
              <w:rPr>
                <w:rFonts w:ascii="Tahoma" w:hAnsi="Tahoma" w:cs="Tahoma"/>
                <w:color w:val="000000"/>
                <w:sz w:val="21"/>
                <w:szCs w:val="21"/>
              </w:rPr>
            </w:pPr>
            <w:r w:rsidRPr="000F572C">
              <w:rPr>
                <w:rFonts w:ascii="Tahoma" w:hAnsi="Tahoma" w:cs="Tahoma"/>
                <w:color w:val="000000"/>
                <w:sz w:val="21"/>
                <w:szCs w:val="21"/>
              </w:rPr>
              <w:t>Títulos ou valores mobiliários de emissão do ADMINISTRADOR, do GESTOR ou de empresas a eles ligadas</w:t>
            </w:r>
          </w:p>
        </w:tc>
        <w:tc>
          <w:tcPr>
            <w:tcW w:w="1617" w:type="dxa"/>
            <w:tcBorders>
              <w:top w:val="single" w:sz="4" w:space="0" w:color="auto"/>
              <w:left w:val="nil"/>
              <w:bottom w:val="single" w:sz="4" w:space="0" w:color="auto"/>
              <w:right w:val="single" w:sz="4" w:space="0" w:color="auto"/>
            </w:tcBorders>
            <w:shd w:val="clear" w:color="auto" w:fill="auto"/>
            <w:vAlign w:val="center"/>
            <w:hideMark/>
          </w:tcPr>
          <w:p w14:paraId="58BFB04D" w14:textId="77777777" w:rsidR="009949F7" w:rsidRPr="000F572C" w:rsidRDefault="009949F7" w:rsidP="00D75CE9">
            <w:pPr>
              <w:spacing w:after="0"/>
              <w:jc w:val="center"/>
              <w:rPr>
                <w:rFonts w:ascii="Tahoma" w:hAnsi="Tahoma" w:cs="Tahoma"/>
                <w:color w:val="000000"/>
                <w:sz w:val="21"/>
                <w:szCs w:val="21"/>
              </w:rPr>
            </w:pPr>
            <w:r w:rsidRPr="000F572C">
              <w:rPr>
                <w:rFonts w:ascii="Tahoma" w:hAnsi="Tahoma" w:cs="Tahoma"/>
                <w:color w:val="000000"/>
                <w:sz w:val="21"/>
                <w:szCs w:val="21"/>
              </w:rPr>
              <w:t>Permitido</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4CDB6B7D"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FUNDO: Até 5%</w:t>
            </w:r>
          </w:p>
          <w:p w14:paraId="18B77B5F"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Fundos Investidos: Até 20%</w:t>
            </w:r>
          </w:p>
        </w:tc>
      </w:tr>
      <w:tr w:rsidR="009949F7" w:rsidRPr="000F572C" w14:paraId="1A04685F" w14:textId="77777777" w:rsidTr="00D75CE9">
        <w:trPr>
          <w:trHeight w:val="642"/>
          <w:jc w:val="center"/>
        </w:trPr>
        <w:tc>
          <w:tcPr>
            <w:tcW w:w="6800" w:type="dxa"/>
            <w:tcBorders>
              <w:top w:val="nil"/>
              <w:left w:val="single" w:sz="4" w:space="0" w:color="auto"/>
              <w:bottom w:val="single" w:sz="4" w:space="0" w:color="auto"/>
              <w:right w:val="single" w:sz="4" w:space="0" w:color="auto"/>
            </w:tcBorders>
            <w:shd w:val="clear" w:color="auto" w:fill="auto"/>
            <w:vAlign w:val="center"/>
            <w:hideMark/>
          </w:tcPr>
          <w:p w14:paraId="16935EBD" w14:textId="77777777" w:rsidR="009949F7" w:rsidRPr="000F572C" w:rsidRDefault="009949F7" w:rsidP="00D75CE9">
            <w:pPr>
              <w:spacing w:after="0"/>
              <w:jc w:val="both"/>
              <w:rPr>
                <w:rFonts w:ascii="Tahoma" w:hAnsi="Tahoma" w:cs="Tahoma"/>
                <w:color w:val="000000"/>
                <w:sz w:val="21"/>
                <w:szCs w:val="21"/>
              </w:rPr>
            </w:pPr>
            <w:r w:rsidRPr="000F572C">
              <w:rPr>
                <w:rFonts w:ascii="Tahoma" w:hAnsi="Tahoma" w:cs="Tahoma"/>
                <w:color w:val="000000"/>
                <w:sz w:val="21"/>
                <w:szCs w:val="21"/>
              </w:rPr>
              <w:t>Cotas de fundos de investimento administrados pelo ADMINISTRADOR, GESTOR ou empresas a eles ligadas</w:t>
            </w:r>
          </w:p>
        </w:tc>
        <w:tc>
          <w:tcPr>
            <w:tcW w:w="1617" w:type="dxa"/>
            <w:tcBorders>
              <w:top w:val="nil"/>
              <w:left w:val="nil"/>
              <w:bottom w:val="single" w:sz="4" w:space="0" w:color="auto"/>
              <w:right w:val="single" w:sz="4" w:space="0" w:color="auto"/>
            </w:tcBorders>
            <w:shd w:val="clear" w:color="auto" w:fill="auto"/>
            <w:vAlign w:val="center"/>
            <w:hideMark/>
          </w:tcPr>
          <w:p w14:paraId="2EA6441D" w14:textId="77777777" w:rsidR="009949F7" w:rsidRPr="000F572C" w:rsidRDefault="009949F7" w:rsidP="00D75CE9">
            <w:pPr>
              <w:spacing w:after="0"/>
              <w:jc w:val="center"/>
              <w:rPr>
                <w:rFonts w:ascii="Tahoma" w:hAnsi="Tahoma" w:cs="Tahoma"/>
                <w:color w:val="000000"/>
                <w:sz w:val="21"/>
                <w:szCs w:val="21"/>
              </w:rPr>
            </w:pPr>
            <w:r w:rsidRPr="000F572C">
              <w:rPr>
                <w:rFonts w:ascii="Tahoma" w:hAnsi="Tahoma" w:cs="Tahoma"/>
                <w:color w:val="000000"/>
                <w:sz w:val="21"/>
                <w:szCs w:val="21"/>
              </w:rPr>
              <w:t>Permitido</w:t>
            </w:r>
          </w:p>
        </w:tc>
        <w:tc>
          <w:tcPr>
            <w:tcW w:w="1618" w:type="dxa"/>
            <w:tcBorders>
              <w:top w:val="nil"/>
              <w:left w:val="nil"/>
              <w:bottom w:val="single" w:sz="4" w:space="0" w:color="auto"/>
              <w:right w:val="single" w:sz="4" w:space="0" w:color="auto"/>
            </w:tcBorders>
            <w:shd w:val="clear" w:color="auto" w:fill="auto"/>
            <w:noWrap/>
            <w:vAlign w:val="center"/>
            <w:hideMark/>
          </w:tcPr>
          <w:p w14:paraId="3B8FE301"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Até 100%</w:t>
            </w:r>
          </w:p>
        </w:tc>
      </w:tr>
      <w:tr w:rsidR="009949F7" w:rsidRPr="000F572C" w14:paraId="6A08F916" w14:textId="77777777" w:rsidTr="00D75CE9">
        <w:trPr>
          <w:trHeight w:val="1733"/>
          <w:jc w:val="center"/>
        </w:trPr>
        <w:tc>
          <w:tcPr>
            <w:tcW w:w="6800" w:type="dxa"/>
            <w:tcBorders>
              <w:top w:val="nil"/>
              <w:left w:val="single" w:sz="4" w:space="0" w:color="auto"/>
              <w:bottom w:val="single" w:sz="4" w:space="0" w:color="auto"/>
              <w:right w:val="single" w:sz="4" w:space="0" w:color="auto"/>
            </w:tcBorders>
            <w:shd w:val="clear" w:color="auto" w:fill="auto"/>
            <w:vAlign w:val="center"/>
            <w:hideMark/>
          </w:tcPr>
          <w:p w14:paraId="3624B12B" w14:textId="77777777" w:rsidR="009949F7" w:rsidRPr="000F572C" w:rsidRDefault="009949F7" w:rsidP="00D75CE9">
            <w:pPr>
              <w:spacing w:after="0"/>
              <w:jc w:val="both"/>
              <w:rPr>
                <w:rFonts w:ascii="Tahoma" w:hAnsi="Tahoma" w:cs="Tahoma"/>
                <w:color w:val="000000"/>
                <w:sz w:val="21"/>
                <w:szCs w:val="21"/>
              </w:rPr>
            </w:pPr>
            <w:r w:rsidRPr="000F572C">
              <w:rPr>
                <w:rFonts w:ascii="Tahoma" w:hAnsi="Tahoma" w:cs="Tahoma"/>
                <w:color w:val="000000"/>
                <w:sz w:val="21"/>
                <w:szCs w:val="21"/>
              </w:rPr>
              <w:t>Operações tendo como contraparte o ADMINISTRADOR, o GESTOR e empresas a eles ligadas, bem como fundos de investimento, clubes de investimento e/ou carteiras administradas pelo ADMINISTRADOR, pelo GESTOR ou por empresas a eles ligadas</w:t>
            </w:r>
          </w:p>
        </w:tc>
        <w:tc>
          <w:tcPr>
            <w:tcW w:w="1617" w:type="dxa"/>
            <w:tcBorders>
              <w:top w:val="nil"/>
              <w:left w:val="nil"/>
              <w:bottom w:val="single" w:sz="4" w:space="0" w:color="auto"/>
              <w:right w:val="single" w:sz="4" w:space="0" w:color="auto"/>
            </w:tcBorders>
            <w:shd w:val="clear" w:color="auto" w:fill="auto"/>
            <w:vAlign w:val="center"/>
            <w:hideMark/>
          </w:tcPr>
          <w:p w14:paraId="38ADA25A" w14:textId="77777777" w:rsidR="009949F7" w:rsidRPr="000F572C" w:rsidRDefault="009949F7" w:rsidP="00D75CE9">
            <w:pPr>
              <w:spacing w:after="0"/>
              <w:jc w:val="center"/>
              <w:rPr>
                <w:rFonts w:ascii="Tahoma" w:hAnsi="Tahoma" w:cs="Tahoma"/>
                <w:color w:val="000000"/>
                <w:sz w:val="21"/>
                <w:szCs w:val="21"/>
              </w:rPr>
            </w:pPr>
            <w:r w:rsidRPr="000F572C">
              <w:rPr>
                <w:rFonts w:ascii="Tahoma" w:hAnsi="Tahoma" w:cs="Tahoma"/>
                <w:color w:val="000000"/>
                <w:sz w:val="21"/>
                <w:szCs w:val="21"/>
              </w:rPr>
              <w:t>Permitido</w:t>
            </w:r>
          </w:p>
        </w:tc>
        <w:tc>
          <w:tcPr>
            <w:tcW w:w="1618" w:type="dxa"/>
            <w:tcBorders>
              <w:top w:val="nil"/>
              <w:left w:val="nil"/>
              <w:bottom w:val="single" w:sz="4" w:space="0" w:color="auto"/>
              <w:right w:val="single" w:sz="4" w:space="0" w:color="auto"/>
            </w:tcBorders>
            <w:shd w:val="clear" w:color="auto" w:fill="auto"/>
            <w:noWrap/>
            <w:vAlign w:val="center"/>
            <w:hideMark/>
          </w:tcPr>
          <w:p w14:paraId="783A2777" w14:textId="77777777" w:rsidR="009949F7" w:rsidRPr="000F572C" w:rsidRDefault="009949F7" w:rsidP="00D75CE9">
            <w:pPr>
              <w:spacing w:after="0"/>
              <w:jc w:val="center"/>
              <w:rPr>
                <w:rFonts w:ascii="Tahoma" w:hAnsi="Tahoma" w:cs="Tahoma"/>
                <w:b/>
                <w:color w:val="000000"/>
                <w:sz w:val="21"/>
                <w:szCs w:val="21"/>
              </w:rPr>
            </w:pPr>
            <w:r w:rsidRPr="000F572C">
              <w:rPr>
                <w:rFonts w:ascii="Tahoma" w:hAnsi="Tahoma" w:cs="Tahoma"/>
                <w:b/>
                <w:color w:val="000000"/>
                <w:sz w:val="21"/>
                <w:szCs w:val="21"/>
              </w:rPr>
              <w:t>Até 100%</w:t>
            </w:r>
          </w:p>
        </w:tc>
      </w:tr>
    </w:tbl>
    <w:p w14:paraId="7548C0BE" w14:textId="77777777" w:rsidR="009949F7" w:rsidRPr="000F572C" w:rsidRDefault="009949F7" w:rsidP="009949F7">
      <w:pPr>
        <w:spacing w:after="0"/>
        <w:rPr>
          <w:rFonts w:ascii="Tahoma" w:hAnsi="Tahoma" w:cs="Tahoma"/>
          <w:sz w:val="21"/>
          <w:szCs w:val="21"/>
        </w:rPr>
      </w:pPr>
    </w:p>
    <w:p w14:paraId="03172D9E"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3.3. O FUNDO poderá concentrar a totalidade de suas aplicações em cotas de um mesmo fundo de investimento, inclusive em fundos de investimento administrados pelo ADMINISTRADOR ou empresas a ele ligadas.</w:t>
      </w:r>
    </w:p>
    <w:p w14:paraId="2B3DABCA" w14:textId="77777777" w:rsidR="009949F7" w:rsidRPr="000F572C" w:rsidRDefault="009949F7" w:rsidP="009949F7">
      <w:pPr>
        <w:spacing w:after="0"/>
        <w:jc w:val="both"/>
        <w:rPr>
          <w:rFonts w:ascii="Tahoma" w:hAnsi="Tahoma" w:cs="Tahoma"/>
          <w:sz w:val="21"/>
          <w:szCs w:val="21"/>
        </w:rPr>
      </w:pPr>
    </w:p>
    <w:p w14:paraId="77F4305C"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3.4. Os limites indicados nos quadros acima serão considerados em conjunto e cumulativamente.</w:t>
      </w:r>
    </w:p>
    <w:p w14:paraId="6DF0314E" w14:textId="77777777" w:rsidR="009949F7" w:rsidRPr="000F572C" w:rsidRDefault="009949F7" w:rsidP="009949F7">
      <w:pPr>
        <w:spacing w:after="0"/>
        <w:jc w:val="both"/>
        <w:rPr>
          <w:rFonts w:ascii="Tahoma" w:hAnsi="Tahoma" w:cs="Tahoma"/>
          <w:sz w:val="21"/>
          <w:szCs w:val="21"/>
        </w:rPr>
      </w:pPr>
    </w:p>
    <w:p w14:paraId="32A06F27"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3.5. Observado o disposto nos quadros acima, cada Fundo Investido observará os limites por emissor e por modalidade de ativo previstos na regulamentação aplicável.</w:t>
      </w:r>
    </w:p>
    <w:p w14:paraId="4FD501B6" w14:textId="77777777" w:rsidR="009949F7" w:rsidRPr="000F572C" w:rsidRDefault="009949F7" w:rsidP="009949F7">
      <w:pPr>
        <w:spacing w:after="0"/>
        <w:jc w:val="both"/>
        <w:rPr>
          <w:rFonts w:ascii="Tahoma" w:hAnsi="Tahoma" w:cs="Tahoma"/>
          <w:sz w:val="21"/>
          <w:szCs w:val="21"/>
        </w:rPr>
      </w:pPr>
    </w:p>
    <w:p w14:paraId="39AF7517"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3.6. O FUNDO não será obrigado a consolidar as aplicações em cotas de fundos de índice negociados em mercados organizados e em cotas de Fundos Investidos cujas carteiras sejam geridas por terceiros não ligados ao ADMINISTRADOR ou ao GESTOR do FUNDO, exceto se referidas cotas forem destinadas a investidores profissionais.</w:t>
      </w:r>
    </w:p>
    <w:p w14:paraId="1B2BC242" w14:textId="77777777" w:rsidR="009949F7" w:rsidRPr="000F572C" w:rsidRDefault="009949F7" w:rsidP="009949F7">
      <w:pPr>
        <w:spacing w:after="0"/>
        <w:jc w:val="both"/>
        <w:rPr>
          <w:rFonts w:ascii="Tahoma" w:hAnsi="Tahoma" w:cs="Tahoma"/>
          <w:sz w:val="21"/>
          <w:szCs w:val="21"/>
        </w:rPr>
      </w:pPr>
    </w:p>
    <w:p w14:paraId="78C81BB7"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lastRenderedPageBreak/>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2FDC2F19" w14:textId="77777777" w:rsidR="009949F7" w:rsidRPr="000F572C" w:rsidRDefault="009949F7" w:rsidP="009949F7">
      <w:pPr>
        <w:spacing w:after="0"/>
        <w:jc w:val="both"/>
        <w:rPr>
          <w:rFonts w:ascii="Tahoma" w:hAnsi="Tahoma" w:cs="Tahoma"/>
          <w:sz w:val="21"/>
          <w:szCs w:val="21"/>
        </w:rPr>
      </w:pPr>
    </w:p>
    <w:p w14:paraId="2D07900D"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162DFE85" w14:textId="77777777" w:rsidR="009949F7" w:rsidRPr="000F572C" w:rsidRDefault="009949F7" w:rsidP="009949F7">
      <w:pPr>
        <w:spacing w:after="0"/>
        <w:jc w:val="both"/>
        <w:rPr>
          <w:rFonts w:ascii="Tahoma" w:hAnsi="Tahoma" w:cs="Tahoma"/>
          <w:sz w:val="21"/>
          <w:szCs w:val="21"/>
        </w:rPr>
      </w:pPr>
    </w:p>
    <w:p w14:paraId="7D89E5D7"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3.9. Ficam vedadas as aplicações pelo FUNDO em cotas de fundos de investimento que invistam diretamente no FUNDO.</w:t>
      </w:r>
    </w:p>
    <w:p w14:paraId="2E436BC8" w14:textId="77777777" w:rsidR="009949F7" w:rsidRPr="000F572C" w:rsidRDefault="009949F7" w:rsidP="009949F7">
      <w:pPr>
        <w:spacing w:after="0"/>
        <w:jc w:val="both"/>
        <w:rPr>
          <w:rFonts w:ascii="Tahoma" w:hAnsi="Tahoma" w:cs="Tahoma"/>
          <w:sz w:val="21"/>
          <w:szCs w:val="21"/>
        </w:rPr>
      </w:pPr>
    </w:p>
    <w:p w14:paraId="6B8AA91A"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 xml:space="preserve">3.10. O ADMINISTRADOR, o GESTOR e qualquer empresa pertencente ao mesmo conglomerado financeiro, bem como diretores, gerentes e funcionários dessas empresas poderão ter posições </w:t>
      </w:r>
      <w:proofErr w:type="gramStart"/>
      <w:r w:rsidRPr="000F572C">
        <w:rPr>
          <w:rFonts w:ascii="Tahoma" w:hAnsi="Tahoma" w:cs="Tahoma"/>
          <w:sz w:val="21"/>
          <w:szCs w:val="21"/>
        </w:rPr>
        <w:t>em, subscrever ou operar</w:t>
      </w:r>
      <w:proofErr w:type="gramEnd"/>
      <w:r w:rsidRPr="000F572C">
        <w:rPr>
          <w:rFonts w:ascii="Tahoma" w:hAnsi="Tahoma" w:cs="Tahoma"/>
          <w:sz w:val="21"/>
          <w:szCs w:val="21"/>
        </w:rPr>
        <w:t xml:space="preserve"> com ativos financeiros que integrem ou venham a integrar a CARTEIRA do FUNDO e/ou a carteira dos Fundos Investidos.</w:t>
      </w:r>
    </w:p>
    <w:p w14:paraId="4186354B" w14:textId="77777777" w:rsidR="009949F7" w:rsidRPr="000F572C" w:rsidRDefault="009949F7" w:rsidP="009949F7">
      <w:pPr>
        <w:spacing w:after="0"/>
        <w:jc w:val="both"/>
        <w:rPr>
          <w:rFonts w:ascii="Tahoma" w:hAnsi="Tahoma" w:cs="Tahoma"/>
          <w:sz w:val="21"/>
          <w:szCs w:val="21"/>
        </w:rPr>
      </w:pPr>
    </w:p>
    <w:p w14:paraId="54B758FC"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18DD941D" w14:textId="77777777" w:rsidR="009949F7" w:rsidRPr="000F572C" w:rsidRDefault="009949F7" w:rsidP="009949F7">
      <w:pPr>
        <w:tabs>
          <w:tab w:val="left" w:pos="426"/>
          <w:tab w:val="left" w:pos="1843"/>
        </w:tabs>
        <w:spacing w:after="0"/>
        <w:jc w:val="both"/>
        <w:rPr>
          <w:rFonts w:ascii="Tahoma" w:hAnsi="Tahoma"/>
          <w:sz w:val="21"/>
          <w:szCs w:val="21"/>
        </w:rPr>
      </w:pPr>
    </w:p>
    <w:p w14:paraId="0787EAD7"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 xml:space="preserve">CLÁUSULA QUARTA – DOS RISCOS </w:t>
      </w:r>
    </w:p>
    <w:p w14:paraId="0448E678" w14:textId="77777777" w:rsidR="009949F7" w:rsidRPr="000F572C" w:rsidRDefault="009949F7" w:rsidP="009949F7">
      <w:pPr>
        <w:spacing w:after="0" w:line="280" w:lineRule="atLeast"/>
        <w:jc w:val="both"/>
        <w:rPr>
          <w:rFonts w:ascii="Tahoma" w:hAnsi="Tahoma"/>
          <w:sz w:val="21"/>
          <w:szCs w:val="21"/>
        </w:rPr>
      </w:pPr>
    </w:p>
    <w:p w14:paraId="7BBE2B15" w14:textId="77777777" w:rsidR="009949F7" w:rsidRPr="000F572C" w:rsidRDefault="009949F7" w:rsidP="009949F7">
      <w:pPr>
        <w:spacing w:after="0"/>
        <w:jc w:val="both"/>
        <w:rPr>
          <w:rFonts w:ascii="Tahoma" w:hAnsi="Tahoma" w:cs="Tahoma"/>
          <w:color w:val="000000"/>
          <w:sz w:val="21"/>
          <w:szCs w:val="21"/>
        </w:rPr>
      </w:pPr>
      <w:r w:rsidRPr="000F572C">
        <w:rPr>
          <w:rFonts w:ascii="Tahoma" w:hAnsi="Tahoma" w:cs="Tahoma"/>
          <w:sz w:val="21"/>
          <w:szCs w:val="21"/>
        </w:rPr>
        <w:t xml:space="preserve">4.1. </w:t>
      </w:r>
      <w:r w:rsidRPr="000F572C">
        <w:rPr>
          <w:rFonts w:ascii="Tahoma" w:hAnsi="Tahoma" w:cs="Tahoma"/>
          <w:color w:val="000000"/>
          <w:sz w:val="21"/>
          <w:szCs w:val="21"/>
        </w:rPr>
        <w:t>O FUNDO e seus Cotistas estão sujeitos, principalmente, aos seguintes riscos:</w:t>
      </w:r>
    </w:p>
    <w:p w14:paraId="4987CC40" w14:textId="77777777" w:rsidR="009949F7" w:rsidRPr="000F572C" w:rsidRDefault="009949F7" w:rsidP="009949F7">
      <w:pPr>
        <w:spacing w:after="0"/>
        <w:jc w:val="both"/>
        <w:rPr>
          <w:rFonts w:ascii="Tahoma" w:hAnsi="Tahoma" w:cs="Tahoma"/>
          <w:color w:val="000000"/>
          <w:sz w:val="21"/>
          <w:szCs w:val="21"/>
        </w:rPr>
      </w:pPr>
    </w:p>
    <w:p w14:paraId="79B38465" w14:textId="77777777" w:rsidR="009949F7" w:rsidRPr="000F572C" w:rsidRDefault="009949F7" w:rsidP="009949F7">
      <w:pPr>
        <w:spacing w:after="0"/>
        <w:jc w:val="both"/>
        <w:rPr>
          <w:rFonts w:ascii="Tahoma" w:hAnsi="Tahoma" w:cs="Tahoma"/>
          <w:sz w:val="21"/>
          <w:szCs w:val="21"/>
        </w:rPr>
      </w:pPr>
      <w:r w:rsidRPr="000F572C">
        <w:rPr>
          <w:rFonts w:ascii="Tahoma" w:hAnsi="Tahoma" w:cs="Tahoma"/>
          <w:b/>
          <w:sz w:val="21"/>
          <w:szCs w:val="21"/>
        </w:rPr>
        <w:t>Risco de Mercado:</w:t>
      </w:r>
      <w:r w:rsidRPr="000F572C">
        <w:rPr>
          <w:rFonts w:ascii="Tahoma" w:hAnsi="Tahoma" w:cs="Tahoma"/>
          <w:sz w:val="21"/>
          <w:szCs w:val="21"/>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76EB0C07" w14:textId="77777777" w:rsidR="009949F7" w:rsidRPr="000F572C" w:rsidRDefault="009949F7" w:rsidP="009949F7">
      <w:pPr>
        <w:spacing w:after="0"/>
        <w:jc w:val="both"/>
        <w:rPr>
          <w:rFonts w:ascii="Tahoma" w:hAnsi="Tahoma" w:cs="Tahoma"/>
          <w:sz w:val="21"/>
          <w:szCs w:val="21"/>
        </w:rPr>
      </w:pPr>
    </w:p>
    <w:p w14:paraId="323953C4" w14:textId="77777777" w:rsidR="009949F7" w:rsidRPr="000F572C" w:rsidRDefault="009949F7" w:rsidP="009949F7">
      <w:pPr>
        <w:spacing w:after="0"/>
        <w:jc w:val="both"/>
        <w:rPr>
          <w:rFonts w:ascii="Tahoma" w:hAnsi="Tahoma" w:cs="Tahoma"/>
          <w:sz w:val="21"/>
          <w:szCs w:val="21"/>
        </w:rPr>
      </w:pPr>
      <w:r w:rsidRPr="000F572C">
        <w:rPr>
          <w:rFonts w:ascii="Tahoma" w:hAnsi="Tahoma" w:cs="Tahoma"/>
          <w:b/>
          <w:sz w:val="21"/>
          <w:szCs w:val="21"/>
        </w:rPr>
        <w:t>Risco de Crédito:</w:t>
      </w:r>
      <w:r w:rsidRPr="000F572C">
        <w:rPr>
          <w:rFonts w:ascii="Tahoma" w:hAnsi="Tahoma" w:cs="Tahoma"/>
          <w:sz w:val="21"/>
          <w:szCs w:val="21"/>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5C4F5D58" w14:textId="77777777" w:rsidR="009949F7" w:rsidRPr="000F572C" w:rsidRDefault="009949F7" w:rsidP="009949F7">
      <w:pPr>
        <w:spacing w:after="0"/>
        <w:jc w:val="both"/>
        <w:rPr>
          <w:rFonts w:ascii="Tahoma" w:hAnsi="Tahoma" w:cs="Tahoma"/>
          <w:sz w:val="21"/>
          <w:szCs w:val="21"/>
        </w:rPr>
      </w:pPr>
    </w:p>
    <w:p w14:paraId="6BBCDC52" w14:textId="77777777" w:rsidR="009949F7" w:rsidRPr="000F572C" w:rsidRDefault="009949F7" w:rsidP="009949F7">
      <w:pPr>
        <w:spacing w:after="0"/>
        <w:jc w:val="both"/>
        <w:rPr>
          <w:rFonts w:ascii="Tahoma" w:hAnsi="Tahoma" w:cs="Tahoma"/>
          <w:bCs/>
          <w:color w:val="000000"/>
          <w:sz w:val="21"/>
          <w:szCs w:val="21"/>
        </w:rPr>
      </w:pPr>
      <w:r w:rsidRPr="000F572C">
        <w:rPr>
          <w:rFonts w:ascii="Tahoma" w:hAnsi="Tahoma" w:cs="Tahoma"/>
          <w:b/>
          <w:sz w:val="21"/>
          <w:szCs w:val="21"/>
        </w:rPr>
        <w:t>Risco de Liquidez:</w:t>
      </w:r>
      <w:r w:rsidRPr="000F572C">
        <w:rPr>
          <w:rFonts w:ascii="Tahoma" w:hAnsi="Tahoma" w:cs="Tahoma"/>
          <w:sz w:val="21"/>
          <w:szCs w:val="21"/>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 </w:t>
      </w:r>
      <w:r w:rsidRPr="000F572C">
        <w:rPr>
          <w:rFonts w:ascii="Tahoma" w:hAnsi="Tahoma" w:cs="Tahoma"/>
          <w:bCs/>
          <w:color w:val="000000"/>
          <w:sz w:val="21"/>
          <w:szCs w:val="21"/>
        </w:rPr>
        <w:t>Os Ativos de Infraestrutura investidos pelo FUNDO e/ou pelos Fundos Investidos podem, em especial, apresentar condições específicas de baixa liquidez e a concentração de investimentos nos mesmos está sujeita aos riscos daí decorrentes.</w:t>
      </w:r>
    </w:p>
    <w:p w14:paraId="475D3072" w14:textId="77777777" w:rsidR="009949F7" w:rsidRPr="000F572C" w:rsidRDefault="009949F7" w:rsidP="009949F7">
      <w:pPr>
        <w:spacing w:after="0"/>
        <w:jc w:val="both"/>
        <w:rPr>
          <w:rFonts w:ascii="Tahoma" w:hAnsi="Tahoma" w:cs="Tahoma"/>
          <w:sz w:val="21"/>
          <w:szCs w:val="21"/>
        </w:rPr>
      </w:pPr>
    </w:p>
    <w:p w14:paraId="5D186C97" w14:textId="77777777" w:rsidR="009949F7" w:rsidRPr="000F572C" w:rsidRDefault="009949F7" w:rsidP="009949F7">
      <w:pPr>
        <w:spacing w:after="0"/>
        <w:jc w:val="both"/>
        <w:rPr>
          <w:rFonts w:ascii="Tahoma" w:hAnsi="Tahoma" w:cs="Tahoma"/>
          <w:sz w:val="21"/>
          <w:szCs w:val="21"/>
        </w:rPr>
      </w:pPr>
      <w:r w:rsidRPr="000F572C">
        <w:rPr>
          <w:rFonts w:ascii="Tahoma" w:hAnsi="Tahoma" w:cs="Tahoma"/>
          <w:b/>
          <w:sz w:val="21"/>
          <w:szCs w:val="21"/>
        </w:rPr>
        <w:t>Risco de Concentração:</w:t>
      </w:r>
      <w:r w:rsidRPr="000F572C">
        <w:rPr>
          <w:rFonts w:ascii="Tahoma" w:hAnsi="Tahoma" w:cs="Tahoma"/>
          <w:sz w:val="21"/>
          <w:szCs w:val="21"/>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0D0ABB45" w14:textId="77777777" w:rsidR="009949F7" w:rsidRPr="000F572C" w:rsidRDefault="009949F7" w:rsidP="009949F7">
      <w:pPr>
        <w:spacing w:after="0"/>
        <w:jc w:val="both"/>
        <w:rPr>
          <w:rFonts w:ascii="Tahoma" w:hAnsi="Tahoma" w:cs="Tahoma"/>
          <w:sz w:val="21"/>
          <w:szCs w:val="21"/>
        </w:rPr>
      </w:pPr>
    </w:p>
    <w:p w14:paraId="6FBEF472" w14:textId="77777777" w:rsidR="009949F7" w:rsidRPr="000F572C" w:rsidRDefault="009949F7" w:rsidP="009949F7">
      <w:pPr>
        <w:spacing w:after="0"/>
        <w:jc w:val="both"/>
        <w:rPr>
          <w:rFonts w:ascii="Tahoma" w:hAnsi="Tahoma" w:cs="Tahoma"/>
          <w:sz w:val="21"/>
          <w:szCs w:val="21"/>
        </w:rPr>
      </w:pPr>
      <w:r w:rsidRPr="000F572C">
        <w:rPr>
          <w:rFonts w:ascii="Tahoma" w:hAnsi="Tahoma" w:cs="Tahoma"/>
          <w:b/>
          <w:sz w:val="21"/>
          <w:szCs w:val="21"/>
        </w:rPr>
        <w:t>Risco de Concentração em Créditos Privados:</w:t>
      </w:r>
      <w:r w:rsidRPr="000F572C">
        <w:rPr>
          <w:rFonts w:ascii="Tahoma" w:hAnsi="Tahoma" w:cs="Tahoma"/>
          <w:sz w:val="21"/>
          <w:szCs w:val="21"/>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w:t>
      </w:r>
      <w:r w:rsidRPr="000F572C">
        <w:rPr>
          <w:rFonts w:ascii="Tahoma" w:hAnsi="Tahoma" w:cs="Tahoma"/>
          <w:sz w:val="21"/>
          <w:szCs w:val="21"/>
        </w:rPr>
        <w:lastRenderedPageBreak/>
        <w:t xml:space="preserve">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0BB4A3F7" w14:textId="77777777" w:rsidR="009949F7" w:rsidRPr="000F572C" w:rsidRDefault="009949F7" w:rsidP="009949F7">
      <w:pPr>
        <w:spacing w:after="0"/>
        <w:jc w:val="both"/>
        <w:rPr>
          <w:rFonts w:ascii="Tahoma" w:hAnsi="Tahoma" w:cs="Tahoma"/>
          <w:sz w:val="21"/>
          <w:szCs w:val="21"/>
        </w:rPr>
      </w:pPr>
    </w:p>
    <w:p w14:paraId="2C02F999" w14:textId="77777777" w:rsidR="009949F7" w:rsidRPr="000F572C" w:rsidRDefault="009949F7" w:rsidP="009949F7">
      <w:pPr>
        <w:pStyle w:val="PargrafodaLista"/>
        <w:tabs>
          <w:tab w:val="left" w:pos="851"/>
        </w:tabs>
        <w:ind w:left="0"/>
        <w:jc w:val="both"/>
        <w:rPr>
          <w:rFonts w:ascii="Tahoma" w:hAnsi="Tahoma" w:cs="Tahoma"/>
          <w:bCs/>
          <w:color w:val="000000"/>
          <w:sz w:val="21"/>
          <w:szCs w:val="21"/>
        </w:rPr>
      </w:pPr>
      <w:r w:rsidRPr="000F572C">
        <w:rPr>
          <w:rFonts w:ascii="Tahoma" w:hAnsi="Tahoma" w:cs="Tahoma"/>
          <w:b/>
          <w:bCs/>
          <w:color w:val="000000"/>
          <w:sz w:val="21"/>
          <w:szCs w:val="21"/>
        </w:rPr>
        <w:t>Risco de Disponibilidade ou Inexistência dos Ativos de Infraestrutura</w:t>
      </w:r>
      <w:r w:rsidRPr="000F572C">
        <w:rPr>
          <w:rFonts w:ascii="Tahoma" w:hAnsi="Tahoma" w:cs="Tahoma"/>
          <w:bCs/>
          <w:color w:val="000000"/>
          <w:sz w:val="21"/>
          <w:szCs w:val="21"/>
        </w:rPr>
        <w:t xml:space="preserve">: Os Fundos Investidos de Infraestrutura poderão não dispor de ofertas de Ativos de Infraestrutura suficientes ou em condições aceitáveis, a critério do Gestor, que atendam os critérios com relação ao cumprimento dos requisitos da Lei 12.431 e deste Regulamento. Deste modo, os Fundos Investidos de Infraestrutura poderão enfrentar dificuldades para atender ao enquadramento de sua carteira, bem como de empregar suas disponibilidades de caixa para aquisição de Ativos de Infraestrutura. </w:t>
      </w:r>
      <w:proofErr w:type="gramStart"/>
      <w:r w:rsidRPr="000F572C">
        <w:rPr>
          <w:rFonts w:ascii="Tahoma" w:hAnsi="Tahoma" w:cs="Tahoma"/>
          <w:bCs/>
          <w:color w:val="000000"/>
          <w:sz w:val="21"/>
          <w:szCs w:val="21"/>
        </w:rPr>
        <w:t>A ausência de Ativos de Infraestrutura para aquisição pelos Fundos Investidos de Infraestrutura poderão</w:t>
      </w:r>
      <w:proofErr w:type="gramEnd"/>
      <w:r w:rsidRPr="000F572C">
        <w:rPr>
          <w:rFonts w:ascii="Tahoma" w:hAnsi="Tahoma" w:cs="Tahoma"/>
          <w:bCs/>
          <w:color w:val="000000"/>
          <w:sz w:val="21"/>
          <w:szCs w:val="21"/>
        </w:rPr>
        <w:t xml:space="preserve"> impactar negativamente (i) na rentabilidade das Cotas, em função da impossibilidade de aquisição de Ativos de Infraestrutura; e (ii) no cumprimento dos limites de enquadramento e concentração definidos na Cláusula 3.2.</w:t>
      </w:r>
    </w:p>
    <w:p w14:paraId="092E2546" w14:textId="77777777" w:rsidR="009949F7" w:rsidRPr="000F572C" w:rsidRDefault="009949F7" w:rsidP="009949F7">
      <w:pPr>
        <w:spacing w:after="0"/>
        <w:jc w:val="both"/>
        <w:rPr>
          <w:rFonts w:ascii="Tahoma" w:hAnsi="Tahoma" w:cs="Tahoma"/>
          <w:sz w:val="21"/>
          <w:szCs w:val="21"/>
        </w:rPr>
      </w:pPr>
    </w:p>
    <w:p w14:paraId="4A5894DE" w14:textId="77777777" w:rsidR="009949F7" w:rsidRPr="000F572C" w:rsidRDefault="009949F7" w:rsidP="009949F7">
      <w:pPr>
        <w:autoSpaceDE w:val="0"/>
        <w:autoSpaceDN w:val="0"/>
        <w:spacing w:after="0"/>
        <w:jc w:val="both"/>
        <w:rPr>
          <w:rFonts w:ascii="Tahoma" w:hAnsi="Tahoma" w:cs="Tahoma"/>
          <w:bCs/>
          <w:color w:val="000000"/>
          <w:sz w:val="21"/>
          <w:szCs w:val="21"/>
        </w:rPr>
      </w:pPr>
      <w:r w:rsidRPr="000F572C">
        <w:rPr>
          <w:rFonts w:ascii="Tahoma" w:hAnsi="Tahoma" w:cs="Tahoma"/>
          <w:b/>
          <w:bCs/>
          <w:color w:val="000000"/>
          <w:sz w:val="21"/>
          <w:szCs w:val="21"/>
        </w:rPr>
        <w:t>Risco dos Projetos de Infraestrutura</w:t>
      </w:r>
      <w:r w:rsidRPr="000F572C">
        <w:rPr>
          <w:rFonts w:ascii="Tahoma" w:hAnsi="Tahoma" w:cs="Tahoma"/>
          <w:bCs/>
          <w:color w:val="000000"/>
          <w:sz w:val="21"/>
          <w:szCs w:val="21"/>
        </w:rPr>
        <w:t xml:space="preserve">: Os projetos que lastreiam a emissão dos Ativos de Infraestrutura estão sujeitos a riscos, tais </w:t>
      </w:r>
      <w:proofErr w:type="gramStart"/>
      <w:r w:rsidRPr="000F572C">
        <w:rPr>
          <w:rFonts w:ascii="Tahoma" w:hAnsi="Tahoma" w:cs="Tahoma"/>
          <w:bCs/>
          <w:color w:val="000000"/>
          <w:sz w:val="21"/>
          <w:szCs w:val="21"/>
        </w:rPr>
        <w:t>como  atraso</w:t>
      </w:r>
      <w:proofErr w:type="gramEnd"/>
      <w:r w:rsidRPr="000F572C">
        <w:rPr>
          <w:rFonts w:ascii="Tahoma" w:hAnsi="Tahoma" w:cs="Tahoma"/>
          <w:bCs/>
          <w:color w:val="000000"/>
          <w:sz w:val="21"/>
          <w:szCs w:val="21"/>
        </w:rPr>
        <w:t xml:space="preserve"> ou falha na conclusão, longo prazo de duração, entre outros, que podem causar um impacto adverso sobre o projeto, sobre seu fluxo de caixa e, consequentemente, sobre os seus emissores.</w:t>
      </w:r>
    </w:p>
    <w:p w14:paraId="4353E975" w14:textId="77777777" w:rsidR="009949F7" w:rsidRPr="000F572C" w:rsidRDefault="009949F7" w:rsidP="009949F7">
      <w:pPr>
        <w:autoSpaceDE w:val="0"/>
        <w:autoSpaceDN w:val="0"/>
        <w:spacing w:after="0"/>
        <w:jc w:val="both"/>
        <w:rPr>
          <w:rFonts w:ascii="Tahoma" w:hAnsi="Tahoma" w:cs="Tahoma"/>
          <w:bCs/>
          <w:color w:val="000000"/>
          <w:sz w:val="21"/>
          <w:szCs w:val="21"/>
        </w:rPr>
      </w:pPr>
    </w:p>
    <w:p w14:paraId="052FFB0F" w14:textId="77777777" w:rsidR="009949F7" w:rsidRPr="000F572C" w:rsidRDefault="009949F7" w:rsidP="009949F7">
      <w:pPr>
        <w:pStyle w:val="PargrafodaLista"/>
        <w:tabs>
          <w:tab w:val="left" w:pos="851"/>
        </w:tabs>
        <w:ind w:left="0"/>
        <w:jc w:val="both"/>
        <w:rPr>
          <w:rFonts w:ascii="Tahoma" w:hAnsi="Tahoma" w:cs="Tahoma"/>
          <w:bCs/>
          <w:color w:val="000000"/>
          <w:sz w:val="21"/>
          <w:szCs w:val="21"/>
        </w:rPr>
      </w:pPr>
      <w:r w:rsidRPr="000F572C">
        <w:rPr>
          <w:rFonts w:ascii="Tahoma" w:hAnsi="Tahoma" w:cs="Tahoma"/>
          <w:b/>
          <w:bCs/>
          <w:color w:val="000000"/>
          <w:sz w:val="21"/>
          <w:szCs w:val="21"/>
        </w:rPr>
        <w:t xml:space="preserve">Risco Relacionado ao Setor de Atuação do Fundo: </w:t>
      </w:r>
      <w:r w:rsidRPr="000F572C">
        <w:rPr>
          <w:rFonts w:ascii="Tahoma" w:hAnsi="Tahoma" w:cs="Tahoma"/>
          <w:bCs/>
          <w:color w:val="000000"/>
          <w:sz w:val="21"/>
          <w:szCs w:val="21"/>
        </w:rPr>
        <w:t>Considerando que parcela predominante do Patrimônio Líquido dos Fundos Investidos de Infraestrutura serão alocada em Ativos de Infraestrutura vinculados a projetos de investimento na área de infraestrutura, ou de produção econômica intensiva em pesquisa, desenvolvimento e inovação, os riscos do setor de atuação do FUNDO e/ou dos Fundos Investidos de Infraestrutura estarão diretamente relacionados àqueles aplicáveis aos diversos setores de atuação dos emissores dos Ativos de Infraestrutura. Nesses setores há risco de uma mudança não esperada na legislação aplicável, ou na perspectiva da economia, podendo alterar os cenários previstos pelos emissores dos Ativos de Infraestrutura, além de trazer impactos adversos no desenvolvimento de seus respectivos projetos.</w:t>
      </w:r>
    </w:p>
    <w:p w14:paraId="1CBF21DA" w14:textId="77777777" w:rsidR="009949F7" w:rsidRPr="000F572C" w:rsidRDefault="009949F7" w:rsidP="009949F7">
      <w:pPr>
        <w:autoSpaceDE w:val="0"/>
        <w:autoSpaceDN w:val="0"/>
        <w:spacing w:after="0"/>
        <w:jc w:val="both"/>
        <w:rPr>
          <w:rFonts w:ascii="Tahoma" w:hAnsi="Tahoma" w:cs="Tahoma"/>
          <w:bCs/>
          <w:color w:val="000000"/>
          <w:sz w:val="21"/>
          <w:szCs w:val="21"/>
        </w:rPr>
      </w:pPr>
    </w:p>
    <w:p w14:paraId="6B8272E6" w14:textId="77777777" w:rsidR="009949F7" w:rsidRPr="000F572C" w:rsidRDefault="009949F7" w:rsidP="009949F7">
      <w:pPr>
        <w:pStyle w:val="PargrafodaLista"/>
        <w:tabs>
          <w:tab w:val="left" w:pos="851"/>
        </w:tabs>
        <w:ind w:left="0"/>
        <w:jc w:val="both"/>
        <w:rPr>
          <w:rFonts w:ascii="Tahoma" w:hAnsi="Tahoma" w:cs="Tahoma"/>
          <w:bCs/>
          <w:color w:val="000000"/>
          <w:sz w:val="21"/>
          <w:szCs w:val="21"/>
        </w:rPr>
      </w:pPr>
      <w:r w:rsidRPr="000F572C">
        <w:rPr>
          <w:rFonts w:ascii="Tahoma" w:hAnsi="Tahoma" w:cs="Tahoma"/>
          <w:b/>
          <w:bCs/>
          <w:color w:val="000000"/>
          <w:sz w:val="21"/>
          <w:szCs w:val="21"/>
        </w:rPr>
        <w:t>Risco Relacionado ao Pagamento Antecipado (Pré-Pagamento):</w:t>
      </w:r>
      <w:r w:rsidRPr="000F572C">
        <w:rPr>
          <w:rFonts w:ascii="Tahoma" w:hAnsi="Tahoma" w:cs="Tahoma"/>
          <w:bCs/>
          <w:color w:val="000000"/>
          <w:sz w:val="21"/>
          <w:szCs w:val="21"/>
        </w:rPr>
        <w:t xml:space="preserve"> Os Fundos Investidos de Infraestrutura poderão adquirir Ativos de Infraestrutura sujeitos, nos termos das normas em vigor e dos respectivos instrumentos contratuais, a pré-pagamento por parte de seus respectivos emissores, devedores e/ou coobrigados, ou seja, podem ser pagos aos Fundos Investidos de Infraestrutura anteriormente a suas respectivas datas de vencimento. Em caso de pré-pagamento, os Fundos Investidos de Infraestrutura poderão ter de suportar desconto em relação ao respectivo valor devido, não se apropriar da rentabilidade integral do ativo ou, ainda, não encontrar, no mercado, Ativos de Infraestrutura com remuneração e liquidez compatíveis com a rentabilidade do FUNDO e/ou dos Fundos Investidos de Infraestrutura ou comparáveis com os ativos objeto de pré-pagamento, resultando na redução da rentabilidade do FUNDO e/ou dos Fundos Investidos de Infraestrutura.</w:t>
      </w:r>
    </w:p>
    <w:p w14:paraId="067EBF12" w14:textId="77777777" w:rsidR="009949F7" w:rsidRPr="000F572C" w:rsidRDefault="009949F7" w:rsidP="009949F7">
      <w:pPr>
        <w:autoSpaceDE w:val="0"/>
        <w:autoSpaceDN w:val="0"/>
        <w:spacing w:after="0"/>
        <w:jc w:val="both"/>
        <w:rPr>
          <w:rFonts w:ascii="Tahoma" w:hAnsi="Tahoma" w:cs="Tahoma"/>
          <w:bCs/>
          <w:color w:val="000000"/>
          <w:sz w:val="21"/>
          <w:szCs w:val="21"/>
        </w:rPr>
      </w:pPr>
    </w:p>
    <w:p w14:paraId="4774BD07" w14:textId="77777777" w:rsidR="009949F7" w:rsidRPr="000F572C" w:rsidRDefault="009949F7" w:rsidP="009949F7">
      <w:pPr>
        <w:spacing w:after="0"/>
        <w:jc w:val="both"/>
        <w:rPr>
          <w:rFonts w:ascii="Tahoma" w:hAnsi="Tahoma" w:cs="Tahoma"/>
          <w:bCs/>
          <w:color w:val="000000"/>
          <w:sz w:val="21"/>
          <w:szCs w:val="21"/>
        </w:rPr>
      </w:pPr>
      <w:r w:rsidRPr="000F572C">
        <w:rPr>
          <w:rFonts w:ascii="Tahoma" w:hAnsi="Tahoma" w:cs="Tahoma"/>
          <w:b/>
          <w:bCs/>
          <w:color w:val="000000"/>
          <w:sz w:val="21"/>
          <w:szCs w:val="21"/>
        </w:rPr>
        <w:t>Risco de Perda do Benefício Tributário</w:t>
      </w:r>
      <w:r w:rsidRPr="000F572C">
        <w:rPr>
          <w:rFonts w:ascii="Tahoma" w:hAnsi="Tahoma" w:cs="Tahoma"/>
          <w:bCs/>
          <w:color w:val="000000"/>
          <w:sz w:val="21"/>
          <w:szCs w:val="21"/>
        </w:rPr>
        <w:t xml:space="preserve">: Os projetos que lastreiam a emissão dos Ativos de Infraestrutura podem deixar de ser considerados como prioritários na forma regulamentada pelo Poder Executivo Federal, acarretando, consequentemente, na perda do benefício fiscal. </w:t>
      </w:r>
    </w:p>
    <w:p w14:paraId="648484D1" w14:textId="77777777" w:rsidR="009949F7" w:rsidRPr="000F572C" w:rsidRDefault="009949F7" w:rsidP="009949F7">
      <w:pPr>
        <w:spacing w:after="0"/>
        <w:jc w:val="both"/>
        <w:rPr>
          <w:rFonts w:ascii="Tahoma" w:hAnsi="Tahoma" w:cs="Tahoma"/>
          <w:bCs/>
          <w:color w:val="000000"/>
          <w:sz w:val="21"/>
          <w:szCs w:val="21"/>
        </w:rPr>
      </w:pPr>
    </w:p>
    <w:p w14:paraId="4AE82682" w14:textId="77777777" w:rsidR="009949F7" w:rsidRPr="000F572C" w:rsidRDefault="009949F7" w:rsidP="009949F7">
      <w:pPr>
        <w:spacing w:after="0"/>
        <w:jc w:val="both"/>
        <w:rPr>
          <w:rFonts w:ascii="Tahoma" w:hAnsi="Tahoma" w:cs="Tahoma"/>
          <w:bCs/>
          <w:color w:val="000000"/>
          <w:sz w:val="21"/>
          <w:szCs w:val="21"/>
        </w:rPr>
      </w:pPr>
      <w:r w:rsidRPr="000F572C">
        <w:rPr>
          <w:rFonts w:ascii="Tahoma" w:hAnsi="Tahoma" w:cs="Tahoma"/>
          <w:b/>
          <w:bCs/>
          <w:color w:val="000000"/>
          <w:sz w:val="21"/>
          <w:szCs w:val="21"/>
        </w:rPr>
        <w:t>Risco de Perdas Patrimoniais:</w:t>
      </w:r>
      <w:r w:rsidRPr="000F572C">
        <w:rPr>
          <w:rFonts w:ascii="Tahoma" w:hAnsi="Tahoma" w:cs="Tahoma"/>
          <w:bCs/>
          <w:color w:val="000000"/>
          <w:sz w:val="21"/>
          <w:szCs w:val="21"/>
        </w:rPr>
        <w:t xml:space="preserve"> Este FUNDO e/ou os Fundos Investidos utilizam estratégias, inclusive com derivativos, que podem resultar em significativas perdas patrimoniais para seus cotistas.</w:t>
      </w:r>
    </w:p>
    <w:p w14:paraId="471A283C" w14:textId="77777777" w:rsidR="009949F7" w:rsidRPr="000F572C" w:rsidRDefault="009949F7" w:rsidP="009949F7">
      <w:pPr>
        <w:spacing w:after="0"/>
        <w:jc w:val="both"/>
        <w:rPr>
          <w:rFonts w:ascii="Tahoma" w:hAnsi="Tahoma" w:cs="Tahoma"/>
          <w:bCs/>
          <w:color w:val="000000"/>
          <w:sz w:val="21"/>
          <w:szCs w:val="21"/>
        </w:rPr>
      </w:pPr>
    </w:p>
    <w:p w14:paraId="51866BEC" w14:textId="77777777" w:rsidR="009949F7" w:rsidRPr="000F572C" w:rsidRDefault="009949F7" w:rsidP="009949F7">
      <w:pPr>
        <w:spacing w:after="0"/>
        <w:jc w:val="both"/>
        <w:rPr>
          <w:rFonts w:ascii="Tahoma" w:hAnsi="Tahoma" w:cs="Tahoma"/>
          <w:sz w:val="21"/>
          <w:szCs w:val="21"/>
        </w:rPr>
      </w:pPr>
      <w:r w:rsidRPr="000F572C">
        <w:rPr>
          <w:rFonts w:ascii="Tahoma" w:hAnsi="Tahoma" w:cs="Tahoma"/>
          <w:b/>
          <w:sz w:val="21"/>
          <w:szCs w:val="21"/>
        </w:rPr>
        <w:t>Risco Decorrente do uso de Derivativos para Proteção:</w:t>
      </w:r>
      <w:r w:rsidRPr="000F572C">
        <w:rPr>
          <w:rFonts w:ascii="Tahoma" w:hAnsi="Tahoma" w:cs="Tahoma"/>
          <w:sz w:val="21"/>
          <w:szCs w:val="21"/>
        </w:rPr>
        <w:t xml:space="preserve"> O GESTOR realizará operações de derivativos para proteção da CARTEIRA, no entanto, em cenários de anormalidade a cota poderá sofrer impactos pois as operações que visam mitigar esse risco podem sofrer com as imperfeições geradas a partir dos cenários de anormalidade.</w:t>
      </w:r>
    </w:p>
    <w:p w14:paraId="2CE72CAE" w14:textId="77777777" w:rsidR="009949F7" w:rsidRPr="000F572C" w:rsidRDefault="009949F7" w:rsidP="009949F7">
      <w:pPr>
        <w:spacing w:after="0"/>
        <w:jc w:val="both"/>
        <w:rPr>
          <w:rFonts w:ascii="Tahoma" w:hAnsi="Tahoma" w:cs="Tahoma"/>
          <w:bCs/>
          <w:color w:val="000000"/>
          <w:sz w:val="21"/>
          <w:szCs w:val="21"/>
        </w:rPr>
      </w:pPr>
    </w:p>
    <w:p w14:paraId="3BA9D0EC" w14:textId="77777777" w:rsidR="009949F7" w:rsidRPr="000F572C" w:rsidRDefault="009949F7" w:rsidP="009949F7">
      <w:pPr>
        <w:spacing w:after="0"/>
        <w:jc w:val="both"/>
        <w:rPr>
          <w:rFonts w:ascii="Tahoma" w:hAnsi="Tahoma" w:cs="Tahoma"/>
          <w:bCs/>
          <w:color w:val="000000"/>
          <w:sz w:val="21"/>
          <w:szCs w:val="21"/>
        </w:rPr>
      </w:pPr>
      <w:r w:rsidRPr="000F572C">
        <w:rPr>
          <w:rFonts w:ascii="Tahoma" w:hAnsi="Tahoma" w:cs="Tahoma"/>
          <w:b/>
          <w:bCs/>
          <w:color w:val="000000"/>
          <w:sz w:val="21"/>
          <w:szCs w:val="21"/>
        </w:rPr>
        <w:t>Risco Decorrente da Precificação dos Ativos Financeiros:</w:t>
      </w:r>
      <w:r w:rsidRPr="000F572C">
        <w:rPr>
          <w:rFonts w:ascii="Tahoma" w:hAnsi="Tahoma" w:cs="Tahoma"/>
          <w:bCs/>
          <w:color w:val="000000"/>
          <w:sz w:val="21"/>
          <w:szCs w:val="21"/>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 A precificação dos Ativos de Infraestrutura investidos pelo FUNDO e/ou pelos Fundos Investidos, em razão da possível iliquidez </w:t>
      </w:r>
      <w:proofErr w:type="gramStart"/>
      <w:r w:rsidRPr="000F572C">
        <w:rPr>
          <w:rFonts w:ascii="Tahoma" w:hAnsi="Tahoma" w:cs="Tahoma"/>
          <w:bCs/>
          <w:color w:val="000000"/>
          <w:sz w:val="21"/>
          <w:szCs w:val="21"/>
        </w:rPr>
        <w:t>dos mesmos</w:t>
      </w:r>
      <w:proofErr w:type="gramEnd"/>
      <w:r w:rsidRPr="000F572C">
        <w:rPr>
          <w:rFonts w:ascii="Tahoma" w:hAnsi="Tahoma" w:cs="Tahoma"/>
          <w:bCs/>
          <w:color w:val="000000"/>
          <w:sz w:val="21"/>
          <w:szCs w:val="21"/>
        </w:rPr>
        <w:t xml:space="preserve">, </w:t>
      </w:r>
      <w:r w:rsidRPr="000F572C">
        <w:rPr>
          <w:rFonts w:ascii="Tahoma" w:hAnsi="Tahoma" w:cs="Tahoma"/>
          <w:bCs/>
          <w:color w:val="000000"/>
          <w:sz w:val="21"/>
          <w:szCs w:val="21"/>
        </w:rPr>
        <w:lastRenderedPageBreak/>
        <w:t>está sujeita aos critérios determinados pelos manuais e critérios do CUSTODIANTE e/ou ADMINISTRADOR, o que pode gerar padrões de oscilação de preços específicos durante o processo de marcação a mercado.</w:t>
      </w:r>
    </w:p>
    <w:p w14:paraId="7CC0D309" w14:textId="77777777" w:rsidR="009949F7" w:rsidRPr="000F572C" w:rsidRDefault="009949F7" w:rsidP="009949F7">
      <w:pPr>
        <w:spacing w:after="0"/>
        <w:jc w:val="both"/>
        <w:rPr>
          <w:rFonts w:ascii="Tahoma" w:hAnsi="Tahoma" w:cs="Tahoma"/>
          <w:bCs/>
          <w:color w:val="000000"/>
          <w:sz w:val="21"/>
          <w:szCs w:val="21"/>
        </w:rPr>
      </w:pPr>
    </w:p>
    <w:p w14:paraId="0C6CF04A" w14:textId="77777777" w:rsidR="009949F7" w:rsidRPr="000F572C" w:rsidRDefault="009949F7" w:rsidP="009949F7">
      <w:pPr>
        <w:spacing w:after="0"/>
        <w:jc w:val="both"/>
        <w:rPr>
          <w:rFonts w:ascii="Tahoma" w:hAnsi="Tahoma" w:cs="Tahoma"/>
          <w:bCs/>
          <w:color w:val="000000"/>
          <w:sz w:val="21"/>
          <w:szCs w:val="21"/>
        </w:rPr>
      </w:pPr>
      <w:r w:rsidRPr="000F572C">
        <w:rPr>
          <w:rFonts w:ascii="Tahoma" w:hAnsi="Tahoma" w:cs="Tahoma"/>
          <w:b/>
          <w:bCs/>
          <w:color w:val="000000"/>
          <w:sz w:val="21"/>
          <w:szCs w:val="21"/>
        </w:rPr>
        <w:t>Risco Regulatório:</w:t>
      </w:r>
      <w:r w:rsidRPr="000F572C">
        <w:rPr>
          <w:rFonts w:ascii="Tahoma" w:hAnsi="Tahoma" w:cs="Tahoma"/>
          <w:bCs/>
          <w:color w:val="000000"/>
          <w:sz w:val="21"/>
          <w:szCs w:val="21"/>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4A4B0FA3" w14:textId="77777777" w:rsidR="009949F7" w:rsidRPr="000F572C" w:rsidRDefault="009949F7" w:rsidP="009949F7">
      <w:pPr>
        <w:spacing w:after="0"/>
        <w:jc w:val="both"/>
        <w:rPr>
          <w:rFonts w:ascii="Tahoma" w:hAnsi="Tahoma" w:cs="Tahoma"/>
          <w:color w:val="000000"/>
          <w:sz w:val="21"/>
          <w:szCs w:val="21"/>
        </w:rPr>
      </w:pPr>
    </w:p>
    <w:p w14:paraId="3CA3C85E"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724A840E" w14:textId="77777777" w:rsidR="009949F7" w:rsidRPr="000F572C" w:rsidRDefault="009949F7" w:rsidP="009949F7">
      <w:pPr>
        <w:spacing w:after="0"/>
        <w:jc w:val="both"/>
        <w:rPr>
          <w:rFonts w:ascii="Tahoma" w:hAnsi="Tahoma" w:cs="Tahoma"/>
          <w:sz w:val="21"/>
          <w:szCs w:val="21"/>
        </w:rPr>
      </w:pPr>
    </w:p>
    <w:p w14:paraId="2FB8F8FC"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6634A49A" w14:textId="77777777" w:rsidR="009949F7" w:rsidRPr="000F572C" w:rsidRDefault="009949F7" w:rsidP="009949F7">
      <w:pPr>
        <w:spacing w:after="0"/>
        <w:jc w:val="both"/>
        <w:rPr>
          <w:rFonts w:ascii="Tahoma" w:hAnsi="Tahoma" w:cs="Tahoma"/>
          <w:sz w:val="21"/>
          <w:szCs w:val="21"/>
        </w:rPr>
      </w:pPr>
    </w:p>
    <w:p w14:paraId="0C9B859C"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45616719" w14:textId="77777777" w:rsidR="009949F7" w:rsidRPr="000F572C" w:rsidRDefault="009949F7" w:rsidP="009949F7">
      <w:pPr>
        <w:spacing w:after="0" w:line="280" w:lineRule="atLeast"/>
        <w:jc w:val="both"/>
        <w:rPr>
          <w:rFonts w:ascii="Tahoma" w:hAnsi="Tahoma"/>
          <w:sz w:val="21"/>
          <w:szCs w:val="21"/>
        </w:rPr>
      </w:pPr>
    </w:p>
    <w:p w14:paraId="44BCF11D"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CLÁUSULA QUINTA – DA TRIBUTAÇÃO</w:t>
      </w:r>
    </w:p>
    <w:p w14:paraId="1F7AC6DF"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p>
    <w:p w14:paraId="442C0A9D" w14:textId="77777777" w:rsidR="009949F7" w:rsidRPr="000F572C" w:rsidRDefault="009949F7" w:rsidP="009949F7">
      <w:pPr>
        <w:spacing w:after="0"/>
        <w:rPr>
          <w:rFonts w:ascii="Tahoma" w:hAnsi="Tahoma" w:cs="Tahoma"/>
          <w:sz w:val="21"/>
          <w:szCs w:val="21"/>
        </w:rPr>
      </w:pPr>
      <w:r w:rsidRPr="000F572C">
        <w:rPr>
          <w:rFonts w:ascii="Tahoma" w:hAnsi="Tahoma" w:cs="Tahoma"/>
          <w:sz w:val="21"/>
          <w:szCs w:val="21"/>
        </w:rPr>
        <w:t>5.1. A tributação aplicável ao FUNDO será a seguinte:</w:t>
      </w:r>
    </w:p>
    <w:p w14:paraId="68A00C50" w14:textId="77777777" w:rsidR="009949F7" w:rsidRPr="000F572C" w:rsidRDefault="009949F7" w:rsidP="009949F7">
      <w:pPr>
        <w:spacing w:after="0"/>
        <w:rPr>
          <w:rFonts w:ascii="Tahoma" w:hAnsi="Tahoma" w:cs="Tahoma"/>
          <w:sz w:val="21"/>
          <w:szCs w:val="21"/>
        </w:rPr>
      </w:pPr>
    </w:p>
    <w:p w14:paraId="5F054CC0" w14:textId="77777777" w:rsidR="009949F7" w:rsidRPr="000F572C" w:rsidRDefault="009949F7" w:rsidP="009949F7">
      <w:pPr>
        <w:spacing w:after="0"/>
        <w:rPr>
          <w:rFonts w:ascii="Tahoma" w:hAnsi="Tahoma" w:cs="Tahoma"/>
          <w:sz w:val="21"/>
          <w:szCs w:val="21"/>
        </w:rPr>
      </w:pPr>
      <w:r w:rsidRPr="000F572C">
        <w:rPr>
          <w:rFonts w:ascii="Tahoma" w:hAnsi="Tahoma" w:cs="Tahoma"/>
          <w:sz w:val="21"/>
          <w:szCs w:val="21"/>
        </w:rPr>
        <w:t>5.1.1. Imposto de Renda (IR): A atual legislação fiscal estabelece que a carteira do FUNDO não está sujeita à incidência de imposto de renda.</w:t>
      </w:r>
    </w:p>
    <w:p w14:paraId="695E4CF8" w14:textId="77777777" w:rsidR="009949F7" w:rsidRPr="000F572C" w:rsidRDefault="009949F7" w:rsidP="009949F7">
      <w:pPr>
        <w:spacing w:after="0"/>
        <w:rPr>
          <w:rFonts w:ascii="Tahoma" w:hAnsi="Tahoma" w:cs="Tahoma"/>
          <w:sz w:val="21"/>
          <w:szCs w:val="21"/>
        </w:rPr>
      </w:pPr>
      <w:r w:rsidRPr="000F572C">
        <w:rPr>
          <w:rFonts w:ascii="Tahoma" w:hAnsi="Tahoma" w:cs="Tahoma"/>
          <w:sz w:val="21"/>
          <w:szCs w:val="21"/>
        </w:rPr>
        <w:t xml:space="preserve"> </w:t>
      </w:r>
    </w:p>
    <w:p w14:paraId="61BBC386" w14:textId="77777777" w:rsidR="009949F7" w:rsidRPr="000F572C" w:rsidRDefault="009949F7" w:rsidP="009949F7">
      <w:pPr>
        <w:spacing w:after="0"/>
        <w:rPr>
          <w:rFonts w:ascii="Tahoma" w:hAnsi="Tahoma" w:cs="Tahoma"/>
          <w:sz w:val="21"/>
          <w:szCs w:val="21"/>
        </w:rPr>
      </w:pPr>
      <w:r w:rsidRPr="000F572C">
        <w:rPr>
          <w:rFonts w:ascii="Tahoma" w:hAnsi="Tahoma" w:cs="Tahoma"/>
          <w:sz w:val="21"/>
          <w:szCs w:val="21"/>
        </w:rPr>
        <w:t>5.1.2. IOF/TVM - A atual legislação fiscal estabelece que os recursos do FUNDO não estão sujeitos à incidência do IOF/Títulos</w:t>
      </w:r>
    </w:p>
    <w:p w14:paraId="7B48C810" w14:textId="77777777" w:rsidR="009949F7" w:rsidRPr="000F572C" w:rsidRDefault="009949F7" w:rsidP="009949F7">
      <w:pPr>
        <w:spacing w:after="0"/>
        <w:rPr>
          <w:rFonts w:ascii="Tahoma" w:hAnsi="Tahoma" w:cs="Tahoma"/>
          <w:sz w:val="21"/>
          <w:szCs w:val="21"/>
        </w:rPr>
      </w:pPr>
    </w:p>
    <w:p w14:paraId="32300C98" w14:textId="77777777" w:rsidR="009949F7" w:rsidRPr="000F572C" w:rsidRDefault="009949F7" w:rsidP="009949F7">
      <w:pPr>
        <w:spacing w:after="0"/>
        <w:rPr>
          <w:rFonts w:ascii="Tahoma" w:hAnsi="Tahoma" w:cs="Tahoma"/>
          <w:sz w:val="21"/>
          <w:szCs w:val="21"/>
        </w:rPr>
      </w:pPr>
      <w:r w:rsidRPr="000F572C">
        <w:rPr>
          <w:rFonts w:ascii="Tahoma" w:hAnsi="Tahoma" w:cs="Tahoma"/>
          <w:sz w:val="21"/>
          <w:szCs w:val="21"/>
        </w:rPr>
        <w:t>5.2. A tributação aplicável aos Cotistas será a seguinte:</w:t>
      </w:r>
    </w:p>
    <w:p w14:paraId="785FE394" w14:textId="77777777" w:rsidR="009949F7" w:rsidRPr="000F572C" w:rsidRDefault="009949F7" w:rsidP="009949F7">
      <w:pPr>
        <w:spacing w:after="0"/>
        <w:rPr>
          <w:rFonts w:ascii="Tahoma" w:hAnsi="Tahoma" w:cs="Tahoma"/>
          <w:sz w:val="21"/>
          <w:szCs w:val="21"/>
        </w:rPr>
      </w:pPr>
    </w:p>
    <w:p w14:paraId="11AAA618"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5.2.1. Imposto de Renda (IR): cobrado às alíquotas de (a) 0%, quando tais rendimentos forem (a.1) pagos, creditados, entregues ou remetidos a Pessoas Residentes no Exterior; e (a.2) auferidos por pessoas físicas residentes no país; e (b) 15%, exclusivamente na Fonte, para pessoas jurídicas com sede no país. Essa tributação é aplicável inclusive às aplicações de titularidade de instituição financeira, agências de fomento, sociedade de seguro, de previdência e de capitalização, CCTVM, DTCM ou sociedade de arrendamento mercantil. Tal condição se aplicará desde o FUNDO detenha, no mínimo, 95% dos seus recursos alocados em Fundos Investidos de Infraestrutura e que estes, por sua vez, cumpram com os seguintes requisitos:</w:t>
      </w:r>
    </w:p>
    <w:p w14:paraId="5AB2ADF9" w14:textId="77777777" w:rsidR="009949F7" w:rsidRPr="000F572C" w:rsidRDefault="009949F7" w:rsidP="009949F7">
      <w:pPr>
        <w:spacing w:after="0"/>
        <w:jc w:val="both"/>
        <w:rPr>
          <w:rFonts w:ascii="Tahoma" w:hAnsi="Tahoma" w:cs="Tahoma"/>
          <w:sz w:val="21"/>
          <w:szCs w:val="21"/>
        </w:rPr>
      </w:pPr>
    </w:p>
    <w:p w14:paraId="13C91FB2" w14:textId="77777777" w:rsidR="009949F7" w:rsidRPr="000F572C" w:rsidRDefault="009949F7" w:rsidP="009949F7">
      <w:pPr>
        <w:pStyle w:val="Corpodetexto3"/>
        <w:widowControl/>
        <w:numPr>
          <w:ilvl w:val="0"/>
          <w:numId w:val="2"/>
        </w:numPr>
        <w:spacing w:line="240" w:lineRule="auto"/>
        <w:rPr>
          <w:rFonts w:ascii="Tahoma" w:hAnsi="Tahoma" w:cs="Tahoma"/>
          <w:b w:val="0"/>
          <w:sz w:val="21"/>
          <w:szCs w:val="21"/>
        </w:rPr>
      </w:pPr>
      <w:r w:rsidRPr="000F572C">
        <w:rPr>
          <w:rFonts w:ascii="Tahoma" w:hAnsi="Tahoma" w:cs="Tahoma"/>
          <w:b w:val="0"/>
          <w:sz w:val="21"/>
          <w:szCs w:val="21"/>
        </w:rPr>
        <w:t>após os primeiros 180</w:t>
      </w:r>
      <w:r>
        <w:rPr>
          <w:rFonts w:ascii="Tahoma" w:hAnsi="Tahoma" w:cs="Tahoma"/>
          <w:b w:val="0"/>
          <w:sz w:val="21"/>
          <w:szCs w:val="21"/>
        </w:rPr>
        <w:t xml:space="preserve"> </w:t>
      </w:r>
      <w:r w:rsidRPr="000F572C">
        <w:rPr>
          <w:rFonts w:ascii="Tahoma" w:hAnsi="Tahoma" w:cs="Tahoma"/>
          <w:b w:val="0"/>
          <w:sz w:val="21"/>
          <w:szCs w:val="21"/>
        </w:rPr>
        <w:t>dias e até o 2º</w:t>
      </w:r>
      <w:r>
        <w:rPr>
          <w:rFonts w:ascii="Tahoma" w:hAnsi="Tahoma" w:cs="Tahoma"/>
          <w:b w:val="0"/>
          <w:sz w:val="21"/>
          <w:szCs w:val="21"/>
        </w:rPr>
        <w:t xml:space="preserve"> </w:t>
      </w:r>
      <w:r w:rsidRPr="000F572C">
        <w:rPr>
          <w:rFonts w:ascii="Tahoma" w:hAnsi="Tahoma" w:cs="Tahoma"/>
          <w:b w:val="0"/>
          <w:sz w:val="21"/>
          <w:szCs w:val="21"/>
        </w:rPr>
        <w:t>ano, ambos os prazos contados da data da primeira integralização de cotas</w:t>
      </w:r>
      <w:r>
        <w:rPr>
          <w:rFonts w:ascii="Tahoma" w:hAnsi="Tahoma" w:cs="Tahoma"/>
          <w:b w:val="0"/>
          <w:sz w:val="21"/>
          <w:szCs w:val="21"/>
        </w:rPr>
        <w:t>,</w:t>
      </w:r>
      <w:r w:rsidRPr="000F572C">
        <w:rPr>
          <w:rFonts w:ascii="Tahoma" w:hAnsi="Tahoma" w:cs="Tahoma"/>
          <w:b w:val="0"/>
          <w:sz w:val="21"/>
          <w:szCs w:val="21"/>
        </w:rPr>
        <w:t xml:space="preserve"> </w:t>
      </w:r>
      <w:r>
        <w:rPr>
          <w:rFonts w:ascii="Tahoma" w:hAnsi="Tahoma" w:cs="Tahoma"/>
          <w:b w:val="0"/>
          <w:sz w:val="21"/>
          <w:szCs w:val="21"/>
        </w:rPr>
        <w:t>os Fundos Investidos deverão investir</w:t>
      </w:r>
      <w:r w:rsidRPr="000F572C">
        <w:rPr>
          <w:rFonts w:ascii="Tahoma" w:hAnsi="Tahoma" w:cs="Tahoma"/>
          <w:b w:val="0"/>
          <w:sz w:val="21"/>
          <w:szCs w:val="21"/>
        </w:rPr>
        <w:t xml:space="preserve">, no mínimo, 67% de seu </w:t>
      </w:r>
      <w:r>
        <w:rPr>
          <w:rFonts w:ascii="Tahoma" w:hAnsi="Tahoma" w:cs="Tahoma"/>
          <w:b w:val="0"/>
          <w:sz w:val="21"/>
          <w:szCs w:val="21"/>
        </w:rPr>
        <w:t>Valor de Referência</w:t>
      </w:r>
      <w:r w:rsidRPr="000F572C">
        <w:rPr>
          <w:rFonts w:ascii="Tahoma" w:hAnsi="Tahoma" w:cs="Tahoma"/>
          <w:b w:val="0"/>
          <w:sz w:val="21"/>
          <w:szCs w:val="21"/>
        </w:rPr>
        <w:t xml:space="preserve"> em Ativos de Infraestrutura.</w:t>
      </w:r>
    </w:p>
    <w:p w14:paraId="25D1BB45" w14:textId="77777777" w:rsidR="009949F7" w:rsidRPr="000F572C" w:rsidRDefault="009949F7" w:rsidP="009949F7">
      <w:pPr>
        <w:pStyle w:val="PargrafodaLista"/>
        <w:numPr>
          <w:ilvl w:val="0"/>
          <w:numId w:val="2"/>
        </w:numPr>
        <w:contextualSpacing w:val="0"/>
        <w:jc w:val="both"/>
        <w:rPr>
          <w:rFonts w:ascii="Tahoma" w:hAnsi="Tahoma" w:cs="Tahoma"/>
          <w:sz w:val="21"/>
          <w:szCs w:val="21"/>
        </w:rPr>
      </w:pPr>
      <w:r w:rsidRPr="000F572C">
        <w:rPr>
          <w:rFonts w:ascii="Tahoma" w:hAnsi="Tahoma" w:cs="Tahoma"/>
          <w:sz w:val="21"/>
          <w:szCs w:val="21"/>
        </w:rPr>
        <w:lastRenderedPageBreak/>
        <w:t>Após o 2</w:t>
      </w:r>
      <w:proofErr w:type="gramStart"/>
      <w:r w:rsidRPr="000F572C">
        <w:rPr>
          <w:rFonts w:ascii="Tahoma" w:hAnsi="Tahoma" w:cs="Tahoma"/>
          <w:sz w:val="21"/>
          <w:szCs w:val="21"/>
        </w:rPr>
        <w:t>º  ano</w:t>
      </w:r>
      <w:proofErr w:type="gramEnd"/>
      <w:r w:rsidRPr="000F572C">
        <w:rPr>
          <w:rFonts w:ascii="Tahoma" w:hAnsi="Tahoma" w:cs="Tahoma"/>
          <w:sz w:val="21"/>
          <w:szCs w:val="21"/>
        </w:rPr>
        <w:t xml:space="preserve"> contado da data da primeira integralização de cotas</w:t>
      </w:r>
      <w:r>
        <w:rPr>
          <w:rFonts w:ascii="Tahoma" w:hAnsi="Tahoma" w:cs="Tahoma"/>
          <w:sz w:val="21"/>
          <w:szCs w:val="21"/>
        </w:rPr>
        <w:t>,</w:t>
      </w:r>
      <w:r w:rsidRPr="000F572C">
        <w:rPr>
          <w:rFonts w:ascii="Tahoma" w:hAnsi="Tahoma" w:cs="Tahoma"/>
          <w:sz w:val="21"/>
          <w:szCs w:val="21"/>
        </w:rPr>
        <w:t xml:space="preserve"> </w:t>
      </w:r>
      <w:r>
        <w:rPr>
          <w:rFonts w:ascii="Tahoma" w:hAnsi="Tahoma" w:cs="Tahoma"/>
          <w:sz w:val="21"/>
          <w:szCs w:val="21"/>
        </w:rPr>
        <w:t>os Fundos Investidos deverão investir</w:t>
      </w:r>
      <w:r w:rsidRPr="000F572C">
        <w:rPr>
          <w:rFonts w:ascii="Tahoma" w:hAnsi="Tahoma" w:cs="Tahoma"/>
          <w:sz w:val="21"/>
          <w:szCs w:val="21"/>
        </w:rPr>
        <w:t xml:space="preserve">, no mínimo, 85% de seu </w:t>
      </w:r>
      <w:r w:rsidRPr="00865648">
        <w:rPr>
          <w:rFonts w:ascii="Tahoma" w:hAnsi="Tahoma" w:cs="Tahoma"/>
          <w:sz w:val="21"/>
          <w:szCs w:val="21"/>
        </w:rPr>
        <w:t xml:space="preserve">Valor de Referência </w:t>
      </w:r>
      <w:r w:rsidRPr="000F572C">
        <w:rPr>
          <w:rFonts w:ascii="Tahoma" w:hAnsi="Tahoma" w:cs="Tahoma"/>
          <w:sz w:val="21"/>
          <w:szCs w:val="21"/>
        </w:rPr>
        <w:t>em Ativos descritos no art. 2º da Lei 12.431/2011.</w:t>
      </w:r>
    </w:p>
    <w:p w14:paraId="7A0A041B" w14:textId="77777777" w:rsidR="009949F7" w:rsidRPr="000F572C" w:rsidRDefault="009949F7" w:rsidP="009949F7">
      <w:pPr>
        <w:spacing w:after="0"/>
        <w:jc w:val="both"/>
        <w:rPr>
          <w:rFonts w:ascii="Tahoma" w:hAnsi="Tahoma" w:cs="Tahoma"/>
          <w:sz w:val="21"/>
          <w:szCs w:val="21"/>
        </w:rPr>
      </w:pPr>
    </w:p>
    <w:p w14:paraId="6D4C68EE" w14:textId="77777777" w:rsidR="009949F7" w:rsidRPr="000F572C" w:rsidRDefault="009949F7" w:rsidP="009949F7">
      <w:pPr>
        <w:pStyle w:val="Corpodetexto3"/>
        <w:rPr>
          <w:rFonts w:ascii="Tahoma" w:hAnsi="Tahoma" w:cs="Tahoma"/>
          <w:b w:val="0"/>
          <w:sz w:val="21"/>
          <w:szCs w:val="21"/>
        </w:rPr>
      </w:pPr>
      <w:r w:rsidRPr="000F572C">
        <w:rPr>
          <w:rFonts w:ascii="Tahoma" w:hAnsi="Tahoma" w:cs="Tahoma"/>
          <w:b w:val="0"/>
          <w:sz w:val="21"/>
          <w:szCs w:val="21"/>
        </w:rPr>
        <w:t>5.2.2. Caso os Fundos Investidos de Infraestrutura descumpram os requisitos elencados acima, não haverá impacto tributário se tal desvio, em um mesmo ano calendário, não ocorra (i) por período superior a 90 dias consecutivos ou alternados, ou (ii) em mais de 3 ocasiões distintas.</w:t>
      </w:r>
    </w:p>
    <w:p w14:paraId="27626CAC" w14:textId="77777777" w:rsidR="009949F7" w:rsidRPr="000F572C" w:rsidRDefault="009949F7" w:rsidP="009949F7">
      <w:pPr>
        <w:pStyle w:val="Corpodetexto3"/>
        <w:rPr>
          <w:rFonts w:ascii="Tahoma" w:hAnsi="Tahoma" w:cs="Tahoma"/>
          <w:b w:val="0"/>
          <w:sz w:val="21"/>
          <w:szCs w:val="21"/>
        </w:rPr>
      </w:pPr>
    </w:p>
    <w:p w14:paraId="05EFBFDB" w14:textId="77777777" w:rsidR="009949F7" w:rsidRPr="000F572C" w:rsidRDefault="009949F7" w:rsidP="009949F7">
      <w:pPr>
        <w:pStyle w:val="Corpodetexto3"/>
        <w:rPr>
          <w:rFonts w:ascii="Tahoma" w:hAnsi="Tahoma" w:cs="Tahoma"/>
          <w:b w:val="0"/>
          <w:sz w:val="21"/>
          <w:szCs w:val="21"/>
        </w:rPr>
      </w:pPr>
      <w:r w:rsidRPr="000F572C">
        <w:rPr>
          <w:rFonts w:ascii="Tahoma" w:hAnsi="Tahoma" w:cs="Tahoma"/>
          <w:b w:val="0"/>
          <w:sz w:val="21"/>
          <w:szCs w:val="21"/>
        </w:rPr>
        <w:t xml:space="preserve">Na hipótese de descumprimento dos requisitos (i) e (ii) acima, além de descumpridas as condições do parágrafo anterior para que fosse mantido o benefício, ocorrerá o DESENQUADRAMENTO. Os rendimentos que venham a ser distribuídos aos cotistas a partir do dia útil imediatamente posterior à data do DESENQUADRAMENTO serão tributados conforme art. 6º da Instrução Normativa 1.585/15: </w:t>
      </w:r>
    </w:p>
    <w:p w14:paraId="599FDEF7" w14:textId="77777777" w:rsidR="009949F7" w:rsidRPr="000F572C" w:rsidRDefault="009949F7" w:rsidP="009949F7">
      <w:pPr>
        <w:pStyle w:val="Corpodetexto3"/>
        <w:rPr>
          <w:rFonts w:ascii="Tahoma" w:hAnsi="Tahoma" w:cs="Tahoma"/>
          <w:b w:val="0"/>
          <w:sz w:val="21"/>
          <w:szCs w:val="21"/>
        </w:rPr>
      </w:pPr>
    </w:p>
    <w:p w14:paraId="6539A296" w14:textId="77777777" w:rsidR="009949F7" w:rsidRPr="000F572C" w:rsidRDefault="009949F7" w:rsidP="009949F7">
      <w:pPr>
        <w:pStyle w:val="Corpodetexto3"/>
        <w:rPr>
          <w:rFonts w:ascii="Tahoma" w:hAnsi="Tahoma" w:cs="Tahoma"/>
          <w:b w:val="0"/>
          <w:sz w:val="21"/>
          <w:szCs w:val="21"/>
        </w:rPr>
      </w:pPr>
      <w:r w:rsidRPr="000F572C">
        <w:rPr>
          <w:rFonts w:ascii="Tahoma" w:hAnsi="Tahoma" w:cs="Tahoma"/>
          <w:b w:val="0"/>
          <w:sz w:val="21"/>
          <w:szCs w:val="21"/>
        </w:rPr>
        <w:t>I - 22,5%, em aplicações com prazo de até 180 dias;</w:t>
      </w:r>
    </w:p>
    <w:p w14:paraId="6F1F542B" w14:textId="77777777" w:rsidR="009949F7" w:rsidRPr="000F572C" w:rsidRDefault="009949F7" w:rsidP="009949F7">
      <w:pPr>
        <w:pStyle w:val="Corpodetexto3"/>
        <w:rPr>
          <w:rFonts w:ascii="Tahoma" w:hAnsi="Tahoma" w:cs="Tahoma"/>
          <w:b w:val="0"/>
          <w:sz w:val="21"/>
          <w:szCs w:val="21"/>
        </w:rPr>
      </w:pPr>
      <w:r w:rsidRPr="000F572C">
        <w:rPr>
          <w:rFonts w:ascii="Tahoma" w:hAnsi="Tahoma" w:cs="Tahoma"/>
          <w:b w:val="0"/>
          <w:sz w:val="21"/>
          <w:szCs w:val="21"/>
        </w:rPr>
        <w:t>II - 20%, em aplicações com prazo de 181 dias até 360 dias;</w:t>
      </w:r>
    </w:p>
    <w:p w14:paraId="1FECE33E" w14:textId="77777777" w:rsidR="009949F7" w:rsidRPr="000F572C" w:rsidRDefault="009949F7" w:rsidP="009949F7">
      <w:pPr>
        <w:pStyle w:val="Corpodetexto3"/>
        <w:rPr>
          <w:rFonts w:ascii="Tahoma" w:hAnsi="Tahoma" w:cs="Tahoma"/>
          <w:b w:val="0"/>
          <w:sz w:val="21"/>
          <w:szCs w:val="21"/>
        </w:rPr>
      </w:pPr>
      <w:r w:rsidRPr="000F572C">
        <w:rPr>
          <w:rFonts w:ascii="Tahoma" w:hAnsi="Tahoma" w:cs="Tahoma"/>
          <w:b w:val="0"/>
          <w:sz w:val="21"/>
          <w:szCs w:val="21"/>
        </w:rPr>
        <w:t>III - 17,5%, em aplicações com prazo de 361 dias até 720 dias;</w:t>
      </w:r>
    </w:p>
    <w:p w14:paraId="5DD69178" w14:textId="77777777" w:rsidR="009949F7" w:rsidRPr="000F572C" w:rsidRDefault="009949F7" w:rsidP="009949F7">
      <w:pPr>
        <w:pStyle w:val="Corpodetexto3"/>
        <w:rPr>
          <w:rFonts w:ascii="Tahoma" w:hAnsi="Tahoma" w:cs="Tahoma"/>
          <w:b w:val="0"/>
          <w:sz w:val="21"/>
          <w:szCs w:val="21"/>
        </w:rPr>
      </w:pPr>
      <w:r w:rsidRPr="000F572C">
        <w:rPr>
          <w:rFonts w:ascii="Tahoma" w:hAnsi="Tahoma" w:cs="Tahoma"/>
          <w:b w:val="0"/>
          <w:sz w:val="21"/>
          <w:szCs w:val="21"/>
        </w:rPr>
        <w:t>IV - 15%</w:t>
      </w:r>
      <w:r>
        <w:rPr>
          <w:rFonts w:ascii="Tahoma" w:hAnsi="Tahoma" w:cs="Tahoma"/>
          <w:b w:val="0"/>
          <w:sz w:val="21"/>
          <w:szCs w:val="21"/>
        </w:rPr>
        <w:t>,</w:t>
      </w:r>
      <w:r w:rsidRPr="000F572C">
        <w:rPr>
          <w:rFonts w:ascii="Tahoma" w:hAnsi="Tahoma" w:cs="Tahoma"/>
          <w:b w:val="0"/>
          <w:sz w:val="21"/>
          <w:szCs w:val="21"/>
        </w:rPr>
        <w:t xml:space="preserve"> em aplicações com prazo acima de 720 dias.</w:t>
      </w:r>
    </w:p>
    <w:p w14:paraId="0B97A188" w14:textId="77777777" w:rsidR="009949F7" w:rsidRPr="000F572C" w:rsidRDefault="009949F7" w:rsidP="009949F7">
      <w:pPr>
        <w:pStyle w:val="Corpodetexto3"/>
        <w:rPr>
          <w:rFonts w:ascii="Tahoma" w:hAnsi="Tahoma" w:cs="Tahoma"/>
          <w:b w:val="0"/>
          <w:sz w:val="21"/>
          <w:szCs w:val="21"/>
        </w:rPr>
      </w:pPr>
    </w:p>
    <w:p w14:paraId="531C9853" w14:textId="77777777" w:rsidR="009949F7" w:rsidRPr="000F572C" w:rsidRDefault="009949F7" w:rsidP="009949F7">
      <w:pPr>
        <w:pStyle w:val="Corpodetexto3"/>
        <w:rPr>
          <w:rFonts w:ascii="Tahoma" w:hAnsi="Tahoma" w:cs="Tahoma"/>
          <w:b w:val="0"/>
          <w:sz w:val="21"/>
          <w:szCs w:val="21"/>
        </w:rPr>
      </w:pPr>
      <w:r w:rsidRPr="000F572C">
        <w:rPr>
          <w:rFonts w:ascii="Tahoma" w:hAnsi="Tahoma" w:cs="Tahoma"/>
          <w:b w:val="0"/>
          <w:sz w:val="21"/>
          <w:szCs w:val="21"/>
        </w:rPr>
        <w:t>5.2.3. Se, após o DESENQUADRAMENTO, os Fundos Investidos de Infraestrutura voltarem a cumprir os requisitos descritos acima, admitir-se-á o retorno ao enquadramento anterior a partir do 1o (primeiro) dia do ano-calendário subsequente, nos termos da Lei 12.431/11.</w:t>
      </w:r>
    </w:p>
    <w:p w14:paraId="0B0C91A8" w14:textId="77777777" w:rsidR="009949F7" w:rsidRPr="000F572C" w:rsidRDefault="009949F7" w:rsidP="009949F7">
      <w:pPr>
        <w:pStyle w:val="Corpodetexto3"/>
        <w:rPr>
          <w:rFonts w:ascii="Tahoma" w:hAnsi="Tahoma" w:cs="Tahoma"/>
          <w:b w:val="0"/>
          <w:sz w:val="21"/>
          <w:szCs w:val="21"/>
        </w:rPr>
      </w:pPr>
    </w:p>
    <w:p w14:paraId="7C3C83EA" w14:textId="77777777" w:rsidR="009949F7" w:rsidRPr="000F572C" w:rsidRDefault="009949F7" w:rsidP="009949F7">
      <w:pPr>
        <w:pStyle w:val="Corpodetexto3"/>
        <w:rPr>
          <w:rFonts w:ascii="Tahoma" w:hAnsi="Tahoma" w:cs="Tahoma"/>
          <w:b w:val="0"/>
          <w:sz w:val="21"/>
          <w:szCs w:val="21"/>
        </w:rPr>
      </w:pPr>
      <w:r w:rsidRPr="000F572C">
        <w:rPr>
          <w:rFonts w:ascii="Tahoma" w:hAnsi="Tahoma" w:cs="Tahoma"/>
          <w:b w:val="0"/>
          <w:sz w:val="21"/>
          <w:szCs w:val="21"/>
        </w:rPr>
        <w:t xml:space="preserve">5.3. O(s) percentual(is) referido(s) acima deve(m) ser cumprido(s) diariamente, com base no </w:t>
      </w:r>
      <w:r>
        <w:rPr>
          <w:rFonts w:ascii="Tahoma" w:hAnsi="Tahoma" w:cs="Tahoma"/>
          <w:b w:val="0"/>
          <w:sz w:val="21"/>
          <w:szCs w:val="21"/>
        </w:rPr>
        <w:t>Valor de Referência</w:t>
      </w:r>
      <w:r w:rsidRPr="000F572C">
        <w:rPr>
          <w:rFonts w:ascii="Tahoma" w:hAnsi="Tahoma" w:cs="Tahoma"/>
          <w:b w:val="0"/>
          <w:sz w:val="21"/>
          <w:szCs w:val="21"/>
        </w:rPr>
        <w:t xml:space="preserve"> do FUNDO e dos Fundos Investidos de Infraestrutura.</w:t>
      </w:r>
    </w:p>
    <w:p w14:paraId="389D9674" w14:textId="77777777" w:rsidR="009949F7" w:rsidRPr="000F572C" w:rsidRDefault="009949F7" w:rsidP="009949F7">
      <w:pPr>
        <w:spacing w:after="0"/>
        <w:rPr>
          <w:rFonts w:ascii="Tahoma" w:hAnsi="Tahoma" w:cs="Tahoma"/>
          <w:sz w:val="21"/>
          <w:szCs w:val="21"/>
        </w:rPr>
      </w:pPr>
    </w:p>
    <w:p w14:paraId="10A1B018"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 xml:space="preserve">5.4. IOF/TVM: para resgates ocorridos nos primeiros 30 dias a contar da data da aplicação, há incidência de IOF conforme Anexo do Decreto 6306/2007. </w:t>
      </w:r>
    </w:p>
    <w:p w14:paraId="25ED34EE" w14:textId="77777777" w:rsidR="009949F7" w:rsidRPr="000F572C" w:rsidRDefault="009949F7" w:rsidP="009949F7">
      <w:pPr>
        <w:spacing w:after="0"/>
        <w:jc w:val="both"/>
        <w:rPr>
          <w:rFonts w:ascii="Tahoma" w:hAnsi="Tahoma" w:cs="Tahoma"/>
          <w:sz w:val="21"/>
          <w:szCs w:val="21"/>
        </w:rPr>
      </w:pPr>
    </w:p>
    <w:p w14:paraId="18144862" w14:textId="77777777" w:rsidR="009949F7" w:rsidRPr="000F572C" w:rsidRDefault="009949F7" w:rsidP="009949F7">
      <w:pPr>
        <w:spacing w:after="0"/>
        <w:jc w:val="both"/>
        <w:rPr>
          <w:rFonts w:ascii="Tahoma" w:hAnsi="Tahoma" w:cs="Tahoma"/>
          <w:sz w:val="21"/>
          <w:szCs w:val="21"/>
        </w:rPr>
      </w:pPr>
      <w:r w:rsidRPr="000F572C">
        <w:rPr>
          <w:rFonts w:ascii="Tahoma" w:hAnsi="Tahoma" w:cs="Tahoma"/>
          <w:sz w:val="21"/>
          <w:szCs w:val="21"/>
        </w:rPr>
        <w:t xml:space="preserve">5.5. O tratamento tributário pode variar conforme a natureza jurídica do cotista ou da operação contratada pelo FUNDO, pela instituição de novos tributos ou alteração das alíquotas vigentes. </w:t>
      </w:r>
    </w:p>
    <w:p w14:paraId="5D299ABC"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p>
    <w:p w14:paraId="202214E9"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CLÁUSULA SEXTA – DA ADMINISTRAÇÃO E DOS PRESTADORES DE SERVIÇOS</w:t>
      </w:r>
    </w:p>
    <w:p w14:paraId="5688F6B9" w14:textId="77777777" w:rsidR="009949F7" w:rsidRPr="000F572C" w:rsidRDefault="009949F7" w:rsidP="009949F7">
      <w:pPr>
        <w:spacing w:after="0" w:line="280" w:lineRule="atLeast"/>
        <w:jc w:val="both"/>
        <w:rPr>
          <w:rFonts w:ascii="Tahoma" w:hAnsi="Tahoma"/>
          <w:sz w:val="21"/>
          <w:szCs w:val="21"/>
        </w:rPr>
      </w:pPr>
    </w:p>
    <w:p w14:paraId="5F6E0D5E" w14:textId="77777777" w:rsidR="009949F7" w:rsidRPr="000F572C" w:rsidRDefault="009949F7" w:rsidP="009949F7">
      <w:pPr>
        <w:spacing w:after="0"/>
        <w:jc w:val="both"/>
        <w:rPr>
          <w:rFonts w:ascii="Tahoma" w:hAnsi="Tahoma"/>
          <w:sz w:val="21"/>
          <w:szCs w:val="21"/>
        </w:rPr>
      </w:pPr>
      <w:r w:rsidRPr="000F572C">
        <w:rPr>
          <w:rFonts w:ascii="Tahoma" w:hAnsi="Tahoma"/>
          <w:sz w:val="21"/>
          <w:szCs w:val="21"/>
        </w:rPr>
        <w:t xml:space="preserve">6.1. O FUNDO é administrado pela </w:t>
      </w:r>
      <w:r w:rsidRPr="000F572C">
        <w:rPr>
          <w:rFonts w:ascii="Tahoma" w:hAnsi="Tahoma"/>
          <w:b/>
          <w:bCs/>
          <w:sz w:val="21"/>
          <w:szCs w:val="21"/>
        </w:rPr>
        <w:t>SANTANDER DISTRIBUIDORA DE TÍTULOS E VALORES MOBILIÁRIOS S.A</w:t>
      </w:r>
      <w:r w:rsidRPr="000F572C">
        <w:rPr>
          <w:rFonts w:ascii="Tahoma" w:hAnsi="Tahoma"/>
          <w:sz w:val="21"/>
          <w:szCs w:val="21"/>
        </w:rPr>
        <w:t>., com sede na Rua João Brícola, 24 – 16º e 17º andares – Centro Histórico, São Paulo/SP, inscrita no CNPJ sob nº 03.502.968/0001-04 e credenciada na CVM para a administração de carteiras conforme Ato Declaratório CVM nº 20006, de 28/07/2022 (“ADMINISTRADOR”).</w:t>
      </w:r>
    </w:p>
    <w:p w14:paraId="1C03BA26" w14:textId="77777777" w:rsidR="009949F7" w:rsidRPr="000F572C" w:rsidRDefault="009949F7" w:rsidP="009949F7">
      <w:pPr>
        <w:spacing w:after="0"/>
        <w:jc w:val="both"/>
        <w:rPr>
          <w:rFonts w:ascii="Tahoma" w:hAnsi="Tahoma"/>
          <w:sz w:val="21"/>
          <w:szCs w:val="21"/>
        </w:rPr>
      </w:pPr>
    </w:p>
    <w:p w14:paraId="560905F7"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6.2. O FUNDO é gerido pela </w:t>
      </w:r>
      <w:r w:rsidRPr="000F572C">
        <w:rPr>
          <w:rFonts w:ascii="Tahoma" w:hAnsi="Tahoma"/>
          <w:b/>
          <w:sz w:val="21"/>
          <w:szCs w:val="21"/>
        </w:rPr>
        <w:t>SANTANDER BRASIL GESTÃO DE RECURSOS LTDA.</w:t>
      </w:r>
      <w:r w:rsidRPr="000F572C">
        <w:rPr>
          <w:rFonts w:ascii="Tahoma" w:hAnsi="Tahoma"/>
          <w:sz w:val="21"/>
          <w:szCs w:val="21"/>
        </w:rPr>
        <w:t>, com sede na Avenida Presidente Juscelino Kubitscheck, 2.041 e 2.235 – Bloco A, 18º Andar, CEP: 04543-011 – Vila Olímpia – São Paulo – SP, inscrita no CNPJ sob nº 10.231.177/0001-52 e credenciada na CVM para a administração de carteiras conforme Ato Declaratório CVM nº 10.161, de 11/12/2008 (“GESTOR”).</w:t>
      </w:r>
    </w:p>
    <w:p w14:paraId="3336BD7B" w14:textId="77777777" w:rsidR="009949F7" w:rsidRPr="000F572C" w:rsidRDefault="009949F7" w:rsidP="009949F7">
      <w:pPr>
        <w:spacing w:after="0" w:line="280" w:lineRule="atLeast"/>
        <w:jc w:val="both"/>
        <w:rPr>
          <w:rFonts w:ascii="Tahoma" w:hAnsi="Tahoma"/>
          <w:sz w:val="21"/>
          <w:szCs w:val="21"/>
        </w:rPr>
      </w:pPr>
    </w:p>
    <w:p w14:paraId="560FEEF9"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6.3. Os serviços de custódia, tesouraria, controladoria e processamento dos Ativos Financeiros</w:t>
      </w:r>
      <w:r w:rsidRPr="000F572C" w:rsidDel="00FA248C">
        <w:rPr>
          <w:rFonts w:ascii="Tahoma" w:hAnsi="Tahoma"/>
          <w:sz w:val="21"/>
          <w:szCs w:val="21"/>
        </w:rPr>
        <w:t xml:space="preserve"> </w:t>
      </w:r>
      <w:r w:rsidRPr="000F572C">
        <w:rPr>
          <w:rFonts w:ascii="Tahoma" w:hAnsi="Tahoma"/>
          <w:sz w:val="21"/>
          <w:szCs w:val="21"/>
        </w:rPr>
        <w:t xml:space="preserve">integrantes da Carteira do FUNDO serão realizados pela </w:t>
      </w:r>
      <w:r>
        <w:rPr>
          <w:rFonts w:ascii="Tahoma" w:hAnsi="Tahoma" w:cs="Tahoma"/>
          <w:b/>
          <w:sz w:val="21"/>
          <w:szCs w:val="21"/>
        </w:rPr>
        <w:t>S3</w:t>
      </w:r>
      <w:r w:rsidRPr="000F572C">
        <w:rPr>
          <w:rFonts w:ascii="Tahoma" w:hAnsi="Tahoma" w:cs="Tahoma"/>
          <w:b/>
          <w:sz w:val="21"/>
          <w:szCs w:val="21"/>
        </w:rPr>
        <w:t xml:space="preserve"> CACEIS BRASIL DISTRIBUIDORA DE TÍTULOS E VALORES MOBILIÁRIOS S.A.</w:t>
      </w:r>
      <w:r w:rsidRPr="000F572C">
        <w:rPr>
          <w:rFonts w:ascii="Tahoma" w:hAnsi="Tahoma" w:cs="Tahoma"/>
          <w:sz w:val="21"/>
          <w:szCs w:val="21"/>
        </w:rPr>
        <w:t>, localizado na Rua Amador Bueno, nº 474, 1º andar, Bloco D, Santo Amaro, São Paulo/SP</w:t>
      </w:r>
      <w:r w:rsidRPr="000F572C">
        <w:rPr>
          <w:rFonts w:ascii="Tahoma" w:hAnsi="Tahoma"/>
          <w:sz w:val="21"/>
          <w:szCs w:val="21"/>
        </w:rPr>
        <w:t>, inscrita no CNPJ nº 62.318.407/0001-19, e credenciado na CVM para exercer a custódia de valores mobiliários conforme Ato Declaratório CVM nº 12.676, de 07/11/2012 (“CUSTODIANTE”).</w:t>
      </w:r>
    </w:p>
    <w:p w14:paraId="3C4FB7C0"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6.4. As informações sobre os prestadores de serviços de distribuição das cotas do FUNDO e de controladoria e processamento do passivo do FUNDO (escrituração de cotas) ficarão disponíveis para consulta, no site da CVM. </w:t>
      </w:r>
    </w:p>
    <w:p w14:paraId="59490CCD" w14:textId="77777777" w:rsidR="009949F7" w:rsidRPr="000F572C" w:rsidRDefault="009949F7" w:rsidP="009949F7">
      <w:pPr>
        <w:spacing w:after="0" w:line="280" w:lineRule="atLeast"/>
        <w:jc w:val="both"/>
        <w:rPr>
          <w:rFonts w:ascii="Tahoma" w:hAnsi="Tahoma"/>
          <w:sz w:val="21"/>
          <w:szCs w:val="21"/>
        </w:rPr>
      </w:pPr>
    </w:p>
    <w:p w14:paraId="627CFC52"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lastRenderedPageBreak/>
        <w:t xml:space="preserve">6.5. O ADMINISTRADOR poderá contratar terceiros, em nome do FUNDO, para prestação de demais serviços, tais como consultoria e classificação de risco. </w:t>
      </w:r>
    </w:p>
    <w:p w14:paraId="6FE8CC8C" w14:textId="77777777" w:rsidR="009949F7" w:rsidRPr="000F572C" w:rsidRDefault="009949F7" w:rsidP="009949F7">
      <w:pPr>
        <w:spacing w:after="0" w:line="280" w:lineRule="atLeast"/>
        <w:jc w:val="both"/>
        <w:rPr>
          <w:rFonts w:ascii="Tahoma" w:hAnsi="Tahoma"/>
          <w:sz w:val="21"/>
          <w:szCs w:val="21"/>
        </w:rPr>
      </w:pPr>
    </w:p>
    <w:p w14:paraId="50FC133D"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CLÁUSULA SÉTIMA – DA REMUNERAÇÃO E DEMAIS ENCARGOS</w:t>
      </w:r>
    </w:p>
    <w:p w14:paraId="717AF914" w14:textId="77777777" w:rsidR="009949F7" w:rsidRPr="000F572C" w:rsidRDefault="009949F7" w:rsidP="009949F7">
      <w:pPr>
        <w:spacing w:after="0" w:line="280" w:lineRule="atLeast"/>
        <w:jc w:val="both"/>
        <w:rPr>
          <w:rFonts w:ascii="Tahoma" w:hAnsi="Tahoma"/>
          <w:sz w:val="21"/>
          <w:szCs w:val="21"/>
        </w:rPr>
      </w:pPr>
    </w:p>
    <w:p w14:paraId="15B26004"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7.1.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771A34B8" w14:textId="77777777" w:rsidR="009949F7" w:rsidRPr="000F572C" w:rsidRDefault="009949F7" w:rsidP="009949F7">
      <w:pPr>
        <w:spacing w:after="0" w:line="280" w:lineRule="atLeast"/>
        <w:jc w:val="both"/>
        <w:rPr>
          <w:rFonts w:ascii="Tahoma" w:hAnsi="Tahoma"/>
          <w:sz w:val="21"/>
          <w:szCs w:val="21"/>
        </w:rPr>
      </w:pPr>
    </w:p>
    <w:p w14:paraId="43656AAF"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b/>
          <w:sz w:val="21"/>
          <w:szCs w:val="21"/>
        </w:rPr>
        <w:t>Taxa de Administração Mínima</w:t>
      </w:r>
      <w:r w:rsidRPr="000F572C">
        <w:rPr>
          <w:rFonts w:ascii="Tahoma" w:hAnsi="Tahoma"/>
          <w:sz w:val="21"/>
          <w:szCs w:val="21"/>
        </w:rPr>
        <w:t>: 1,00% ao ano sobre o valor do patrimônio líquido do FUNDO.</w:t>
      </w:r>
    </w:p>
    <w:p w14:paraId="24BA8E86" w14:textId="77777777" w:rsidR="009949F7" w:rsidRPr="000F572C" w:rsidRDefault="009949F7" w:rsidP="009949F7">
      <w:pPr>
        <w:spacing w:after="0" w:line="280" w:lineRule="atLeast"/>
        <w:jc w:val="both"/>
        <w:rPr>
          <w:rFonts w:ascii="Tahoma" w:hAnsi="Tahoma"/>
          <w:sz w:val="21"/>
          <w:szCs w:val="21"/>
        </w:rPr>
      </w:pPr>
    </w:p>
    <w:p w14:paraId="23FA6114"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b/>
          <w:bCs/>
          <w:sz w:val="21"/>
          <w:szCs w:val="21"/>
        </w:rPr>
        <w:t>Taxa de Administração Máxima</w:t>
      </w:r>
      <w:r w:rsidRPr="000F572C">
        <w:rPr>
          <w:rFonts w:ascii="Tahoma" w:hAnsi="Tahoma"/>
          <w:sz w:val="21"/>
          <w:szCs w:val="21"/>
        </w:rPr>
        <w:t>:</w:t>
      </w:r>
      <w:r w:rsidRPr="000F572C" w:rsidDel="00B03ECA">
        <w:rPr>
          <w:rFonts w:ascii="Tahoma" w:hAnsi="Tahoma"/>
          <w:sz w:val="21"/>
          <w:szCs w:val="21"/>
        </w:rPr>
        <w:t xml:space="preserve"> </w:t>
      </w:r>
      <w:r w:rsidRPr="000F572C">
        <w:rPr>
          <w:rFonts w:ascii="Tahoma" w:hAnsi="Tahoma"/>
          <w:sz w:val="21"/>
          <w:szCs w:val="21"/>
        </w:rPr>
        <w:t>O FUNDO poderá aplicar seus recursos em fundos de investimento que cobram taxa de administração. Nesse caso, a remuneração indicada acima compreende</w:t>
      </w:r>
      <w:r w:rsidRPr="000F572C">
        <w:rPr>
          <w:sz w:val="21"/>
          <w:szCs w:val="21"/>
        </w:rPr>
        <w:t xml:space="preserve"> </w:t>
      </w:r>
      <w:r w:rsidRPr="000F572C">
        <w:rPr>
          <w:rFonts w:ascii="Tahoma" w:eastAsia="Arial Unicode MS" w:hAnsi="Tahoma" w:cs="Tahoma"/>
          <w:sz w:val="21"/>
          <w:szCs w:val="21"/>
        </w:rPr>
        <w:t xml:space="preserve">as taxas de administração dos fundos de investimento nos quais o FUNDO aplica, </w:t>
      </w:r>
      <w:r w:rsidRPr="000F572C">
        <w:rPr>
          <w:rFonts w:ascii="Tahoma" w:hAnsi="Tahoma"/>
          <w:sz w:val="21"/>
          <w:szCs w:val="21"/>
        </w:rPr>
        <w:t xml:space="preserve">observado o disposto no item 6.1.1. abaixo.  </w:t>
      </w:r>
    </w:p>
    <w:p w14:paraId="576B1129" w14:textId="77777777" w:rsidR="009949F7" w:rsidRPr="000F572C" w:rsidRDefault="009949F7" w:rsidP="009949F7">
      <w:pPr>
        <w:spacing w:after="0" w:line="280" w:lineRule="atLeast"/>
        <w:jc w:val="both"/>
        <w:rPr>
          <w:rFonts w:ascii="Tahoma" w:hAnsi="Tahoma"/>
          <w:sz w:val="21"/>
          <w:szCs w:val="21"/>
        </w:rPr>
      </w:pPr>
    </w:p>
    <w:p w14:paraId="417E2404"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7.1.1. Na hipótese do FUNDO aplicar nos fundos indicados abaixo, a taxa de administração de referidos fundos de investimento não será considerada para os efeitos de Taxa de Administração Máxima acima mencionada: </w:t>
      </w:r>
    </w:p>
    <w:p w14:paraId="1F388A4B" w14:textId="77777777" w:rsidR="009949F7" w:rsidRPr="000F572C" w:rsidRDefault="009949F7" w:rsidP="009949F7">
      <w:pPr>
        <w:spacing w:after="0" w:line="280" w:lineRule="atLeast"/>
        <w:jc w:val="both"/>
        <w:rPr>
          <w:rFonts w:ascii="Tahoma" w:hAnsi="Tahoma"/>
          <w:sz w:val="21"/>
          <w:szCs w:val="21"/>
        </w:rPr>
      </w:pPr>
    </w:p>
    <w:p w14:paraId="571E14BE"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I – </w:t>
      </w:r>
      <w:proofErr w:type="gramStart"/>
      <w:r w:rsidRPr="000F572C">
        <w:rPr>
          <w:rFonts w:ascii="Tahoma" w:hAnsi="Tahoma"/>
          <w:sz w:val="21"/>
          <w:szCs w:val="21"/>
        </w:rPr>
        <w:t>fundos</w:t>
      </w:r>
      <w:proofErr w:type="gramEnd"/>
      <w:r w:rsidRPr="000F572C">
        <w:rPr>
          <w:rFonts w:ascii="Tahoma" w:hAnsi="Tahoma"/>
          <w:sz w:val="21"/>
          <w:szCs w:val="21"/>
        </w:rPr>
        <w:t xml:space="preserve"> de índice e fundos de investimento imobiliário cujas cotas sejam admitidas à negociação em mercados organizados; ou</w:t>
      </w:r>
    </w:p>
    <w:p w14:paraId="380EB163" w14:textId="77777777" w:rsidR="009949F7" w:rsidRPr="000F572C" w:rsidRDefault="009949F7" w:rsidP="009949F7">
      <w:pPr>
        <w:spacing w:after="0" w:line="280" w:lineRule="atLeast"/>
        <w:jc w:val="both"/>
        <w:rPr>
          <w:rFonts w:ascii="Tahoma" w:hAnsi="Tahoma"/>
          <w:sz w:val="21"/>
          <w:szCs w:val="21"/>
        </w:rPr>
      </w:pPr>
    </w:p>
    <w:p w14:paraId="26B8002D"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II – </w:t>
      </w:r>
      <w:proofErr w:type="gramStart"/>
      <w:r w:rsidRPr="000F572C">
        <w:rPr>
          <w:rFonts w:ascii="Tahoma" w:hAnsi="Tahoma"/>
          <w:sz w:val="21"/>
          <w:szCs w:val="21"/>
        </w:rPr>
        <w:t>fundos</w:t>
      </w:r>
      <w:proofErr w:type="gramEnd"/>
      <w:r w:rsidRPr="000F572C">
        <w:rPr>
          <w:rFonts w:ascii="Tahoma" w:hAnsi="Tahoma"/>
          <w:sz w:val="21"/>
          <w:szCs w:val="21"/>
        </w:rPr>
        <w:t xml:space="preserve"> de investimento geridos por terceiros que não o GESTOR.</w:t>
      </w:r>
    </w:p>
    <w:p w14:paraId="7BEB96AF" w14:textId="77777777" w:rsidR="009949F7" w:rsidRPr="000F572C" w:rsidRDefault="009949F7" w:rsidP="009949F7">
      <w:pPr>
        <w:spacing w:after="0" w:line="280" w:lineRule="atLeast"/>
        <w:jc w:val="both"/>
        <w:rPr>
          <w:rFonts w:ascii="Tahoma" w:hAnsi="Tahoma"/>
          <w:sz w:val="21"/>
          <w:szCs w:val="21"/>
        </w:rPr>
      </w:pPr>
    </w:p>
    <w:p w14:paraId="1800BDB3"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7.1.2. A Taxa de Administração Mínima será calculada e provisionada por dia útil sobre o valor do patrimônio líquido do FUNDO do dia útil imediatamente anterior, mediante divisão da taxa anual por 252</w:t>
      </w:r>
      <w:r>
        <w:rPr>
          <w:rFonts w:ascii="Tahoma" w:hAnsi="Tahoma"/>
          <w:sz w:val="21"/>
          <w:szCs w:val="21"/>
        </w:rPr>
        <w:t xml:space="preserve"> </w:t>
      </w:r>
      <w:r w:rsidRPr="000F572C">
        <w:rPr>
          <w:rFonts w:ascii="Tahoma" w:hAnsi="Tahoma"/>
          <w:sz w:val="21"/>
          <w:szCs w:val="21"/>
        </w:rPr>
        <w:t>dias, sendo paga mensalmente, até o 5º</w:t>
      </w:r>
      <w:r>
        <w:rPr>
          <w:rFonts w:ascii="Tahoma" w:hAnsi="Tahoma"/>
          <w:sz w:val="21"/>
          <w:szCs w:val="21"/>
        </w:rPr>
        <w:t xml:space="preserve"> </w:t>
      </w:r>
      <w:r w:rsidRPr="000F572C">
        <w:rPr>
          <w:rFonts w:ascii="Tahoma" w:hAnsi="Tahoma"/>
          <w:sz w:val="21"/>
          <w:szCs w:val="21"/>
        </w:rPr>
        <w:t>dia útil do mês subsequente.</w:t>
      </w:r>
    </w:p>
    <w:p w14:paraId="6F7A34E5" w14:textId="77777777" w:rsidR="009949F7" w:rsidRPr="000F572C" w:rsidRDefault="009949F7" w:rsidP="009949F7">
      <w:pPr>
        <w:spacing w:after="0" w:line="280" w:lineRule="atLeast"/>
        <w:jc w:val="both"/>
        <w:rPr>
          <w:rFonts w:ascii="Tahoma" w:hAnsi="Tahoma"/>
          <w:sz w:val="21"/>
          <w:szCs w:val="21"/>
        </w:rPr>
      </w:pPr>
    </w:p>
    <w:p w14:paraId="3E4C3039"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7.1.3. O FUNDO poderá aplicar seus recursos em fundos de investimento que cobrem taxa de performance, ingresso e saída.</w:t>
      </w:r>
    </w:p>
    <w:p w14:paraId="0BE2DE71" w14:textId="77777777" w:rsidR="009949F7" w:rsidRPr="000F572C" w:rsidRDefault="009949F7" w:rsidP="009949F7">
      <w:pPr>
        <w:spacing w:after="0" w:line="280" w:lineRule="atLeast"/>
        <w:jc w:val="both"/>
        <w:rPr>
          <w:rFonts w:ascii="Tahoma" w:hAnsi="Tahoma"/>
          <w:sz w:val="21"/>
          <w:szCs w:val="21"/>
        </w:rPr>
      </w:pPr>
    </w:p>
    <w:p w14:paraId="197C3F76"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7.2. Não haverá cobrança de taxa de performance e taxa de custódia no FUNDO.</w:t>
      </w:r>
    </w:p>
    <w:p w14:paraId="4E9B645D" w14:textId="77777777" w:rsidR="009949F7" w:rsidRPr="000F572C" w:rsidRDefault="009949F7" w:rsidP="009949F7">
      <w:pPr>
        <w:spacing w:after="0" w:line="280" w:lineRule="atLeast"/>
        <w:jc w:val="both"/>
        <w:rPr>
          <w:rFonts w:ascii="Tahoma" w:hAnsi="Tahoma"/>
          <w:sz w:val="21"/>
          <w:szCs w:val="21"/>
        </w:rPr>
      </w:pPr>
    </w:p>
    <w:p w14:paraId="3A661D1A"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7.3. Não será cobrada dos </w:t>
      </w:r>
      <w:proofErr w:type="gramStart"/>
      <w:r w:rsidRPr="000F572C">
        <w:rPr>
          <w:rFonts w:ascii="Tahoma" w:hAnsi="Tahoma"/>
          <w:sz w:val="21"/>
          <w:szCs w:val="21"/>
        </w:rPr>
        <w:t>Cotistas taxa</w:t>
      </w:r>
      <w:proofErr w:type="gramEnd"/>
      <w:r w:rsidRPr="000F572C">
        <w:rPr>
          <w:rFonts w:ascii="Tahoma" w:hAnsi="Tahoma"/>
          <w:sz w:val="21"/>
          <w:szCs w:val="21"/>
        </w:rPr>
        <w:t xml:space="preserve"> de ingresso e de saída quando da realização de aplicação e resgate no FUNDO, respectivamente.</w:t>
      </w:r>
    </w:p>
    <w:p w14:paraId="7A7735B3" w14:textId="77777777" w:rsidR="009949F7" w:rsidRPr="000F572C" w:rsidRDefault="009949F7" w:rsidP="009949F7">
      <w:pPr>
        <w:spacing w:after="0" w:line="280" w:lineRule="atLeast"/>
        <w:jc w:val="both"/>
        <w:rPr>
          <w:rFonts w:ascii="Tahoma" w:hAnsi="Tahoma"/>
          <w:sz w:val="21"/>
          <w:szCs w:val="21"/>
        </w:rPr>
      </w:pPr>
    </w:p>
    <w:p w14:paraId="4A540A44"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7.4.</w:t>
      </w:r>
      <w:r w:rsidRPr="000F572C">
        <w:rPr>
          <w:rFonts w:ascii="Tahoma" w:hAnsi="Tahoma"/>
          <w:sz w:val="21"/>
          <w:szCs w:val="21"/>
        </w:rPr>
        <w:tab/>
        <w:t>Além das Taxas de Administração e da Taxa de Performance, se houver, constituirão encargos que poderão ser debitados diretamente do FUNDO as seguintes despesas:</w:t>
      </w:r>
    </w:p>
    <w:p w14:paraId="151A9E75" w14:textId="77777777" w:rsidR="009949F7" w:rsidRPr="000F572C" w:rsidRDefault="009949F7" w:rsidP="009949F7">
      <w:pPr>
        <w:spacing w:after="0" w:line="280" w:lineRule="atLeast"/>
        <w:jc w:val="both"/>
        <w:rPr>
          <w:rFonts w:ascii="Tahoma" w:hAnsi="Tahoma"/>
          <w:sz w:val="21"/>
          <w:szCs w:val="21"/>
        </w:rPr>
      </w:pPr>
    </w:p>
    <w:p w14:paraId="393DBA7B"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 xml:space="preserve">(i) taxas, impostos ou contribuições federais, estaduais, municipais ou autárquicas, que recaiam ou venham a recair sobre os bens, direitos e obrigações do FUNDO; </w:t>
      </w:r>
    </w:p>
    <w:p w14:paraId="1027E192" w14:textId="77777777" w:rsidR="009949F7" w:rsidRPr="000F572C" w:rsidRDefault="009949F7" w:rsidP="009949F7">
      <w:pPr>
        <w:pStyle w:val="NormalWeb"/>
        <w:spacing w:before="0" w:after="0" w:line="280" w:lineRule="atLeast"/>
        <w:jc w:val="both"/>
        <w:rPr>
          <w:rFonts w:ascii="Tahoma" w:hAnsi="Tahoma"/>
          <w:sz w:val="21"/>
          <w:szCs w:val="21"/>
          <w:highlight w:val="yellow"/>
        </w:rPr>
      </w:pPr>
    </w:p>
    <w:p w14:paraId="65054C31"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 xml:space="preserve">(ii) despesas com o registro de documentos em cartório, impressão, expedição e publicação de relatórios e informações periódicas previstas na regulamentação em vigor; </w:t>
      </w:r>
    </w:p>
    <w:p w14:paraId="1748EFCF" w14:textId="77777777" w:rsidR="009949F7" w:rsidRPr="000F572C" w:rsidRDefault="009949F7" w:rsidP="009949F7">
      <w:pPr>
        <w:pStyle w:val="NormalWeb"/>
        <w:spacing w:before="0" w:after="0" w:line="280" w:lineRule="atLeast"/>
        <w:jc w:val="both"/>
        <w:rPr>
          <w:rFonts w:ascii="Tahoma" w:hAnsi="Tahoma"/>
          <w:sz w:val="21"/>
          <w:szCs w:val="21"/>
          <w:highlight w:val="yellow"/>
        </w:rPr>
      </w:pPr>
    </w:p>
    <w:p w14:paraId="6424A347"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 xml:space="preserve">(iii) despesas com correspondência de interesse do FUNDO, inclusive comunicações aos Cotistas; </w:t>
      </w:r>
    </w:p>
    <w:p w14:paraId="6C98B4C8" w14:textId="77777777" w:rsidR="009949F7" w:rsidRPr="000F572C" w:rsidRDefault="009949F7" w:rsidP="009949F7">
      <w:pPr>
        <w:pStyle w:val="NormalWeb"/>
        <w:spacing w:before="0" w:after="0" w:line="280" w:lineRule="atLeast"/>
        <w:jc w:val="both"/>
        <w:rPr>
          <w:rFonts w:ascii="Tahoma" w:hAnsi="Tahoma"/>
          <w:sz w:val="21"/>
          <w:szCs w:val="21"/>
          <w:highlight w:val="yellow"/>
        </w:rPr>
      </w:pPr>
    </w:p>
    <w:p w14:paraId="395C3C44"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w:t>
      </w:r>
      <w:proofErr w:type="spellStart"/>
      <w:r w:rsidRPr="000F572C">
        <w:rPr>
          <w:rFonts w:ascii="Tahoma" w:hAnsi="Tahoma"/>
          <w:sz w:val="21"/>
          <w:szCs w:val="21"/>
        </w:rPr>
        <w:t>iv</w:t>
      </w:r>
      <w:proofErr w:type="spellEnd"/>
      <w:r w:rsidRPr="000F572C">
        <w:rPr>
          <w:rFonts w:ascii="Tahoma" w:hAnsi="Tahoma"/>
          <w:sz w:val="21"/>
          <w:szCs w:val="21"/>
        </w:rPr>
        <w:t>) honorários e despesas do auditor independente;</w:t>
      </w:r>
    </w:p>
    <w:p w14:paraId="2280CDDA"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 xml:space="preserve">(v) emolumentos e comissões pagas por operações do FUNDO; </w:t>
      </w:r>
    </w:p>
    <w:p w14:paraId="4265F32B"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 xml:space="preserve">(vi) honorários de advogado, custas e despesas processuais correlatas, incorridas em razão de defesa dos interesses do FUNDO, em juízo ou fora dele, inclusive o valor da condenação imputada ao FUNDO, se for o caso; </w:t>
      </w:r>
    </w:p>
    <w:p w14:paraId="5C2EA3B1" w14:textId="77777777" w:rsidR="009949F7" w:rsidRPr="000F572C" w:rsidRDefault="009949F7" w:rsidP="009949F7">
      <w:pPr>
        <w:pStyle w:val="NormalWeb"/>
        <w:spacing w:before="0" w:after="0" w:line="280" w:lineRule="atLeast"/>
        <w:jc w:val="both"/>
        <w:rPr>
          <w:rFonts w:ascii="Tahoma" w:hAnsi="Tahoma"/>
          <w:sz w:val="21"/>
          <w:szCs w:val="21"/>
          <w:highlight w:val="yellow"/>
        </w:rPr>
      </w:pPr>
    </w:p>
    <w:p w14:paraId="044AACCC"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w:t>
      </w:r>
      <w:proofErr w:type="spellStart"/>
      <w:r w:rsidRPr="000F572C">
        <w:rPr>
          <w:rFonts w:ascii="Tahoma" w:hAnsi="Tahoma"/>
          <w:sz w:val="21"/>
          <w:szCs w:val="21"/>
        </w:rPr>
        <w:t>vii</w:t>
      </w:r>
      <w:proofErr w:type="spellEnd"/>
      <w:r w:rsidRPr="000F572C">
        <w:rPr>
          <w:rFonts w:ascii="Tahoma" w:hAnsi="Tahoma"/>
          <w:sz w:val="21"/>
          <w:szCs w:val="21"/>
        </w:rPr>
        <w:t xml:space="preserve">) parcela de prejuízos não coberta por apólices de seguro e não decorrente diretamente de culpa ou dolo dos prestadores dos serviços de administração no exercício de suas respectivas funções; </w:t>
      </w:r>
    </w:p>
    <w:p w14:paraId="3FD3CC60" w14:textId="77777777" w:rsidR="009949F7" w:rsidRPr="000F572C" w:rsidRDefault="009949F7" w:rsidP="009949F7">
      <w:pPr>
        <w:pStyle w:val="NormalWeb"/>
        <w:spacing w:before="0" w:after="0" w:line="280" w:lineRule="atLeast"/>
        <w:jc w:val="both"/>
        <w:rPr>
          <w:rFonts w:ascii="Tahoma" w:hAnsi="Tahoma"/>
          <w:sz w:val="21"/>
          <w:szCs w:val="21"/>
          <w:highlight w:val="yellow"/>
        </w:rPr>
      </w:pPr>
    </w:p>
    <w:p w14:paraId="3B54568B"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w:t>
      </w:r>
      <w:proofErr w:type="spellStart"/>
      <w:r w:rsidRPr="000F572C">
        <w:rPr>
          <w:rFonts w:ascii="Tahoma" w:hAnsi="Tahoma"/>
          <w:sz w:val="21"/>
          <w:szCs w:val="21"/>
        </w:rPr>
        <w:t>viii</w:t>
      </w:r>
      <w:proofErr w:type="spellEnd"/>
      <w:r w:rsidRPr="000F572C">
        <w:rPr>
          <w:rFonts w:ascii="Tahoma" w:hAnsi="Tahoma"/>
          <w:sz w:val="21"/>
          <w:szCs w:val="21"/>
        </w:rPr>
        <w:t xml:space="preserve">) despesas relacionadas, direta ou indiretamente, ao exercício de direito de voto decorrente de Ativos Financeiros do FUNDO; </w:t>
      </w:r>
    </w:p>
    <w:p w14:paraId="2D88D9E7" w14:textId="77777777" w:rsidR="009949F7" w:rsidRPr="000F572C" w:rsidRDefault="009949F7" w:rsidP="009949F7">
      <w:pPr>
        <w:pStyle w:val="NormalWeb"/>
        <w:spacing w:before="0" w:after="0" w:line="280" w:lineRule="atLeast"/>
        <w:jc w:val="both"/>
        <w:rPr>
          <w:rFonts w:ascii="Tahoma" w:hAnsi="Tahoma"/>
          <w:sz w:val="21"/>
          <w:szCs w:val="21"/>
        </w:rPr>
      </w:pPr>
    </w:p>
    <w:p w14:paraId="761C50BA"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w:t>
      </w:r>
      <w:proofErr w:type="spellStart"/>
      <w:r w:rsidRPr="000F572C">
        <w:rPr>
          <w:rFonts w:ascii="Tahoma" w:hAnsi="Tahoma"/>
          <w:sz w:val="21"/>
          <w:szCs w:val="21"/>
        </w:rPr>
        <w:t>ix</w:t>
      </w:r>
      <w:proofErr w:type="spellEnd"/>
      <w:r w:rsidRPr="000F572C">
        <w:rPr>
          <w:rFonts w:ascii="Tahoma" w:hAnsi="Tahoma"/>
          <w:sz w:val="21"/>
          <w:szCs w:val="21"/>
        </w:rPr>
        <w:t xml:space="preserve">) despesas com liquidação, registro e custódia de operações com títulos e valores mobiliários, Ativos Financeiros e modalidades operacionais; </w:t>
      </w:r>
    </w:p>
    <w:p w14:paraId="3751D94C" w14:textId="77777777" w:rsidR="009949F7" w:rsidRPr="000F572C" w:rsidRDefault="009949F7" w:rsidP="009949F7">
      <w:pPr>
        <w:pStyle w:val="NormalWeb"/>
        <w:spacing w:before="0" w:after="0" w:line="280" w:lineRule="atLeast"/>
        <w:jc w:val="both"/>
        <w:rPr>
          <w:rFonts w:ascii="Tahoma" w:hAnsi="Tahoma"/>
          <w:sz w:val="21"/>
          <w:szCs w:val="21"/>
        </w:rPr>
      </w:pPr>
    </w:p>
    <w:p w14:paraId="5A09F779"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(x) despesas com fechamento de câmbio, vinculadas às suas operações ou com certificados ou recibos de depósito de valores mobiliários; e</w:t>
      </w:r>
    </w:p>
    <w:p w14:paraId="4B67C602" w14:textId="77777777" w:rsidR="009949F7" w:rsidRPr="000F572C" w:rsidRDefault="009949F7" w:rsidP="009949F7">
      <w:pPr>
        <w:pStyle w:val="NormalWeb"/>
        <w:spacing w:before="0" w:after="0" w:line="280" w:lineRule="atLeast"/>
        <w:jc w:val="both"/>
        <w:rPr>
          <w:rFonts w:ascii="Tahoma" w:hAnsi="Tahoma"/>
          <w:sz w:val="21"/>
          <w:szCs w:val="21"/>
        </w:rPr>
      </w:pPr>
    </w:p>
    <w:p w14:paraId="67240787" w14:textId="77777777" w:rsidR="009949F7" w:rsidRPr="000F572C" w:rsidRDefault="009949F7" w:rsidP="009949F7">
      <w:pPr>
        <w:pStyle w:val="NormalWeb"/>
        <w:spacing w:before="0" w:after="0" w:line="280" w:lineRule="atLeast"/>
        <w:jc w:val="both"/>
        <w:rPr>
          <w:rFonts w:ascii="Tahoma" w:hAnsi="Tahoma"/>
          <w:sz w:val="21"/>
          <w:szCs w:val="21"/>
        </w:rPr>
      </w:pPr>
      <w:r w:rsidRPr="000F572C">
        <w:rPr>
          <w:rFonts w:ascii="Tahoma" w:hAnsi="Tahoma"/>
          <w:sz w:val="21"/>
          <w:szCs w:val="21"/>
        </w:rPr>
        <w:t xml:space="preserve">(xi) os montantes devidos a fundos investidores na hipótese de acordo de remuneração com base na taxa de administração e/ou performance, observado o disposto na regulamentação vigente. </w:t>
      </w:r>
    </w:p>
    <w:p w14:paraId="6C41A6D9" w14:textId="77777777" w:rsidR="009949F7" w:rsidRPr="000F572C" w:rsidRDefault="009949F7" w:rsidP="009949F7">
      <w:pPr>
        <w:pStyle w:val="NormalWeb"/>
        <w:spacing w:before="0" w:after="0" w:line="280" w:lineRule="atLeast"/>
        <w:jc w:val="both"/>
        <w:rPr>
          <w:rFonts w:ascii="Tahoma" w:hAnsi="Tahoma"/>
          <w:sz w:val="21"/>
          <w:szCs w:val="21"/>
        </w:rPr>
      </w:pPr>
    </w:p>
    <w:p w14:paraId="2DAAC6BF"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7.5.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0B97673B" w14:textId="77777777" w:rsidR="009949F7" w:rsidRPr="000F572C" w:rsidRDefault="009949F7" w:rsidP="009949F7">
      <w:pPr>
        <w:spacing w:after="0" w:line="280" w:lineRule="atLeast"/>
        <w:jc w:val="both"/>
        <w:rPr>
          <w:rFonts w:ascii="Tahoma" w:hAnsi="Tahoma"/>
          <w:sz w:val="21"/>
          <w:szCs w:val="21"/>
        </w:rPr>
      </w:pPr>
    </w:p>
    <w:p w14:paraId="4A5FEDBE"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 xml:space="preserve">CLÁUSULA OITAVA – DAS COTAS: DISTRIBUIÇÃO, EMISSÃO, NEGOCIAÇÃO E RESGATE </w:t>
      </w:r>
    </w:p>
    <w:p w14:paraId="5D306B69" w14:textId="77777777" w:rsidR="009949F7" w:rsidRPr="000F572C" w:rsidRDefault="009949F7" w:rsidP="009949F7">
      <w:pPr>
        <w:spacing w:after="0" w:line="280" w:lineRule="atLeast"/>
        <w:jc w:val="both"/>
        <w:rPr>
          <w:rFonts w:ascii="Tahoma" w:hAnsi="Tahoma"/>
          <w:sz w:val="21"/>
          <w:szCs w:val="21"/>
        </w:rPr>
      </w:pPr>
    </w:p>
    <w:p w14:paraId="25958FBC"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8.1. As cotas do FUNDO correspondem a frações ideais do seu patrimônio e são nominativas e escriturais.</w:t>
      </w:r>
    </w:p>
    <w:p w14:paraId="75B7EB0C" w14:textId="77777777" w:rsidR="009949F7" w:rsidRPr="000F572C" w:rsidRDefault="009949F7" w:rsidP="009949F7">
      <w:pPr>
        <w:spacing w:after="0" w:line="280" w:lineRule="atLeast"/>
        <w:jc w:val="both"/>
        <w:rPr>
          <w:rFonts w:ascii="Tahoma" w:hAnsi="Tahoma"/>
          <w:sz w:val="21"/>
          <w:szCs w:val="21"/>
        </w:rPr>
      </w:pPr>
    </w:p>
    <w:p w14:paraId="2BC11DB4"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8.1.1. As cotas do FUNDO terão seu valor calculado a cada dia útil, com base em avaliação patrimonial que considere os critérios de avaliação previstos na regulamentação em vigor.</w:t>
      </w:r>
    </w:p>
    <w:p w14:paraId="2A9D3D10" w14:textId="77777777" w:rsidR="009949F7" w:rsidRPr="000F572C" w:rsidRDefault="009949F7" w:rsidP="009949F7">
      <w:pPr>
        <w:spacing w:after="0" w:line="280" w:lineRule="atLeast"/>
        <w:jc w:val="both"/>
        <w:rPr>
          <w:rFonts w:ascii="Tahoma" w:hAnsi="Tahoma"/>
          <w:sz w:val="21"/>
          <w:szCs w:val="21"/>
        </w:rPr>
      </w:pPr>
    </w:p>
    <w:p w14:paraId="6D3C4AE7"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0F572C">
        <w:rPr>
          <w:rStyle w:val="Refdenotaderodap"/>
          <w:rFonts w:ascii="Tahoma" w:hAnsi="Tahoma"/>
          <w:sz w:val="21"/>
          <w:szCs w:val="21"/>
        </w:rPr>
        <w:t xml:space="preserve"> </w:t>
      </w:r>
    </w:p>
    <w:p w14:paraId="3D1273AF" w14:textId="77777777" w:rsidR="009949F7" w:rsidRPr="000F572C" w:rsidRDefault="009949F7" w:rsidP="009949F7">
      <w:pPr>
        <w:spacing w:after="0" w:line="280" w:lineRule="atLeast"/>
        <w:jc w:val="both"/>
        <w:rPr>
          <w:rFonts w:ascii="Tahoma" w:hAnsi="Tahoma"/>
          <w:sz w:val="21"/>
          <w:szCs w:val="21"/>
        </w:rPr>
      </w:pPr>
    </w:p>
    <w:p w14:paraId="07ECCC7B"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0F572C">
        <w:rPr>
          <w:rStyle w:val="Refdenotaderodap"/>
          <w:rFonts w:ascii="Tahoma" w:hAnsi="Tahoma"/>
          <w:sz w:val="21"/>
          <w:szCs w:val="21"/>
        </w:rPr>
        <w:t xml:space="preserve"> </w:t>
      </w:r>
    </w:p>
    <w:p w14:paraId="226D3E3D" w14:textId="77777777" w:rsidR="009949F7" w:rsidRPr="000F572C" w:rsidRDefault="009949F7" w:rsidP="009949F7">
      <w:pPr>
        <w:spacing w:after="0" w:line="280" w:lineRule="atLeast"/>
        <w:jc w:val="both"/>
        <w:rPr>
          <w:rFonts w:ascii="Tahoma" w:hAnsi="Tahoma"/>
          <w:sz w:val="21"/>
          <w:szCs w:val="21"/>
        </w:rPr>
      </w:pPr>
    </w:p>
    <w:p w14:paraId="53F95C70"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205C09F5" w14:textId="77777777" w:rsidR="009949F7" w:rsidRPr="000F572C" w:rsidRDefault="009949F7" w:rsidP="009949F7">
      <w:pPr>
        <w:spacing w:after="0" w:line="280" w:lineRule="atLeast"/>
        <w:jc w:val="both"/>
        <w:rPr>
          <w:rFonts w:ascii="Tahoma" w:hAnsi="Tahoma"/>
          <w:sz w:val="21"/>
          <w:szCs w:val="21"/>
        </w:rPr>
      </w:pPr>
    </w:p>
    <w:p w14:paraId="05F6CA9C"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8.5. A qualidade dos Cotistas caracteriza-se pela inscrição do nome do titular no registro de Cotistas do FUNDO.</w:t>
      </w:r>
    </w:p>
    <w:p w14:paraId="67C7648A" w14:textId="77777777" w:rsidR="009949F7" w:rsidRPr="000F572C" w:rsidRDefault="009949F7" w:rsidP="009949F7">
      <w:pPr>
        <w:spacing w:after="0" w:line="280" w:lineRule="atLeast"/>
        <w:jc w:val="both"/>
        <w:rPr>
          <w:rFonts w:ascii="Tahoma" w:hAnsi="Tahoma"/>
          <w:sz w:val="21"/>
          <w:szCs w:val="21"/>
        </w:rPr>
      </w:pPr>
    </w:p>
    <w:p w14:paraId="6768DFDE"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D612A68" w14:textId="77777777" w:rsidR="009949F7" w:rsidRPr="000F572C" w:rsidRDefault="009949F7" w:rsidP="009949F7">
      <w:pPr>
        <w:spacing w:after="0" w:line="280" w:lineRule="atLeast"/>
        <w:jc w:val="both"/>
        <w:rPr>
          <w:rFonts w:ascii="Tahoma" w:hAnsi="Tahoma"/>
          <w:sz w:val="21"/>
          <w:szCs w:val="21"/>
        </w:rPr>
      </w:pPr>
    </w:p>
    <w:p w14:paraId="53A49AB1"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8.6. A adesão dos Cotistas aos termos deste Regulamento dar-se-á pela assinatura do Termo de Adesão e Ciência de Risco ou mediante manifestação de aceite por meio eletrônico, através do qual atestam que (i) conhecem, entendem e aceitam os riscos descritos neste Regulamento, aos quais os investimentos do FUNDO estão expostos em razão dos mercados de sua atuação, bem como que (ii) tiveram acesso aos seguintes documentos atualizados: (a) Regulamento; (b) Formulário; e (c) Lâmina.</w:t>
      </w:r>
    </w:p>
    <w:p w14:paraId="6CCF5A01" w14:textId="77777777" w:rsidR="009949F7" w:rsidRPr="000F572C" w:rsidRDefault="009949F7" w:rsidP="009949F7">
      <w:pPr>
        <w:spacing w:after="0" w:line="280" w:lineRule="atLeast"/>
        <w:jc w:val="both"/>
        <w:rPr>
          <w:rFonts w:ascii="Tahoma" w:hAnsi="Tahoma"/>
          <w:sz w:val="21"/>
          <w:szCs w:val="21"/>
        </w:rPr>
      </w:pPr>
    </w:p>
    <w:p w14:paraId="69BCD32B"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lastRenderedPageBreak/>
        <w:t xml:space="preserve">8.6.1.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0BFE0DBD" w14:textId="77777777" w:rsidR="009949F7" w:rsidRPr="000F572C" w:rsidRDefault="009949F7" w:rsidP="009949F7">
      <w:pPr>
        <w:spacing w:after="0" w:line="280" w:lineRule="atLeast"/>
        <w:jc w:val="both"/>
        <w:rPr>
          <w:rFonts w:ascii="Tahoma" w:hAnsi="Tahoma"/>
          <w:sz w:val="21"/>
          <w:szCs w:val="21"/>
        </w:rPr>
      </w:pPr>
    </w:p>
    <w:p w14:paraId="2C61BB77"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8.7. A aplicação e o resgate de cotas do FUNDO podem ser efetuados em ordem de pagamento, débito e crédito em conta corrente ou por meio de sistemas de transferência eletrônica de recursos autorizados pelo Banco Central do Brasil (“BACEN”). </w:t>
      </w:r>
    </w:p>
    <w:p w14:paraId="3C6199B9" w14:textId="77777777" w:rsidR="009949F7" w:rsidRPr="000F572C" w:rsidRDefault="009949F7" w:rsidP="009949F7">
      <w:pPr>
        <w:spacing w:after="0" w:line="280" w:lineRule="atLeast"/>
        <w:jc w:val="both"/>
        <w:rPr>
          <w:rFonts w:ascii="Tahoma" w:hAnsi="Tahoma"/>
          <w:sz w:val="21"/>
          <w:szCs w:val="21"/>
        </w:rPr>
      </w:pPr>
    </w:p>
    <w:p w14:paraId="075331B7"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8.7.1 A integralização e o resgate das cotas do FUNDO serão realizados em moeda corrente nacional. </w:t>
      </w:r>
    </w:p>
    <w:p w14:paraId="1DA6F55A" w14:textId="77777777" w:rsidR="009949F7" w:rsidRPr="000F572C" w:rsidRDefault="009949F7" w:rsidP="009949F7">
      <w:pPr>
        <w:spacing w:after="0" w:line="280" w:lineRule="atLeast"/>
        <w:jc w:val="both"/>
        <w:rPr>
          <w:rFonts w:ascii="Tahoma" w:hAnsi="Tahoma"/>
          <w:sz w:val="21"/>
          <w:szCs w:val="21"/>
        </w:rPr>
      </w:pPr>
    </w:p>
    <w:p w14:paraId="291F3631"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8.8. O ADMINISTRADOR poderá suspender, a qualquer momento, novas aplicações no FUNDO, aplicando-se tal suspensão tanto aos novos investidores como aos Cotistas atuais do FUNDO.</w:t>
      </w:r>
    </w:p>
    <w:p w14:paraId="2D6ECDFE" w14:textId="77777777" w:rsidR="009949F7" w:rsidRPr="000F572C" w:rsidRDefault="009949F7" w:rsidP="009949F7">
      <w:pPr>
        <w:spacing w:after="0" w:line="280" w:lineRule="atLeast"/>
        <w:jc w:val="both"/>
        <w:rPr>
          <w:rFonts w:ascii="Tahoma" w:hAnsi="Tahoma"/>
          <w:sz w:val="21"/>
          <w:szCs w:val="21"/>
        </w:rPr>
      </w:pPr>
    </w:p>
    <w:p w14:paraId="0EE15B19"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8.8.1 A suspensão do recebimento de novas aplicações em um dia não impede a reabertura posterior do FUNDO para aplicações.</w:t>
      </w:r>
    </w:p>
    <w:p w14:paraId="76708F0B" w14:textId="77777777" w:rsidR="009949F7" w:rsidRPr="000F572C" w:rsidRDefault="009949F7" w:rsidP="009949F7">
      <w:pPr>
        <w:spacing w:after="0" w:line="280" w:lineRule="atLeast"/>
        <w:jc w:val="both"/>
        <w:rPr>
          <w:rFonts w:ascii="Tahoma" w:hAnsi="Tahoma"/>
          <w:sz w:val="21"/>
          <w:szCs w:val="21"/>
        </w:rPr>
      </w:pPr>
    </w:p>
    <w:p w14:paraId="572C8557"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8.9. Na emissão e no resgate de cotas do FUNDO deverá ser observado o disposto no quadro abaixo:</w:t>
      </w:r>
    </w:p>
    <w:p w14:paraId="62044D9E" w14:textId="77777777" w:rsidR="009949F7" w:rsidRPr="000F572C" w:rsidRDefault="009949F7" w:rsidP="009949F7">
      <w:pPr>
        <w:spacing w:after="0" w:line="280" w:lineRule="atLeast"/>
        <w:jc w:val="both"/>
        <w:rPr>
          <w:rFonts w:ascii="Tahoma" w:hAnsi="Tahoma"/>
          <w:sz w:val="21"/>
          <w:szCs w:val="21"/>
        </w:rPr>
      </w:pPr>
    </w:p>
    <w:tbl>
      <w:tblPr>
        <w:tblW w:w="7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484"/>
        <w:gridCol w:w="2791"/>
      </w:tblGrid>
      <w:tr w:rsidR="009949F7" w:rsidRPr="000F572C" w14:paraId="4F780B2F" w14:textId="77777777" w:rsidTr="00D75CE9">
        <w:trPr>
          <w:jc w:val="center"/>
        </w:trPr>
        <w:tc>
          <w:tcPr>
            <w:tcW w:w="1728" w:type="dxa"/>
            <w:vMerge w:val="restart"/>
            <w:vAlign w:val="center"/>
          </w:tcPr>
          <w:p w14:paraId="5A229FA2" w14:textId="77777777" w:rsidR="009949F7" w:rsidRPr="000F572C" w:rsidRDefault="009949F7" w:rsidP="00D75CE9">
            <w:pPr>
              <w:spacing w:after="0" w:line="280" w:lineRule="atLeast"/>
              <w:jc w:val="center"/>
              <w:rPr>
                <w:rFonts w:ascii="Tahoma" w:hAnsi="Tahoma" w:cs="Tahoma"/>
                <w:sz w:val="21"/>
                <w:szCs w:val="21"/>
              </w:rPr>
            </w:pPr>
          </w:p>
          <w:p w14:paraId="7D52DFA4" w14:textId="77777777" w:rsidR="009949F7" w:rsidRPr="000F572C" w:rsidRDefault="009949F7" w:rsidP="00D75CE9">
            <w:pPr>
              <w:spacing w:after="0" w:line="280" w:lineRule="atLeast"/>
              <w:jc w:val="center"/>
              <w:rPr>
                <w:rFonts w:ascii="Tahoma" w:hAnsi="Tahoma" w:cs="Tahoma"/>
                <w:sz w:val="21"/>
                <w:szCs w:val="21"/>
              </w:rPr>
            </w:pPr>
            <w:r w:rsidRPr="000F572C">
              <w:rPr>
                <w:rFonts w:ascii="Tahoma" w:hAnsi="Tahoma" w:cs="Tahoma"/>
                <w:sz w:val="21"/>
                <w:szCs w:val="21"/>
              </w:rPr>
              <w:t>Aplicação</w:t>
            </w:r>
          </w:p>
        </w:tc>
        <w:tc>
          <w:tcPr>
            <w:tcW w:w="2484" w:type="dxa"/>
            <w:shd w:val="clear" w:color="auto" w:fill="606060"/>
            <w:vAlign w:val="center"/>
          </w:tcPr>
          <w:p w14:paraId="6F5A95F4" w14:textId="77777777" w:rsidR="009949F7" w:rsidRPr="000F572C" w:rsidRDefault="009949F7" w:rsidP="00D75CE9">
            <w:pPr>
              <w:spacing w:after="0" w:line="280" w:lineRule="atLeast"/>
              <w:jc w:val="center"/>
              <w:rPr>
                <w:rFonts w:ascii="Tahoma" w:hAnsi="Tahoma" w:cs="Tahoma"/>
                <w:b/>
                <w:color w:val="FFFFFF"/>
                <w:sz w:val="21"/>
                <w:szCs w:val="21"/>
              </w:rPr>
            </w:pPr>
            <w:r w:rsidRPr="000F572C">
              <w:rPr>
                <w:rFonts w:ascii="Tahoma" w:hAnsi="Tahoma" w:cs="Tahoma"/>
                <w:b/>
                <w:color w:val="FFFFFF"/>
                <w:sz w:val="21"/>
                <w:szCs w:val="21"/>
              </w:rPr>
              <w:t>Disponibilidade dos Recursos</w:t>
            </w:r>
          </w:p>
        </w:tc>
        <w:tc>
          <w:tcPr>
            <w:tcW w:w="2791" w:type="dxa"/>
            <w:shd w:val="clear" w:color="auto" w:fill="606060"/>
            <w:vAlign w:val="center"/>
          </w:tcPr>
          <w:p w14:paraId="0137A9C1" w14:textId="77777777" w:rsidR="009949F7" w:rsidRPr="000F572C" w:rsidRDefault="009949F7" w:rsidP="00D75CE9">
            <w:pPr>
              <w:spacing w:after="0" w:line="280" w:lineRule="atLeast"/>
              <w:jc w:val="center"/>
              <w:rPr>
                <w:rFonts w:ascii="Tahoma" w:hAnsi="Tahoma" w:cs="Tahoma"/>
                <w:b/>
                <w:color w:val="FFFFFF"/>
                <w:sz w:val="21"/>
                <w:szCs w:val="21"/>
              </w:rPr>
            </w:pPr>
            <w:r w:rsidRPr="000F572C">
              <w:rPr>
                <w:rFonts w:ascii="Tahoma" w:hAnsi="Tahoma" w:cs="Tahoma"/>
                <w:b/>
                <w:color w:val="FFFFFF"/>
                <w:sz w:val="21"/>
                <w:szCs w:val="21"/>
              </w:rPr>
              <w:t>Cota de conversão</w:t>
            </w:r>
          </w:p>
        </w:tc>
      </w:tr>
      <w:tr w:rsidR="009949F7" w:rsidRPr="000F572C" w14:paraId="6DFBF00A" w14:textId="77777777" w:rsidTr="00D75CE9">
        <w:trPr>
          <w:trHeight w:val="661"/>
          <w:jc w:val="center"/>
        </w:trPr>
        <w:tc>
          <w:tcPr>
            <w:tcW w:w="1728" w:type="dxa"/>
            <w:vMerge/>
            <w:vAlign w:val="center"/>
          </w:tcPr>
          <w:p w14:paraId="4B51DB26" w14:textId="77777777" w:rsidR="009949F7" w:rsidRPr="000F572C" w:rsidRDefault="009949F7" w:rsidP="00D75CE9">
            <w:pPr>
              <w:spacing w:after="0" w:line="280" w:lineRule="atLeast"/>
              <w:jc w:val="center"/>
              <w:rPr>
                <w:rFonts w:ascii="Tahoma" w:hAnsi="Tahoma" w:cs="Tahoma"/>
                <w:sz w:val="21"/>
                <w:szCs w:val="21"/>
              </w:rPr>
            </w:pPr>
          </w:p>
        </w:tc>
        <w:tc>
          <w:tcPr>
            <w:tcW w:w="2484" w:type="dxa"/>
            <w:vAlign w:val="center"/>
          </w:tcPr>
          <w:p w14:paraId="1E511447" w14:textId="77777777" w:rsidR="009949F7" w:rsidRPr="000F572C" w:rsidRDefault="009949F7" w:rsidP="00D75CE9">
            <w:pPr>
              <w:spacing w:after="0" w:line="280" w:lineRule="atLeast"/>
              <w:jc w:val="center"/>
              <w:rPr>
                <w:rFonts w:ascii="Tahoma" w:hAnsi="Tahoma"/>
                <w:sz w:val="21"/>
                <w:szCs w:val="21"/>
              </w:rPr>
            </w:pPr>
            <w:r w:rsidRPr="000F572C">
              <w:rPr>
                <w:rFonts w:ascii="Tahoma" w:hAnsi="Tahoma"/>
                <w:sz w:val="21"/>
                <w:szCs w:val="21"/>
              </w:rPr>
              <w:t>D+0</w:t>
            </w:r>
          </w:p>
          <w:p w14:paraId="2783A89C" w14:textId="77777777" w:rsidR="009949F7" w:rsidRPr="000F572C" w:rsidRDefault="009949F7" w:rsidP="00D75CE9">
            <w:pPr>
              <w:spacing w:after="0" w:line="280" w:lineRule="atLeast"/>
              <w:jc w:val="center"/>
              <w:rPr>
                <w:rFonts w:ascii="Tahoma" w:hAnsi="Tahoma" w:cs="Tahoma"/>
                <w:sz w:val="21"/>
                <w:szCs w:val="21"/>
              </w:rPr>
            </w:pPr>
            <w:r w:rsidRPr="000F572C">
              <w:rPr>
                <w:rFonts w:ascii="Tahoma" w:hAnsi="Tahoma" w:cs="Tahoma"/>
                <w:sz w:val="21"/>
                <w:szCs w:val="21"/>
              </w:rPr>
              <w:t>No dia da solicitação</w:t>
            </w:r>
          </w:p>
        </w:tc>
        <w:tc>
          <w:tcPr>
            <w:tcW w:w="2791" w:type="dxa"/>
            <w:vAlign w:val="center"/>
          </w:tcPr>
          <w:p w14:paraId="00E820B9" w14:textId="77777777" w:rsidR="009949F7" w:rsidRPr="000F572C" w:rsidRDefault="009949F7" w:rsidP="00D75CE9">
            <w:pPr>
              <w:spacing w:after="0" w:line="280" w:lineRule="atLeast"/>
              <w:jc w:val="center"/>
              <w:rPr>
                <w:rFonts w:ascii="Tahoma" w:hAnsi="Tahoma"/>
                <w:sz w:val="21"/>
                <w:szCs w:val="21"/>
              </w:rPr>
            </w:pPr>
            <w:r w:rsidRPr="000F572C">
              <w:rPr>
                <w:rFonts w:ascii="Tahoma" w:hAnsi="Tahoma"/>
                <w:sz w:val="21"/>
                <w:szCs w:val="21"/>
              </w:rPr>
              <w:t>D+0</w:t>
            </w:r>
          </w:p>
          <w:p w14:paraId="643C0796" w14:textId="77777777" w:rsidR="009949F7" w:rsidRPr="000F572C" w:rsidRDefault="009949F7" w:rsidP="00D75CE9">
            <w:pPr>
              <w:spacing w:after="0" w:line="280" w:lineRule="atLeast"/>
              <w:jc w:val="center"/>
              <w:rPr>
                <w:rFonts w:ascii="Tahoma" w:hAnsi="Tahoma"/>
                <w:sz w:val="21"/>
                <w:szCs w:val="21"/>
              </w:rPr>
            </w:pPr>
            <w:r w:rsidRPr="000F572C">
              <w:rPr>
                <w:rFonts w:ascii="Tahoma" w:hAnsi="Tahoma"/>
                <w:sz w:val="21"/>
                <w:szCs w:val="21"/>
              </w:rPr>
              <w:t>No dia da solicitação</w:t>
            </w:r>
          </w:p>
        </w:tc>
      </w:tr>
      <w:tr w:rsidR="009949F7" w:rsidRPr="000F572C" w14:paraId="04690C76" w14:textId="77777777" w:rsidTr="00D75CE9">
        <w:trPr>
          <w:trHeight w:val="419"/>
          <w:jc w:val="center"/>
        </w:trPr>
        <w:tc>
          <w:tcPr>
            <w:tcW w:w="1728" w:type="dxa"/>
            <w:vMerge w:val="restart"/>
            <w:vAlign w:val="center"/>
          </w:tcPr>
          <w:p w14:paraId="7534A02C" w14:textId="77777777" w:rsidR="009949F7" w:rsidRPr="000F572C" w:rsidRDefault="009949F7" w:rsidP="00D75CE9">
            <w:pPr>
              <w:spacing w:after="0" w:line="280" w:lineRule="atLeast"/>
              <w:jc w:val="center"/>
              <w:rPr>
                <w:rFonts w:ascii="Tahoma" w:hAnsi="Tahoma" w:cs="Tahoma"/>
                <w:sz w:val="21"/>
                <w:szCs w:val="21"/>
              </w:rPr>
            </w:pPr>
          </w:p>
          <w:p w14:paraId="7EF1B197" w14:textId="77777777" w:rsidR="009949F7" w:rsidRPr="000F572C" w:rsidRDefault="009949F7" w:rsidP="00D75CE9">
            <w:pPr>
              <w:spacing w:after="0" w:line="280" w:lineRule="atLeast"/>
              <w:jc w:val="center"/>
              <w:rPr>
                <w:rFonts w:ascii="Tahoma" w:hAnsi="Tahoma" w:cs="Tahoma"/>
                <w:sz w:val="21"/>
                <w:szCs w:val="21"/>
                <w:lang w:val="en-GB"/>
              </w:rPr>
            </w:pPr>
            <w:r w:rsidRPr="000F572C">
              <w:rPr>
                <w:rFonts w:ascii="Tahoma" w:hAnsi="Tahoma" w:cs="Tahoma"/>
                <w:sz w:val="21"/>
                <w:szCs w:val="21"/>
                <w:lang w:val="en-GB"/>
              </w:rPr>
              <w:t>Resgate</w:t>
            </w:r>
          </w:p>
        </w:tc>
        <w:tc>
          <w:tcPr>
            <w:tcW w:w="2484" w:type="dxa"/>
            <w:shd w:val="clear" w:color="auto" w:fill="606060"/>
            <w:vAlign w:val="center"/>
          </w:tcPr>
          <w:p w14:paraId="1936E691" w14:textId="77777777" w:rsidR="009949F7" w:rsidRPr="000F572C" w:rsidRDefault="009949F7" w:rsidP="00D75CE9">
            <w:pPr>
              <w:spacing w:after="0" w:line="280" w:lineRule="atLeast"/>
              <w:jc w:val="center"/>
              <w:rPr>
                <w:rFonts w:ascii="Tahoma" w:hAnsi="Tahoma" w:cs="Tahoma"/>
                <w:b/>
                <w:color w:val="FFFFFF"/>
                <w:sz w:val="21"/>
                <w:szCs w:val="21"/>
                <w:lang w:val="en-GB"/>
              </w:rPr>
            </w:pPr>
            <w:r w:rsidRPr="000F572C">
              <w:rPr>
                <w:rFonts w:ascii="Tahoma" w:hAnsi="Tahoma" w:cs="Tahoma"/>
                <w:b/>
                <w:color w:val="FFFFFF"/>
                <w:sz w:val="21"/>
                <w:szCs w:val="21"/>
                <w:lang w:val="en-GB"/>
              </w:rPr>
              <w:t>Cota de Conversão</w:t>
            </w:r>
          </w:p>
        </w:tc>
        <w:tc>
          <w:tcPr>
            <w:tcW w:w="2791" w:type="dxa"/>
            <w:shd w:val="clear" w:color="auto" w:fill="606060"/>
            <w:vAlign w:val="center"/>
          </w:tcPr>
          <w:p w14:paraId="6A381420" w14:textId="77777777" w:rsidR="009949F7" w:rsidRPr="000F572C" w:rsidRDefault="009949F7" w:rsidP="00D75CE9">
            <w:pPr>
              <w:spacing w:after="0" w:line="280" w:lineRule="atLeast"/>
              <w:jc w:val="center"/>
              <w:rPr>
                <w:rFonts w:ascii="Tahoma" w:hAnsi="Tahoma" w:cs="Tahoma"/>
                <w:b/>
                <w:color w:val="FFFFFF"/>
                <w:sz w:val="21"/>
                <w:szCs w:val="21"/>
                <w:lang w:val="en-GB"/>
              </w:rPr>
            </w:pPr>
            <w:r w:rsidRPr="000F572C">
              <w:rPr>
                <w:rFonts w:ascii="Tahoma" w:hAnsi="Tahoma" w:cs="Tahoma"/>
                <w:b/>
                <w:color w:val="FFFFFF"/>
                <w:sz w:val="21"/>
                <w:szCs w:val="21"/>
                <w:lang w:val="en-GB"/>
              </w:rPr>
              <w:t>Pagamento / Crédito em Conta</w:t>
            </w:r>
          </w:p>
        </w:tc>
      </w:tr>
      <w:tr w:rsidR="009949F7" w:rsidRPr="000F572C" w14:paraId="6BB676E3" w14:textId="77777777" w:rsidTr="00D75CE9">
        <w:trPr>
          <w:trHeight w:val="1121"/>
          <w:jc w:val="center"/>
        </w:trPr>
        <w:tc>
          <w:tcPr>
            <w:tcW w:w="1728" w:type="dxa"/>
            <w:vMerge/>
            <w:vAlign w:val="center"/>
          </w:tcPr>
          <w:p w14:paraId="4D0FAF82" w14:textId="77777777" w:rsidR="009949F7" w:rsidRPr="000F572C" w:rsidRDefault="009949F7" w:rsidP="00D75CE9">
            <w:pPr>
              <w:spacing w:after="0" w:line="280" w:lineRule="atLeast"/>
              <w:jc w:val="center"/>
              <w:rPr>
                <w:rFonts w:ascii="Tahoma" w:hAnsi="Tahoma" w:cs="Tahoma"/>
                <w:sz w:val="21"/>
                <w:szCs w:val="21"/>
                <w:lang w:val="en-GB"/>
              </w:rPr>
            </w:pPr>
          </w:p>
        </w:tc>
        <w:tc>
          <w:tcPr>
            <w:tcW w:w="2484" w:type="dxa"/>
            <w:vAlign w:val="center"/>
          </w:tcPr>
          <w:p w14:paraId="6DCCE13F" w14:textId="77777777" w:rsidR="009949F7" w:rsidRPr="000F572C" w:rsidRDefault="009949F7" w:rsidP="00D75CE9">
            <w:pPr>
              <w:spacing w:after="0" w:line="280" w:lineRule="atLeast"/>
              <w:jc w:val="center"/>
              <w:rPr>
                <w:rFonts w:ascii="Tahoma" w:hAnsi="Tahoma"/>
                <w:sz w:val="21"/>
                <w:szCs w:val="21"/>
              </w:rPr>
            </w:pPr>
            <w:r w:rsidRPr="000F572C">
              <w:rPr>
                <w:rFonts w:ascii="Tahoma" w:hAnsi="Tahoma"/>
                <w:sz w:val="21"/>
                <w:szCs w:val="21"/>
              </w:rPr>
              <w:t>D+29</w:t>
            </w:r>
          </w:p>
          <w:p w14:paraId="67EA119D" w14:textId="77777777" w:rsidR="009949F7" w:rsidRPr="000F572C" w:rsidRDefault="009949F7" w:rsidP="00D75CE9">
            <w:pPr>
              <w:spacing w:after="0" w:line="280" w:lineRule="atLeast"/>
              <w:jc w:val="center"/>
              <w:rPr>
                <w:rFonts w:ascii="Tahoma" w:hAnsi="Tahoma" w:cs="Tahoma"/>
                <w:sz w:val="21"/>
                <w:szCs w:val="21"/>
              </w:rPr>
            </w:pPr>
            <w:r w:rsidRPr="000F572C">
              <w:rPr>
                <w:rFonts w:ascii="Tahoma" w:hAnsi="Tahoma"/>
                <w:sz w:val="21"/>
                <w:szCs w:val="21"/>
              </w:rPr>
              <w:t>No 29º (vigésimo nono) dia contado da solicitação</w:t>
            </w:r>
            <w:r w:rsidRPr="000F572C">
              <w:rPr>
                <w:rFonts w:ascii="Tahoma" w:hAnsi="Tahoma" w:cs="Tahoma"/>
                <w:sz w:val="21"/>
                <w:szCs w:val="21"/>
              </w:rPr>
              <w:t xml:space="preserve"> </w:t>
            </w:r>
          </w:p>
        </w:tc>
        <w:tc>
          <w:tcPr>
            <w:tcW w:w="2791" w:type="dxa"/>
            <w:vAlign w:val="center"/>
          </w:tcPr>
          <w:p w14:paraId="19B2AB40" w14:textId="77777777" w:rsidR="009949F7" w:rsidRPr="000F572C" w:rsidRDefault="009949F7" w:rsidP="00D75CE9">
            <w:pPr>
              <w:spacing w:after="0" w:line="280" w:lineRule="atLeast"/>
              <w:jc w:val="center"/>
              <w:rPr>
                <w:rFonts w:ascii="Tahoma" w:hAnsi="Tahoma"/>
                <w:sz w:val="21"/>
                <w:szCs w:val="21"/>
              </w:rPr>
            </w:pPr>
            <w:r w:rsidRPr="000F572C">
              <w:rPr>
                <w:rFonts w:ascii="Tahoma" w:hAnsi="Tahoma"/>
                <w:sz w:val="21"/>
                <w:szCs w:val="21"/>
              </w:rPr>
              <w:t xml:space="preserve">D+30 </w:t>
            </w:r>
          </w:p>
          <w:p w14:paraId="76606959" w14:textId="77777777" w:rsidR="009949F7" w:rsidRPr="000F572C" w:rsidRDefault="009949F7" w:rsidP="00D75CE9">
            <w:pPr>
              <w:spacing w:after="0" w:line="280" w:lineRule="atLeast"/>
              <w:jc w:val="center"/>
              <w:rPr>
                <w:rFonts w:ascii="Tahoma" w:hAnsi="Tahoma" w:cs="Tahoma"/>
                <w:sz w:val="21"/>
                <w:szCs w:val="21"/>
              </w:rPr>
            </w:pPr>
            <w:r w:rsidRPr="000F572C">
              <w:rPr>
                <w:rFonts w:ascii="Tahoma" w:hAnsi="Tahoma"/>
                <w:sz w:val="21"/>
                <w:szCs w:val="21"/>
              </w:rPr>
              <w:t>No 1º (primeiro) dia útil seguinte ao da conversão de cotas</w:t>
            </w:r>
          </w:p>
        </w:tc>
      </w:tr>
    </w:tbl>
    <w:p w14:paraId="51FBD089" w14:textId="77777777" w:rsidR="009949F7" w:rsidRPr="000F572C" w:rsidRDefault="009949F7" w:rsidP="009949F7">
      <w:pPr>
        <w:spacing w:after="0" w:line="280" w:lineRule="atLeast"/>
        <w:jc w:val="both"/>
        <w:rPr>
          <w:rFonts w:ascii="Tahoma" w:hAnsi="Tahoma" w:cs="Tahoma"/>
          <w:sz w:val="21"/>
          <w:szCs w:val="21"/>
        </w:rPr>
      </w:pPr>
    </w:p>
    <w:p w14:paraId="447BEB2A" w14:textId="77777777" w:rsidR="009949F7" w:rsidRPr="000F572C" w:rsidRDefault="009949F7" w:rsidP="009949F7">
      <w:pPr>
        <w:spacing w:after="0" w:line="280" w:lineRule="atLeast"/>
        <w:jc w:val="both"/>
        <w:rPr>
          <w:rFonts w:ascii="Tahoma" w:hAnsi="Tahoma" w:cs="Tahoma"/>
          <w:sz w:val="21"/>
          <w:szCs w:val="21"/>
        </w:rPr>
      </w:pPr>
      <w:r w:rsidRPr="000F572C">
        <w:rPr>
          <w:rFonts w:ascii="Tahoma" w:hAnsi="Tahoma" w:cs="Tahoma"/>
          <w:sz w:val="21"/>
          <w:szCs w:val="21"/>
        </w:rPr>
        <w:t>8.10.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 conforme consta no Formulário, sob pena de serem considerados como efetuados na próxima data disponível para solicitação de aplicação e/ou resgate.</w:t>
      </w:r>
    </w:p>
    <w:p w14:paraId="60F98A77" w14:textId="77777777" w:rsidR="009949F7" w:rsidRPr="000F572C" w:rsidRDefault="009949F7" w:rsidP="009949F7">
      <w:pPr>
        <w:spacing w:after="0" w:line="280" w:lineRule="atLeast"/>
        <w:jc w:val="both"/>
        <w:rPr>
          <w:rFonts w:ascii="Tahoma" w:hAnsi="Tahoma" w:cs="Tahoma"/>
          <w:sz w:val="21"/>
          <w:szCs w:val="21"/>
        </w:rPr>
      </w:pPr>
    </w:p>
    <w:p w14:paraId="6041D9C2" w14:textId="77777777" w:rsidR="009949F7" w:rsidRPr="000F572C" w:rsidRDefault="009949F7" w:rsidP="009949F7">
      <w:pPr>
        <w:spacing w:after="0" w:line="280" w:lineRule="atLeast"/>
        <w:jc w:val="both"/>
        <w:rPr>
          <w:rFonts w:ascii="Tahoma" w:hAnsi="Tahoma"/>
          <w:color w:val="000000"/>
          <w:sz w:val="21"/>
          <w:szCs w:val="21"/>
        </w:rPr>
      </w:pPr>
      <w:r w:rsidRPr="000F572C">
        <w:rPr>
          <w:rFonts w:ascii="Tahoma" w:hAnsi="Tahoma" w:cs="Tahoma"/>
          <w:sz w:val="21"/>
          <w:szCs w:val="21"/>
        </w:rPr>
        <w:t>8.</w:t>
      </w:r>
      <w:r w:rsidRPr="000F572C">
        <w:rPr>
          <w:rFonts w:ascii="Tahoma" w:hAnsi="Tahoma"/>
          <w:sz w:val="21"/>
          <w:szCs w:val="21"/>
        </w:rPr>
        <w:t>11</w:t>
      </w:r>
      <w:r w:rsidRPr="000F572C">
        <w:rPr>
          <w:rFonts w:ascii="Tahoma" w:hAnsi="Tahoma" w:cs="Tahoma"/>
          <w:sz w:val="21"/>
          <w:szCs w:val="21"/>
        </w:rPr>
        <w:t>. Não há prazo de carência para resgate de cotas do FUNDO, podendo as cotas do FUNDO ser resgatadas com rendimento a qualquer momento.</w:t>
      </w:r>
    </w:p>
    <w:p w14:paraId="594BE235" w14:textId="77777777" w:rsidR="009949F7" w:rsidRPr="000F572C" w:rsidRDefault="009949F7" w:rsidP="009949F7">
      <w:pPr>
        <w:spacing w:after="0" w:line="280" w:lineRule="atLeast"/>
        <w:jc w:val="both"/>
        <w:rPr>
          <w:rFonts w:ascii="Tahoma" w:hAnsi="Tahoma" w:cs="Tahoma"/>
          <w:sz w:val="21"/>
          <w:szCs w:val="21"/>
        </w:rPr>
      </w:pPr>
    </w:p>
    <w:p w14:paraId="4F31F953" w14:textId="77777777" w:rsidR="009949F7" w:rsidRPr="000F572C" w:rsidRDefault="009949F7" w:rsidP="009949F7">
      <w:pPr>
        <w:spacing w:after="0" w:line="280" w:lineRule="atLeast"/>
        <w:jc w:val="both"/>
        <w:rPr>
          <w:rFonts w:ascii="Tahoma" w:hAnsi="Tahoma" w:cs="Tahoma"/>
          <w:sz w:val="21"/>
          <w:szCs w:val="21"/>
        </w:rPr>
      </w:pPr>
      <w:r w:rsidRPr="000F572C">
        <w:rPr>
          <w:rFonts w:ascii="Tahoma" w:hAnsi="Tahoma" w:cs="Tahoma"/>
          <w:sz w:val="21"/>
          <w:szCs w:val="21"/>
        </w:rPr>
        <w:t xml:space="preserve">8.12.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 </w:t>
      </w:r>
    </w:p>
    <w:p w14:paraId="4B36B879" w14:textId="77777777" w:rsidR="009949F7" w:rsidRPr="000F572C" w:rsidRDefault="009949F7" w:rsidP="009949F7">
      <w:pPr>
        <w:spacing w:after="0" w:line="280" w:lineRule="atLeast"/>
        <w:jc w:val="both"/>
        <w:rPr>
          <w:rFonts w:ascii="Tahoma" w:hAnsi="Tahoma" w:cs="Tahoma"/>
          <w:sz w:val="21"/>
          <w:szCs w:val="21"/>
        </w:rPr>
      </w:pPr>
    </w:p>
    <w:p w14:paraId="0D4FD333" w14:textId="77777777" w:rsidR="009949F7" w:rsidRPr="000F572C" w:rsidRDefault="009949F7" w:rsidP="009949F7">
      <w:pPr>
        <w:spacing w:after="0" w:line="280" w:lineRule="atLeast"/>
        <w:jc w:val="both"/>
        <w:rPr>
          <w:rFonts w:ascii="Tahoma" w:hAnsi="Tahoma" w:cs="Tahoma"/>
          <w:sz w:val="21"/>
          <w:szCs w:val="21"/>
        </w:rPr>
      </w:pPr>
      <w:r w:rsidRPr="000F572C">
        <w:rPr>
          <w:rFonts w:ascii="Tahoma" w:hAnsi="Tahoma" w:cs="Tahoma"/>
          <w:sz w:val="21"/>
          <w:szCs w:val="21"/>
        </w:rPr>
        <w:t>8.12.1.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4A660BD1" w14:textId="77777777" w:rsidR="009949F7" w:rsidRPr="000F572C" w:rsidRDefault="009949F7" w:rsidP="009949F7">
      <w:pPr>
        <w:spacing w:after="0" w:line="280" w:lineRule="atLeast"/>
        <w:jc w:val="both"/>
        <w:rPr>
          <w:rFonts w:ascii="Tahoma" w:hAnsi="Tahoma"/>
          <w:sz w:val="21"/>
          <w:szCs w:val="21"/>
        </w:rPr>
      </w:pPr>
    </w:p>
    <w:p w14:paraId="47E024EC"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CLÁUSULA NONA – DA DISTRIBUIÇÃO DE RESULTADOS</w:t>
      </w:r>
    </w:p>
    <w:p w14:paraId="7CF53CF6" w14:textId="77777777" w:rsidR="009949F7" w:rsidRPr="000F572C" w:rsidRDefault="009949F7" w:rsidP="009949F7">
      <w:pPr>
        <w:spacing w:after="0" w:line="280" w:lineRule="atLeast"/>
        <w:jc w:val="both"/>
        <w:rPr>
          <w:rFonts w:ascii="Tahoma" w:hAnsi="Tahoma"/>
          <w:b/>
          <w:sz w:val="21"/>
          <w:szCs w:val="21"/>
        </w:rPr>
      </w:pPr>
    </w:p>
    <w:p w14:paraId="6730914A"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lastRenderedPageBreak/>
        <w:t>9.1. Os resultados oriundos dos Ativos Financeiros</w:t>
      </w:r>
      <w:r w:rsidRPr="000F572C" w:rsidDel="00FA248C">
        <w:rPr>
          <w:rFonts w:ascii="Tahoma" w:hAnsi="Tahoma"/>
          <w:sz w:val="21"/>
          <w:szCs w:val="21"/>
        </w:rPr>
        <w:t xml:space="preserve"> </w:t>
      </w:r>
      <w:r w:rsidRPr="000F572C">
        <w:rPr>
          <w:rFonts w:ascii="Tahoma" w:hAnsi="Tahoma"/>
          <w:sz w:val="21"/>
          <w:szCs w:val="21"/>
        </w:rPr>
        <w:t>integrantes da Carteira do FUNDO serão incorporados ao seu patrimônio.</w:t>
      </w:r>
    </w:p>
    <w:p w14:paraId="4D42C1B0" w14:textId="77777777" w:rsidR="009949F7" w:rsidRPr="000F572C" w:rsidRDefault="009949F7" w:rsidP="009949F7">
      <w:pPr>
        <w:spacing w:after="0" w:line="280" w:lineRule="atLeast"/>
        <w:jc w:val="both"/>
        <w:rPr>
          <w:rFonts w:ascii="Tahoma" w:hAnsi="Tahoma"/>
          <w:sz w:val="21"/>
          <w:szCs w:val="21"/>
        </w:rPr>
      </w:pPr>
    </w:p>
    <w:p w14:paraId="150D55CE"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CLÁUSULA DÉCIMA– DO EXERCÍCIO SOCIAL</w:t>
      </w:r>
    </w:p>
    <w:p w14:paraId="3BA183A6" w14:textId="77777777" w:rsidR="009949F7" w:rsidRPr="000F572C" w:rsidRDefault="009949F7" w:rsidP="009949F7">
      <w:pPr>
        <w:spacing w:after="0" w:line="280" w:lineRule="atLeast"/>
        <w:jc w:val="both"/>
        <w:rPr>
          <w:rFonts w:ascii="Tahoma" w:hAnsi="Tahoma"/>
          <w:sz w:val="21"/>
          <w:szCs w:val="21"/>
        </w:rPr>
      </w:pPr>
    </w:p>
    <w:p w14:paraId="3E44398B"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10.1. O exercício social do FUNDO terá início em 1º de março de cada ano e término </w:t>
      </w:r>
      <w:r w:rsidRPr="000F572C">
        <w:rPr>
          <w:rFonts w:ascii="Tahoma" w:hAnsi="Tahoma"/>
          <w:color w:val="000000"/>
          <w:sz w:val="21"/>
          <w:szCs w:val="21"/>
        </w:rPr>
        <w:t xml:space="preserve">no último dia do mês de </w:t>
      </w:r>
      <w:r w:rsidRPr="000F572C">
        <w:rPr>
          <w:rFonts w:ascii="Tahoma" w:hAnsi="Tahoma"/>
          <w:sz w:val="21"/>
          <w:szCs w:val="21"/>
        </w:rPr>
        <w:t>fevereiro do ano subsequente.</w:t>
      </w:r>
    </w:p>
    <w:p w14:paraId="5A6052D9" w14:textId="77777777" w:rsidR="009949F7" w:rsidRPr="000F572C" w:rsidRDefault="009949F7" w:rsidP="009949F7">
      <w:pPr>
        <w:spacing w:after="0" w:line="280" w:lineRule="atLeast"/>
        <w:jc w:val="both"/>
        <w:rPr>
          <w:rFonts w:ascii="Tahoma" w:hAnsi="Tahoma"/>
          <w:sz w:val="21"/>
          <w:szCs w:val="21"/>
        </w:rPr>
      </w:pPr>
    </w:p>
    <w:p w14:paraId="3C57485E" w14:textId="77777777" w:rsidR="009949F7" w:rsidRPr="000F572C" w:rsidRDefault="009949F7" w:rsidP="009949F7">
      <w:pPr>
        <w:pBdr>
          <w:bottom w:val="single" w:sz="6" w:space="1" w:color="auto"/>
        </w:pBdr>
        <w:spacing w:after="0" w:line="280" w:lineRule="atLeast"/>
        <w:jc w:val="center"/>
        <w:rPr>
          <w:rFonts w:ascii="Tahoma" w:hAnsi="Tahoma"/>
          <w:b/>
          <w:sz w:val="21"/>
          <w:szCs w:val="21"/>
        </w:rPr>
      </w:pPr>
      <w:r w:rsidRPr="000F572C">
        <w:rPr>
          <w:rFonts w:ascii="Tahoma" w:hAnsi="Tahoma"/>
          <w:b/>
          <w:sz w:val="21"/>
          <w:szCs w:val="21"/>
        </w:rPr>
        <w:t>CLÁUSULA DÉCIMA PRIMEIRA – DAS DISPOSIÇÕES GERAIS</w:t>
      </w:r>
    </w:p>
    <w:p w14:paraId="7B800973" w14:textId="77777777" w:rsidR="009949F7" w:rsidRPr="000F572C" w:rsidRDefault="009949F7" w:rsidP="009949F7">
      <w:pPr>
        <w:spacing w:after="0" w:line="280" w:lineRule="atLeast"/>
        <w:jc w:val="both"/>
        <w:rPr>
          <w:rFonts w:ascii="Tahoma" w:hAnsi="Tahoma"/>
          <w:sz w:val="21"/>
          <w:szCs w:val="21"/>
        </w:rPr>
      </w:pPr>
    </w:p>
    <w:p w14:paraId="79F76FAB" w14:textId="77777777" w:rsidR="009949F7" w:rsidRPr="000F572C" w:rsidRDefault="009949F7" w:rsidP="009949F7">
      <w:pPr>
        <w:spacing w:after="0" w:line="280" w:lineRule="atLeast"/>
        <w:jc w:val="both"/>
        <w:rPr>
          <w:rFonts w:ascii="Tahoma" w:hAnsi="Tahoma"/>
          <w:iCs/>
          <w:sz w:val="21"/>
          <w:szCs w:val="21"/>
        </w:rPr>
      </w:pPr>
      <w:r w:rsidRPr="000F572C">
        <w:rPr>
          <w:rFonts w:ascii="Tahoma" w:hAnsi="Tahoma"/>
          <w:sz w:val="21"/>
          <w:szCs w:val="21"/>
        </w:rPr>
        <w:t xml:space="preserve">11.1. </w:t>
      </w:r>
      <w:r w:rsidRPr="000F572C">
        <w:rPr>
          <w:rFonts w:ascii="Tahoma" w:hAnsi="Tahoma"/>
          <w:iCs/>
          <w:sz w:val="21"/>
          <w:szCs w:val="21"/>
        </w:rPr>
        <w:t xml:space="preserve">As informações gerais a respeito da assembleia geral </w:t>
      </w:r>
      <w:proofErr w:type="gramStart"/>
      <w:r w:rsidRPr="000F572C">
        <w:rPr>
          <w:rFonts w:ascii="Tahoma" w:hAnsi="Tahoma"/>
          <w:iCs/>
          <w:sz w:val="21"/>
          <w:szCs w:val="21"/>
        </w:rPr>
        <w:t>de Cotistas</w:t>
      </w:r>
      <w:proofErr w:type="gramEnd"/>
      <w:r w:rsidRPr="000F572C">
        <w:rPr>
          <w:rFonts w:ascii="Tahoma" w:hAnsi="Tahoma"/>
          <w:iCs/>
          <w:sz w:val="21"/>
          <w:szCs w:val="21"/>
        </w:rPr>
        <w:t xml:space="preserve"> constam neste Regulamento e na</w:t>
      </w:r>
      <w:r>
        <w:rPr>
          <w:rFonts w:ascii="Tahoma" w:hAnsi="Tahoma"/>
          <w:iCs/>
          <w:sz w:val="21"/>
          <w:szCs w:val="21"/>
        </w:rPr>
        <w:t xml:space="preserve"> </w:t>
      </w:r>
      <w:r w:rsidRPr="000F572C">
        <w:rPr>
          <w:rFonts w:ascii="Tahoma" w:hAnsi="Tahoma"/>
          <w:iCs/>
          <w:sz w:val="21"/>
          <w:szCs w:val="21"/>
        </w:rPr>
        <w:t xml:space="preserve">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30 dias corridos a contar da data da emissão da consulta. </w:t>
      </w:r>
    </w:p>
    <w:p w14:paraId="2483ECBB" w14:textId="77777777" w:rsidR="009949F7" w:rsidRPr="000F572C" w:rsidRDefault="009949F7" w:rsidP="009949F7">
      <w:pPr>
        <w:spacing w:after="0" w:line="280" w:lineRule="atLeast"/>
        <w:jc w:val="both"/>
        <w:rPr>
          <w:rFonts w:ascii="Tahoma" w:hAnsi="Tahoma"/>
          <w:iCs/>
          <w:sz w:val="21"/>
          <w:szCs w:val="21"/>
        </w:rPr>
      </w:pPr>
    </w:p>
    <w:p w14:paraId="741D9447"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iCs/>
          <w:sz w:val="21"/>
          <w:szCs w:val="21"/>
        </w:rPr>
        <w:t xml:space="preserve">11.1.1. A assembleia geral </w:t>
      </w:r>
      <w:proofErr w:type="gramStart"/>
      <w:r w:rsidRPr="000F572C">
        <w:rPr>
          <w:rFonts w:ascii="Tahoma" w:hAnsi="Tahoma"/>
          <w:iCs/>
          <w:sz w:val="21"/>
          <w:szCs w:val="21"/>
        </w:rPr>
        <w:t>de Cotistas</w:t>
      </w:r>
      <w:proofErr w:type="gramEnd"/>
      <w:r w:rsidRPr="000F572C">
        <w:rPr>
          <w:rFonts w:ascii="Tahoma" w:hAnsi="Tahoma"/>
          <w:iCs/>
          <w:sz w:val="21"/>
          <w:szCs w:val="21"/>
        </w:rPr>
        <w:t xml:space="preserve"> realizada mediante consulta formal poderá ser instalada com qualquer número de Cotistas, de modo que as deliberações serão tomadas por maioria de votos enviados ao ADMINISTRADOR, cabendo a cada cota 1</w:t>
      </w:r>
      <w:r>
        <w:rPr>
          <w:rFonts w:ascii="Tahoma" w:hAnsi="Tahoma"/>
          <w:iCs/>
          <w:sz w:val="21"/>
          <w:szCs w:val="21"/>
        </w:rPr>
        <w:t xml:space="preserve"> </w:t>
      </w:r>
      <w:r w:rsidRPr="000F572C">
        <w:rPr>
          <w:rFonts w:ascii="Tahoma" w:hAnsi="Tahoma"/>
          <w:iCs/>
          <w:sz w:val="21"/>
          <w:szCs w:val="21"/>
        </w:rPr>
        <w:t>voto.</w:t>
      </w:r>
    </w:p>
    <w:p w14:paraId="2DCE5989" w14:textId="77777777" w:rsidR="009949F7" w:rsidRPr="000F572C" w:rsidRDefault="009949F7" w:rsidP="009949F7">
      <w:pPr>
        <w:spacing w:after="0" w:line="280" w:lineRule="atLeast"/>
        <w:jc w:val="both"/>
        <w:rPr>
          <w:rFonts w:ascii="Tahoma" w:hAnsi="Tahoma"/>
          <w:sz w:val="21"/>
          <w:szCs w:val="21"/>
        </w:rPr>
      </w:pPr>
    </w:p>
    <w:p w14:paraId="604DAC6B"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11.2.</w:t>
      </w:r>
      <w:r w:rsidRPr="000F572C">
        <w:rPr>
          <w:rFonts w:ascii="Tahoma" w:hAnsi="Tahoma"/>
          <w:sz w:val="21"/>
          <w:szCs w:val="21"/>
        </w:rPr>
        <w:tab/>
        <w:t>Admite-se, nas hipóteses em que este Regulamento exija a “ciência”, “atesto”, “manifestação de voto” ou “concordância” dos Cotistas, que estes se deem por meio eletrônico.</w:t>
      </w:r>
    </w:p>
    <w:p w14:paraId="1EDC61EF" w14:textId="77777777" w:rsidR="009949F7" w:rsidRPr="000F572C" w:rsidRDefault="009949F7" w:rsidP="009949F7">
      <w:pPr>
        <w:spacing w:after="0" w:line="280" w:lineRule="atLeast"/>
        <w:jc w:val="both"/>
        <w:rPr>
          <w:rFonts w:ascii="Tahoma" w:hAnsi="Tahoma"/>
          <w:sz w:val="21"/>
          <w:szCs w:val="21"/>
        </w:rPr>
      </w:pPr>
    </w:p>
    <w:p w14:paraId="07A5D83B"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11.3. O atendimento aos Cotistas para receber e encaminhar questões relacionadas ao Fundo será realizado por meio da Central de Atendimento do Santander, pelos seguintes meios:</w:t>
      </w:r>
    </w:p>
    <w:p w14:paraId="00651113" w14:textId="77777777" w:rsidR="009949F7" w:rsidRPr="000F572C" w:rsidRDefault="009949F7" w:rsidP="009949F7">
      <w:pPr>
        <w:spacing w:after="0" w:line="280" w:lineRule="atLeast"/>
        <w:jc w:val="both"/>
        <w:rPr>
          <w:rFonts w:ascii="Tahoma" w:hAnsi="Tahoma"/>
          <w:sz w:val="21"/>
          <w:szCs w:val="21"/>
        </w:rPr>
      </w:pPr>
    </w:p>
    <w:p w14:paraId="404CBDE0"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Capitais e Regiões Metropolitanas: 4004-3535</w:t>
      </w:r>
    </w:p>
    <w:p w14:paraId="5B1D0827"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Demais localidades: 0800-702-3535</w:t>
      </w:r>
    </w:p>
    <w:p w14:paraId="03CE96DD"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Serviço de Apoio ao Consumidor – SAC: 0800-762-7777</w:t>
      </w:r>
    </w:p>
    <w:p w14:paraId="277E55D5"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Ouvidoria: 0800-726-0322</w:t>
      </w:r>
    </w:p>
    <w:p w14:paraId="34AF930A" w14:textId="77777777" w:rsidR="009949F7" w:rsidRPr="000F572C" w:rsidRDefault="009949F7" w:rsidP="009949F7">
      <w:pPr>
        <w:spacing w:after="0" w:line="280" w:lineRule="atLeast"/>
        <w:jc w:val="both"/>
        <w:rPr>
          <w:rFonts w:ascii="Tahoma" w:hAnsi="Tahoma"/>
          <w:sz w:val="21"/>
          <w:szCs w:val="21"/>
        </w:rPr>
      </w:pPr>
    </w:p>
    <w:p w14:paraId="4EA8A51F"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11.4. </w:t>
      </w:r>
      <w:r w:rsidRPr="000F572C">
        <w:rPr>
          <w:rFonts w:ascii="Tahoma" w:hAnsi="Tahoma" w:cs="Tahoma"/>
          <w:sz w:val="21"/>
          <w:szCs w:val="21"/>
        </w:rPr>
        <w:t>Os valores mínimos e máximos de investimento inicial, movimentação e manutenção encontram-se indicados no Formulário.</w:t>
      </w:r>
      <w:r w:rsidRPr="000F572C">
        <w:rPr>
          <w:rFonts w:ascii="Tahoma" w:hAnsi="Tahoma"/>
          <w:sz w:val="21"/>
          <w:szCs w:val="21"/>
        </w:rPr>
        <w:t xml:space="preserve"> </w:t>
      </w:r>
    </w:p>
    <w:p w14:paraId="36D382D5" w14:textId="77777777" w:rsidR="009949F7" w:rsidRPr="000F572C" w:rsidRDefault="009949F7" w:rsidP="009949F7">
      <w:pPr>
        <w:spacing w:after="0" w:line="280" w:lineRule="atLeast"/>
        <w:jc w:val="both"/>
        <w:rPr>
          <w:rFonts w:ascii="Tahoma" w:hAnsi="Tahoma"/>
          <w:sz w:val="21"/>
          <w:szCs w:val="21"/>
        </w:rPr>
      </w:pPr>
    </w:p>
    <w:p w14:paraId="6B4F06C9"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 xml:space="preserve">11.5. Para transmissão de ordens de aplicação e de resgate de cotas do FUNDO, os Cotistas utilizarão os meios disponibilizados pelo ADMINISTRADOR para tal finalidade. </w:t>
      </w:r>
    </w:p>
    <w:p w14:paraId="51C42BF4" w14:textId="77777777" w:rsidR="009949F7" w:rsidRPr="000F572C" w:rsidRDefault="009949F7" w:rsidP="009949F7">
      <w:pPr>
        <w:spacing w:after="0" w:line="280" w:lineRule="atLeast"/>
        <w:jc w:val="both"/>
        <w:rPr>
          <w:rFonts w:ascii="Tahoma" w:hAnsi="Tahoma"/>
          <w:sz w:val="21"/>
          <w:szCs w:val="21"/>
        </w:rPr>
      </w:pPr>
    </w:p>
    <w:p w14:paraId="6DD70EDF"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11.6. O ADMINISTRADOR poderá gravar toda e qualquer ligação telefônica mantida entre o ADMINISTRADOR e os Cotistas, bem como, utilizar referidas gravações para efeito de prova das ordens transmitidas e das demais informações nelas contidas.</w:t>
      </w:r>
    </w:p>
    <w:p w14:paraId="6E627C0B" w14:textId="77777777" w:rsidR="009949F7" w:rsidRPr="000F572C" w:rsidRDefault="009949F7" w:rsidP="009949F7">
      <w:pPr>
        <w:spacing w:after="0" w:line="280" w:lineRule="atLeast"/>
        <w:jc w:val="both"/>
        <w:rPr>
          <w:rFonts w:ascii="Tahoma" w:hAnsi="Tahoma"/>
          <w:sz w:val="21"/>
          <w:szCs w:val="21"/>
        </w:rPr>
      </w:pPr>
    </w:p>
    <w:p w14:paraId="533D95BA" w14:textId="77777777" w:rsidR="009949F7" w:rsidRPr="000F572C" w:rsidRDefault="009949F7" w:rsidP="009949F7">
      <w:pPr>
        <w:spacing w:after="0" w:line="280" w:lineRule="atLeast"/>
        <w:jc w:val="both"/>
        <w:rPr>
          <w:rFonts w:ascii="Tahoma" w:hAnsi="Tahoma"/>
          <w:sz w:val="21"/>
          <w:szCs w:val="21"/>
        </w:rPr>
      </w:pPr>
      <w:r w:rsidRPr="000F572C">
        <w:rPr>
          <w:rFonts w:ascii="Tahoma" w:hAnsi="Tahoma"/>
          <w:sz w:val="21"/>
          <w:szCs w:val="21"/>
        </w:rPr>
        <w:t>11.7. Fica eleito o foro da Comarca da Capital do Estado de São Paulo, com a exclusão de qualquer outro, por mais privilegiado que seja, para dirimir quaisquer dúvidas ou controvérsias advindas deste Regulamento.</w:t>
      </w:r>
    </w:p>
    <w:p w14:paraId="7CA5D16A" w14:textId="77777777" w:rsidR="009949F7" w:rsidRDefault="009949F7" w:rsidP="009949F7">
      <w:pPr>
        <w:pStyle w:val="NormalWeb"/>
        <w:shd w:val="clear" w:color="auto" w:fill="FFFFFF"/>
        <w:spacing w:after="0"/>
        <w:jc w:val="center"/>
        <w:rPr>
          <w:rFonts w:ascii="Tahoma" w:hAnsi="Tahoma" w:cs="Tahoma"/>
          <w:color w:val="242424"/>
          <w:sz w:val="21"/>
          <w:szCs w:val="21"/>
        </w:rPr>
      </w:pPr>
    </w:p>
    <w:p w14:paraId="7ADD113C" w14:textId="77777777" w:rsidR="001400C5" w:rsidRDefault="001400C5" w:rsidP="009949F7">
      <w:pPr>
        <w:pStyle w:val="NormalWeb"/>
        <w:shd w:val="clear" w:color="auto" w:fill="FFFFFF"/>
        <w:spacing w:after="0"/>
        <w:jc w:val="center"/>
        <w:rPr>
          <w:rFonts w:ascii="Tahoma" w:hAnsi="Tahoma" w:cs="Tahoma"/>
          <w:color w:val="242424"/>
          <w:sz w:val="21"/>
          <w:szCs w:val="21"/>
        </w:rPr>
      </w:pPr>
      <w:r w:rsidRPr="001400C5">
        <w:rPr>
          <w:rFonts w:ascii="Tahoma" w:hAnsi="Tahoma" w:cs="Tahoma"/>
          <w:color w:val="242424"/>
          <w:sz w:val="21"/>
          <w:szCs w:val="21"/>
        </w:rPr>
        <w:t>São Paulo, 14 de fevereiro de 2024.</w:t>
      </w:r>
    </w:p>
    <w:p w14:paraId="0F035199" w14:textId="77777777" w:rsidR="001400C5" w:rsidRDefault="001400C5" w:rsidP="009949F7">
      <w:pPr>
        <w:pStyle w:val="NormalWeb"/>
        <w:shd w:val="clear" w:color="auto" w:fill="FFFFFF"/>
        <w:spacing w:after="0"/>
        <w:jc w:val="center"/>
        <w:rPr>
          <w:rFonts w:ascii="Tahoma" w:hAnsi="Tahoma" w:cs="Tahoma"/>
          <w:color w:val="242424"/>
          <w:sz w:val="21"/>
          <w:szCs w:val="21"/>
        </w:rPr>
      </w:pPr>
    </w:p>
    <w:p w14:paraId="76A1EB95" w14:textId="49FC9B42" w:rsidR="009949F7" w:rsidRPr="000F572C" w:rsidRDefault="009949F7" w:rsidP="009949F7">
      <w:pPr>
        <w:pStyle w:val="NormalWeb"/>
        <w:shd w:val="clear" w:color="auto" w:fill="FFFFFF"/>
        <w:spacing w:after="0"/>
        <w:jc w:val="center"/>
        <w:rPr>
          <w:rFonts w:ascii="Tahoma" w:hAnsi="Tahoma" w:cs="Tahoma"/>
          <w:b/>
          <w:bCs/>
          <w:color w:val="242424"/>
          <w:sz w:val="21"/>
          <w:szCs w:val="21"/>
        </w:rPr>
      </w:pPr>
      <w:r w:rsidRPr="000F572C">
        <w:rPr>
          <w:rFonts w:ascii="Tahoma" w:hAnsi="Tahoma" w:cs="Tahoma"/>
          <w:b/>
          <w:bCs/>
          <w:color w:val="242424"/>
          <w:sz w:val="21"/>
          <w:szCs w:val="21"/>
        </w:rPr>
        <w:t>SANTANDER DISTRIBUIDORA DE TÍTULOS E VALORES MOBILIÁRIOS S.A.</w:t>
      </w:r>
    </w:p>
    <w:p w14:paraId="3CD7AF10" w14:textId="77777777" w:rsidR="009949F7" w:rsidRPr="000F572C" w:rsidRDefault="009949F7" w:rsidP="009949F7">
      <w:pPr>
        <w:pStyle w:val="NormalWeb"/>
        <w:shd w:val="clear" w:color="auto" w:fill="FFFFFF"/>
        <w:spacing w:before="0" w:after="0"/>
        <w:jc w:val="center"/>
        <w:rPr>
          <w:rFonts w:ascii="Tahoma" w:hAnsi="Tahoma" w:cs="Tahoma"/>
          <w:color w:val="242424"/>
          <w:sz w:val="21"/>
          <w:szCs w:val="21"/>
        </w:rPr>
      </w:pPr>
      <w:r w:rsidRPr="000F572C">
        <w:rPr>
          <w:rFonts w:ascii="Tahoma" w:hAnsi="Tahoma" w:cs="Tahoma"/>
          <w:color w:val="242424"/>
          <w:sz w:val="21"/>
          <w:szCs w:val="21"/>
        </w:rPr>
        <w:t>Administrador</w:t>
      </w:r>
    </w:p>
    <w:p w14:paraId="3963CB4F" w14:textId="77777777" w:rsidR="009949F7" w:rsidRPr="000F572C" w:rsidRDefault="009949F7" w:rsidP="009949F7">
      <w:pPr>
        <w:pStyle w:val="Ttulo6"/>
        <w:spacing w:line="280" w:lineRule="atLeast"/>
        <w:jc w:val="both"/>
        <w:rPr>
          <w:rFonts w:ascii="Tahoma" w:hAnsi="Tahoma" w:cs="Tahoma"/>
          <w:sz w:val="21"/>
          <w:szCs w:val="21"/>
        </w:rPr>
      </w:pPr>
    </w:p>
    <w:p w14:paraId="38072C3F" w14:textId="77777777" w:rsidR="009949F7" w:rsidRDefault="009949F7" w:rsidP="00656053">
      <w:pPr>
        <w:spacing w:after="0" w:line="320" w:lineRule="exact"/>
        <w:jc w:val="center"/>
        <w:rPr>
          <w:rFonts w:ascii="Tahoma" w:eastAsia="Times New Roman" w:hAnsi="Tahoma" w:cs="Tahoma"/>
          <w:b/>
          <w:bCs/>
          <w:sz w:val="20"/>
          <w:szCs w:val="20"/>
          <w:lang w:eastAsia="pt-BR"/>
        </w:rPr>
      </w:pPr>
    </w:p>
    <w:sectPr w:rsidR="009949F7" w:rsidSect="001400C5">
      <w:headerReference w:type="default" r:id="rId7"/>
      <w:headerReference w:type="first" r:id="rId8"/>
      <w:footerReference w:type="first" r:id="rId9"/>
      <w:pgSz w:w="11907" w:h="16840" w:code="9"/>
      <w:pgMar w:top="426" w:right="720" w:bottom="720" w:left="720" w:header="0" w:footer="1106"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CAAC5" w14:textId="77777777" w:rsidR="00C328D9" w:rsidRDefault="00C328D9" w:rsidP="00023DD5">
      <w:pPr>
        <w:spacing w:after="0" w:line="240" w:lineRule="auto"/>
      </w:pPr>
      <w:r>
        <w:separator/>
      </w:r>
    </w:p>
  </w:endnote>
  <w:endnote w:type="continuationSeparator" w:id="0">
    <w:p w14:paraId="603FDFBD" w14:textId="77777777" w:rsidR="00C328D9" w:rsidRDefault="00C328D9"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DF83" w14:textId="77777777" w:rsidR="0073682B"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73682B" w:rsidRDefault="007368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42652" w14:textId="77777777" w:rsidR="00C328D9" w:rsidRDefault="00C328D9" w:rsidP="00023DD5">
      <w:pPr>
        <w:spacing w:after="0" w:line="240" w:lineRule="auto"/>
      </w:pPr>
      <w:r>
        <w:separator/>
      </w:r>
    </w:p>
  </w:footnote>
  <w:footnote w:type="continuationSeparator" w:id="0">
    <w:p w14:paraId="67204B5F" w14:textId="77777777" w:rsidR="00C328D9" w:rsidRDefault="00C328D9"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7167" w14:textId="6D38F1E4" w:rsidR="0073682B" w:rsidRPr="00DB4594" w:rsidRDefault="005F40CE" w:rsidP="00E92DEC">
    <w:pPr>
      <w:pStyle w:val="Cabealho"/>
    </w:pPr>
    <w:r>
      <w:rPr>
        <w:noProof/>
        <w:lang w:val="pt-BR"/>
      </w:rPr>
      <w:drawing>
        <wp:anchor distT="0" distB="0" distL="114300" distR="114300" simplePos="0" relativeHeight="251662336" behindDoc="0" locked="0" layoutInCell="1" allowOverlap="1" wp14:anchorId="0FB370BD" wp14:editId="695112D5">
          <wp:simplePos x="0" y="0"/>
          <wp:positionH relativeFrom="margin">
            <wp:posOffset>4309022</wp:posOffset>
          </wp:positionH>
          <wp:positionV relativeFrom="paragraph">
            <wp:posOffset>8491</wp:posOffset>
          </wp:positionV>
          <wp:extent cx="2533650" cy="604520"/>
          <wp:effectExtent l="0" t="0" r="0" b="5080"/>
          <wp:wrapNone/>
          <wp:docPr id="4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736A3" w14:textId="038A5704" w:rsidR="0073682B" w:rsidRDefault="0073682B"/>
  <w:p w14:paraId="5227EA39" w14:textId="77777777" w:rsidR="0073682B" w:rsidRDefault="007368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73682B" w:rsidRDefault="005F40CE">
          <w:pPr>
            <w:pStyle w:val="Cabealho"/>
          </w:pPr>
          <w:r>
            <w:rPr>
              <w:noProof/>
            </w:rPr>
            <w:drawing>
              <wp:inline distT="0" distB="0" distL="0" distR="0" wp14:anchorId="573BC89F" wp14:editId="7FBC323E">
                <wp:extent cx="1302385" cy="379730"/>
                <wp:effectExtent l="0" t="0" r="0" b="127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73682B" w:rsidRDefault="0073682B">
          <w:pPr>
            <w:pStyle w:val="Cabealho"/>
            <w:ind w:left="-108"/>
            <w:rPr>
              <w:rFonts w:ascii="Bookman Old Style" w:hAnsi="Bookman Old Style"/>
              <w:sz w:val="18"/>
            </w:rPr>
          </w:pPr>
        </w:p>
        <w:p w14:paraId="0228FD98" w14:textId="77777777" w:rsidR="0073682B"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73682B" w:rsidRPr="004C00C2" w:rsidRDefault="0073682B">
    <w:pPr>
      <w:pStyle w:val="Cabealho"/>
      <w:rPr>
        <w:lang w:val="pt-BR"/>
      </w:rPr>
    </w:pPr>
  </w:p>
  <w:p w14:paraId="671EFC53" w14:textId="77777777" w:rsidR="0073682B" w:rsidRPr="00145FC3" w:rsidRDefault="007368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38E"/>
    <w:multiLevelType w:val="hybridMultilevel"/>
    <w:tmpl w:val="A6BC09F2"/>
    <w:lvl w:ilvl="0" w:tplc="5308CC82">
      <w:start w:val="1"/>
      <w:numFmt w:val="low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7865390">
    <w:abstractNumId w:val="1"/>
  </w:num>
  <w:num w:numId="2" w16cid:durableId="2121603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1400C5"/>
    <w:rsid w:val="0019585C"/>
    <w:rsid w:val="00204ACD"/>
    <w:rsid w:val="00212700"/>
    <w:rsid w:val="00546CB2"/>
    <w:rsid w:val="005617E3"/>
    <w:rsid w:val="005717E7"/>
    <w:rsid w:val="005B6B44"/>
    <w:rsid w:val="005F40CE"/>
    <w:rsid w:val="006205B5"/>
    <w:rsid w:val="00656053"/>
    <w:rsid w:val="00711CBF"/>
    <w:rsid w:val="0073682B"/>
    <w:rsid w:val="007939BA"/>
    <w:rsid w:val="007A7C28"/>
    <w:rsid w:val="008A2259"/>
    <w:rsid w:val="008F725A"/>
    <w:rsid w:val="009949F7"/>
    <w:rsid w:val="009A6E52"/>
    <w:rsid w:val="00A5101B"/>
    <w:rsid w:val="00A73737"/>
    <w:rsid w:val="00A920F1"/>
    <w:rsid w:val="00B8305F"/>
    <w:rsid w:val="00C02732"/>
    <w:rsid w:val="00C328D9"/>
    <w:rsid w:val="00D76F8E"/>
    <w:rsid w:val="00E53D8D"/>
    <w:rsid w:val="00E6236D"/>
    <w:rsid w:val="00F56342"/>
    <w:rsid w:val="00FE77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uiPriority w:val="99"/>
    <w:rsid w:val="005F40CE"/>
    <w:rPr>
      <w:vertAlign w:val="superscript"/>
    </w:rPr>
  </w:style>
  <w:style w:type="paragraph" w:styleId="Reviso">
    <w:name w:val="Revision"/>
    <w:hidden/>
    <w:uiPriority w:val="99"/>
    <w:semiHidden/>
    <w:rsid w:val="005717E7"/>
    <w:pPr>
      <w:spacing w:after="0" w:line="240" w:lineRule="auto"/>
    </w:pPr>
  </w:style>
  <w:style w:type="character" w:customStyle="1" w:styleId="ui-provider">
    <w:name w:val="ui-provider"/>
    <w:basedOn w:val="Fontepargpadro"/>
    <w:rsid w:val="00D76F8E"/>
  </w:style>
  <w:style w:type="paragraph" w:styleId="PargrafodaLista">
    <w:name w:val="List Paragraph"/>
    <w:basedOn w:val="Normal"/>
    <w:uiPriority w:val="34"/>
    <w:qFormat/>
    <w:rsid w:val="009949F7"/>
    <w:pPr>
      <w:spacing w:after="0" w:line="240" w:lineRule="auto"/>
      <w:ind w:left="720"/>
      <w:contextualSpacing/>
    </w:pPr>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9949F7"/>
    <w:pPr>
      <w:widowControl w:val="0"/>
      <w:spacing w:after="0" w:line="320" w:lineRule="exact"/>
      <w:jc w:val="both"/>
    </w:pPr>
    <w:rPr>
      <w:rFonts w:ascii="Times New Roman" w:eastAsia="Times New Roman" w:hAnsi="Times New Roman" w:cs="Times New Roman"/>
      <w:b/>
      <w:sz w:val="26"/>
      <w:szCs w:val="20"/>
      <w:lang w:eastAsia="pt-BR"/>
    </w:rPr>
  </w:style>
  <w:style w:type="character" w:customStyle="1" w:styleId="Corpodetexto3Char">
    <w:name w:val="Corpo de texto 3 Char"/>
    <w:basedOn w:val="Fontepargpadro"/>
    <w:link w:val="Corpodetexto3"/>
    <w:rsid w:val="009949F7"/>
    <w:rPr>
      <w:rFonts w:ascii="Times New Roman" w:eastAsia="Times New Roman" w:hAnsi="Times New Roman" w:cs="Times New Roman"/>
      <w:b/>
      <w:sz w:val="2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50253">
      <w:bodyDiv w:val="1"/>
      <w:marLeft w:val="0"/>
      <w:marRight w:val="0"/>
      <w:marTop w:val="0"/>
      <w:marBottom w:val="0"/>
      <w:divBdr>
        <w:top w:val="none" w:sz="0" w:space="0" w:color="auto"/>
        <w:left w:val="none" w:sz="0" w:space="0" w:color="auto"/>
        <w:bottom w:val="none" w:sz="0" w:space="0" w:color="auto"/>
        <w:right w:val="none" w:sz="0" w:space="0" w:color="auto"/>
      </w:divBdr>
    </w:div>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606498992">
      <w:bodyDiv w:val="1"/>
      <w:marLeft w:val="0"/>
      <w:marRight w:val="0"/>
      <w:marTop w:val="0"/>
      <w:marBottom w:val="0"/>
      <w:divBdr>
        <w:top w:val="none" w:sz="0" w:space="0" w:color="auto"/>
        <w:left w:val="none" w:sz="0" w:space="0" w:color="auto"/>
        <w:bottom w:val="none" w:sz="0" w:space="0" w:color="auto"/>
        <w:right w:val="none" w:sz="0" w:space="0" w:color="auto"/>
      </w:divBdr>
    </w:div>
    <w:div w:id="10028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5565</Words>
  <Characters>30052</Characters>
  <Application>Microsoft Office Word</Application>
  <DocSecurity>0</DocSecurity>
  <Lines>250</Lines>
  <Paragraphs>71</Paragraphs>
  <ScaleCrop>false</ScaleCrop>
  <Company/>
  <LinksUpToDate>false</LinksUpToDate>
  <CharactersWithSpaces>35546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Jaqueline Santos Lima Reis</cp:lastModifiedBy>
  <cp:revision>10</cp:revision>
  <cp:lastPrinted>2024-02-09T17:38:00Z</cp:lastPrinted>
  <dcterms:created xsi:type="dcterms:W3CDTF">2024-02-07T19:08:00Z</dcterms:created>
  <dcterms:modified xsi:type="dcterms:W3CDTF">2024-02-09T18:52:00Z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