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4F01A" w14:textId="28A7482B" w:rsidR="00FF24E3" w:rsidRPr="00B143B9" w:rsidRDefault="00FF24E3" w:rsidP="00B143B9">
      <w:pPr>
        <w:pStyle w:val="Corpodetexto"/>
        <w:spacing w:line="320" w:lineRule="exact"/>
        <w:rPr>
          <w:rFonts w:ascii="Tahoma" w:hAnsi="Tahoma" w:cs="Tahoma"/>
          <w:b w:val="0"/>
          <w:bCs/>
          <w:sz w:val="22"/>
          <w:szCs w:val="22"/>
          <w:lang w:val="pt-BR"/>
        </w:rPr>
      </w:pPr>
      <w:r w:rsidRPr="00B143B9">
        <w:rPr>
          <w:rFonts w:ascii="Tahoma" w:hAnsi="Tahoma" w:cs="Tahoma"/>
          <w:b w:val="0"/>
          <w:bCs/>
          <w:sz w:val="22"/>
          <w:szCs w:val="22"/>
          <w:lang w:val="pt-BR"/>
        </w:rPr>
        <w:t xml:space="preserve">O presente Regulamento é parte integrante da Ata De Assembleia Geral De Cotistas Do </w:t>
      </w:r>
      <w:r w:rsidR="005B2A4A" w:rsidRPr="005B2A4A">
        <w:rPr>
          <w:rFonts w:ascii="Tahoma" w:hAnsi="Tahoma" w:cs="Tahoma"/>
          <w:b w:val="0"/>
          <w:bCs/>
          <w:sz w:val="22"/>
          <w:szCs w:val="22"/>
          <w:lang w:val="pt-BR"/>
        </w:rPr>
        <w:t>SANTANDER PB GRAFENUS MULTIMERCADO CRÉDITO PRIVADO FUNDO DE INVESTIMENTO</w:t>
      </w:r>
      <w:r w:rsidR="005B2A4A">
        <w:rPr>
          <w:rFonts w:ascii="Tahoma" w:hAnsi="Tahoma" w:cs="Tahoma"/>
          <w:b w:val="0"/>
          <w:bCs/>
          <w:sz w:val="22"/>
          <w:szCs w:val="22"/>
          <w:lang w:val="pt-BR"/>
        </w:rPr>
        <w:t xml:space="preserve">, realizada em </w:t>
      </w:r>
      <w:r w:rsidR="00615DC4">
        <w:rPr>
          <w:rFonts w:ascii="Tahoma" w:hAnsi="Tahoma" w:cs="Tahoma"/>
          <w:b w:val="0"/>
          <w:bCs/>
          <w:sz w:val="22"/>
          <w:szCs w:val="22"/>
          <w:lang w:val="pt-BR"/>
        </w:rPr>
        <w:t>1</w:t>
      </w:r>
      <w:r w:rsidR="00EF4242">
        <w:rPr>
          <w:rFonts w:ascii="Tahoma" w:hAnsi="Tahoma" w:cs="Tahoma"/>
          <w:b w:val="0"/>
          <w:bCs/>
          <w:sz w:val="22"/>
          <w:szCs w:val="22"/>
          <w:lang w:val="pt-BR"/>
        </w:rPr>
        <w:t>4</w:t>
      </w:r>
      <w:r w:rsidR="00615DC4">
        <w:rPr>
          <w:rFonts w:ascii="Tahoma" w:hAnsi="Tahoma" w:cs="Tahoma"/>
          <w:b w:val="0"/>
          <w:bCs/>
          <w:sz w:val="22"/>
          <w:szCs w:val="22"/>
          <w:lang w:val="pt-BR"/>
        </w:rPr>
        <w:t>/08/2024.</w:t>
      </w:r>
    </w:p>
    <w:p w14:paraId="257BD476" w14:textId="77777777" w:rsidR="00FF24E3" w:rsidRPr="00B143B9" w:rsidRDefault="00FF24E3" w:rsidP="00B143B9">
      <w:pPr>
        <w:pStyle w:val="Corpodetexto"/>
        <w:spacing w:line="320" w:lineRule="exact"/>
        <w:rPr>
          <w:rFonts w:ascii="Tahoma" w:hAnsi="Tahoma" w:cs="Tahoma"/>
          <w:sz w:val="22"/>
          <w:szCs w:val="22"/>
          <w:lang w:val="pt-BR"/>
        </w:rPr>
      </w:pPr>
    </w:p>
    <w:p w14:paraId="1EC13429" w14:textId="77777777" w:rsidR="00A6537F" w:rsidRPr="00BA75B3" w:rsidRDefault="00A6537F" w:rsidP="00A6537F">
      <w:pPr>
        <w:pStyle w:val="Ttulo6"/>
        <w:spacing w:line="280" w:lineRule="atLeast"/>
        <w:jc w:val="center"/>
        <w:rPr>
          <w:rFonts w:ascii="Tahoma" w:hAnsi="Tahoma" w:cs="Tahoma"/>
          <w:b w:val="0"/>
          <w:sz w:val="22"/>
          <w:szCs w:val="22"/>
        </w:rPr>
      </w:pPr>
      <w:r w:rsidRPr="00BA75B3">
        <w:rPr>
          <w:rFonts w:ascii="Tahoma" w:hAnsi="Tahoma" w:cs="Tahoma"/>
          <w:sz w:val="22"/>
          <w:szCs w:val="22"/>
        </w:rPr>
        <w:t>REGULAMENTO DO</w:t>
      </w:r>
      <w:bookmarkStart w:id="0" w:name="OLE_LINK4"/>
    </w:p>
    <w:p w14:paraId="74FACA27" w14:textId="77777777" w:rsidR="00A6537F" w:rsidRPr="00BA75B3" w:rsidRDefault="00A6537F" w:rsidP="00A6537F">
      <w:pPr>
        <w:spacing w:line="280" w:lineRule="atLeast"/>
        <w:jc w:val="center"/>
        <w:rPr>
          <w:rFonts w:ascii="Tahoma" w:hAnsi="Tahoma" w:cs="Tahoma"/>
          <w:b/>
        </w:rPr>
      </w:pPr>
      <w:bookmarkStart w:id="1" w:name="_Hlk149657514"/>
      <w:bookmarkEnd w:id="0"/>
      <w:r w:rsidRPr="00BA75B3">
        <w:rPr>
          <w:rFonts w:ascii="Tahoma" w:hAnsi="Tahoma" w:cs="Tahoma"/>
          <w:b/>
        </w:rPr>
        <w:t>SANTANDER PB GRAFENUS MULTIMERCADO CRÉDITO PRIVADO FUNDO DE INVESTIMENTO</w:t>
      </w:r>
      <w:bookmarkEnd w:id="1"/>
    </w:p>
    <w:p w14:paraId="542A4263" w14:textId="77777777" w:rsidR="00A6537F" w:rsidRPr="00BA75B3" w:rsidRDefault="00A6537F" w:rsidP="00A6537F">
      <w:pPr>
        <w:spacing w:line="280" w:lineRule="atLeast"/>
        <w:jc w:val="center"/>
        <w:rPr>
          <w:rFonts w:ascii="Tahoma" w:hAnsi="Tahoma" w:cs="Tahoma"/>
          <w:b/>
        </w:rPr>
      </w:pPr>
      <w:r w:rsidRPr="00BA75B3">
        <w:rPr>
          <w:rFonts w:ascii="Tahoma" w:hAnsi="Tahoma" w:cs="Tahoma"/>
          <w:b/>
        </w:rPr>
        <w:t xml:space="preserve">CNPJ n.º 23.781.682/0001-12 </w:t>
      </w:r>
    </w:p>
    <w:p w14:paraId="7441B27E" w14:textId="77777777" w:rsidR="00A6537F" w:rsidRPr="00BA75B3" w:rsidRDefault="00A6537F" w:rsidP="00A6537F">
      <w:pPr>
        <w:spacing w:line="280" w:lineRule="atLeast"/>
        <w:jc w:val="center"/>
        <w:rPr>
          <w:rFonts w:ascii="Tahoma" w:hAnsi="Tahoma" w:cs="Tahoma"/>
          <w:b/>
        </w:rPr>
      </w:pPr>
    </w:p>
    <w:p w14:paraId="17698682" w14:textId="77777777" w:rsidR="00A6537F" w:rsidRPr="00BA75B3" w:rsidRDefault="00A6537F" w:rsidP="00A6537F">
      <w:pPr>
        <w:spacing w:line="280" w:lineRule="atLeast"/>
        <w:jc w:val="both"/>
        <w:rPr>
          <w:rFonts w:ascii="Tahoma" w:hAnsi="Tahoma" w:cs="Tahoma"/>
        </w:rPr>
      </w:pPr>
    </w:p>
    <w:p w14:paraId="4659F115" w14:textId="77777777" w:rsidR="00A6537F" w:rsidRPr="00BA75B3" w:rsidRDefault="00A6537F" w:rsidP="00A6537F">
      <w:pPr>
        <w:pBdr>
          <w:bottom w:val="single" w:sz="6" w:space="1" w:color="auto"/>
        </w:pBdr>
        <w:spacing w:line="280" w:lineRule="atLeast"/>
        <w:jc w:val="center"/>
        <w:rPr>
          <w:rFonts w:ascii="Tahoma" w:hAnsi="Tahoma" w:cs="Tahoma"/>
          <w:b/>
        </w:rPr>
      </w:pPr>
      <w:r w:rsidRPr="00BA75B3">
        <w:rPr>
          <w:rFonts w:ascii="Tahoma" w:hAnsi="Tahoma" w:cs="Tahoma"/>
          <w:b/>
        </w:rPr>
        <w:t>CLÁUSULA PRIMEIRA – DO FUNDO</w:t>
      </w:r>
    </w:p>
    <w:p w14:paraId="038293E4" w14:textId="77777777" w:rsidR="00A6537F" w:rsidRPr="00BA75B3" w:rsidRDefault="00A6537F" w:rsidP="00A6537F">
      <w:pPr>
        <w:spacing w:line="280" w:lineRule="atLeast"/>
        <w:jc w:val="both"/>
        <w:rPr>
          <w:rFonts w:ascii="Tahoma" w:hAnsi="Tahoma" w:cs="Tahoma"/>
        </w:rPr>
      </w:pPr>
    </w:p>
    <w:p w14:paraId="43703C76" w14:textId="77777777" w:rsidR="00A6537F" w:rsidRPr="00BA75B3" w:rsidRDefault="00A6537F" w:rsidP="00A6537F">
      <w:pPr>
        <w:spacing w:line="280" w:lineRule="atLeast"/>
        <w:jc w:val="both"/>
        <w:rPr>
          <w:rFonts w:ascii="Tahoma" w:hAnsi="Tahoma" w:cs="Tahoma"/>
          <w:b/>
          <w:color w:val="000000"/>
          <w:u w:val="single"/>
        </w:rPr>
      </w:pPr>
      <w:r w:rsidRPr="00BA75B3">
        <w:rPr>
          <w:rFonts w:ascii="Tahoma" w:hAnsi="Tahoma" w:cs="Tahoma"/>
        </w:rPr>
        <w:t xml:space="preserve">1.1. </w:t>
      </w:r>
      <w:r w:rsidRPr="00BA75B3">
        <w:rPr>
          <w:rFonts w:ascii="Tahoma" w:hAnsi="Tahoma" w:cs="Tahoma"/>
        </w:rPr>
        <w:tab/>
        <w:t>O</w:t>
      </w:r>
      <w:r w:rsidRPr="00BA75B3">
        <w:rPr>
          <w:rFonts w:ascii="Tahoma" w:hAnsi="Tahoma" w:cs="Tahoma"/>
          <w:b/>
        </w:rPr>
        <w:t xml:space="preserve"> SANTANDER PB GRAFENUS MULTIMERCADO CRÉDITO PRIVADO FUNDO DE INVESTIMENTO </w:t>
      </w:r>
      <w:r w:rsidRPr="00BA75B3">
        <w:rPr>
          <w:rFonts w:ascii="Tahoma" w:hAnsi="Tahoma" w:cs="Tahoma"/>
        </w:rPr>
        <w:t xml:space="preserve">(“FUNDO”) é uma comunhão de recursos, constituído sob a forma de condomínio </w:t>
      </w:r>
      <w:r>
        <w:rPr>
          <w:rFonts w:ascii="Tahoma" w:hAnsi="Tahoma" w:cs="Tahoma"/>
          <w:color w:val="000000"/>
        </w:rPr>
        <w:t>aberto</w:t>
      </w:r>
      <w:r w:rsidRPr="00BA75B3">
        <w:rPr>
          <w:rFonts w:ascii="Tahoma" w:hAnsi="Tahoma" w:cs="Tahoma"/>
          <w:color w:val="000000"/>
        </w:rPr>
        <w:t>, com prazo de duração indeterminado (“Prazo de Duração”), sendo regido pelo presente regulamento (“Regulamento”) e pela legislação e regulamentação em vigor.</w:t>
      </w:r>
    </w:p>
    <w:p w14:paraId="43CC6245" w14:textId="77777777" w:rsidR="00A6537F" w:rsidRPr="00BA75B3" w:rsidRDefault="00A6537F" w:rsidP="00A6537F">
      <w:pPr>
        <w:spacing w:line="280" w:lineRule="atLeast"/>
        <w:jc w:val="both"/>
        <w:rPr>
          <w:rFonts w:ascii="Tahoma" w:hAnsi="Tahoma" w:cs="Tahoma"/>
        </w:rPr>
      </w:pPr>
    </w:p>
    <w:p w14:paraId="12E2BE05" w14:textId="77777777" w:rsidR="00A6537F" w:rsidRPr="00BA75B3" w:rsidRDefault="00A6537F" w:rsidP="00A6537F">
      <w:pPr>
        <w:pBdr>
          <w:bottom w:val="single" w:sz="6" w:space="1" w:color="auto"/>
        </w:pBdr>
        <w:spacing w:line="280" w:lineRule="atLeast"/>
        <w:jc w:val="center"/>
        <w:rPr>
          <w:rFonts w:ascii="Tahoma" w:hAnsi="Tahoma" w:cs="Tahoma"/>
          <w:b/>
        </w:rPr>
      </w:pPr>
      <w:r w:rsidRPr="00BA75B3">
        <w:rPr>
          <w:rFonts w:ascii="Tahoma" w:hAnsi="Tahoma" w:cs="Tahoma"/>
          <w:b/>
        </w:rPr>
        <w:t xml:space="preserve">CLÁUSULA SEGUNDA – DO </w:t>
      </w:r>
      <w:proofErr w:type="gramStart"/>
      <w:r w:rsidRPr="00BA75B3">
        <w:rPr>
          <w:rFonts w:ascii="Tahoma" w:hAnsi="Tahoma" w:cs="Tahoma"/>
          <w:b/>
        </w:rPr>
        <w:t>PÚBLICO ALVO</w:t>
      </w:r>
      <w:proofErr w:type="gramEnd"/>
      <w:r w:rsidRPr="00BA75B3">
        <w:rPr>
          <w:rFonts w:ascii="Tahoma" w:hAnsi="Tahoma" w:cs="Tahoma"/>
          <w:b/>
        </w:rPr>
        <w:t xml:space="preserve"> </w:t>
      </w:r>
    </w:p>
    <w:p w14:paraId="1FA08E33" w14:textId="77777777" w:rsidR="00A6537F" w:rsidRPr="00BA75B3" w:rsidRDefault="00A6537F" w:rsidP="00A6537F">
      <w:pPr>
        <w:pStyle w:val="BodyText21"/>
        <w:spacing w:line="280" w:lineRule="atLeast"/>
        <w:rPr>
          <w:rFonts w:ascii="Tahoma" w:hAnsi="Tahoma" w:cs="Tahoma"/>
          <w:szCs w:val="22"/>
        </w:rPr>
      </w:pPr>
    </w:p>
    <w:p w14:paraId="6D7BFFD5" w14:textId="77777777" w:rsidR="00A6537F" w:rsidRPr="00BA75B3" w:rsidRDefault="00A6537F" w:rsidP="00A6537F">
      <w:pPr>
        <w:spacing w:line="280" w:lineRule="atLeast"/>
        <w:jc w:val="both"/>
        <w:rPr>
          <w:rFonts w:ascii="Tahoma" w:hAnsi="Tahoma" w:cs="Tahoma"/>
        </w:rPr>
      </w:pPr>
      <w:r w:rsidRPr="00BA75B3">
        <w:rPr>
          <w:rFonts w:ascii="Tahoma" w:hAnsi="Tahoma" w:cs="Tahoma"/>
        </w:rPr>
        <w:t>2.1.</w:t>
      </w:r>
      <w:r w:rsidRPr="00BA75B3">
        <w:rPr>
          <w:rFonts w:ascii="Tahoma" w:hAnsi="Tahoma" w:cs="Tahoma"/>
        </w:rPr>
        <w:tab/>
        <w:t xml:space="preserve">O FUNDO é destinado a receber aplicações de um grupo reservado de investidores profissionais, assim definidos nos termos da regulamentação em vigor da Comissão de Valores Mobiliários (“Investidores Profissionais” e “CVM”, respectivamente), integrantes do segmento Private Banking do Santander, </w:t>
      </w:r>
      <w:r w:rsidRPr="00BA75B3">
        <w:rPr>
          <w:rFonts w:ascii="Tahoma" w:hAnsi="Tahoma" w:cs="Tahoma"/>
          <w:bCs/>
        </w:rPr>
        <w:t>a critério do ADMINISTRADOR,</w:t>
      </w:r>
      <w:r w:rsidRPr="00BA75B3">
        <w:rPr>
          <w:rFonts w:ascii="Tahoma" w:hAnsi="Tahoma" w:cs="Tahoma"/>
        </w:rPr>
        <w:t xml:space="preserve"> que conhecem, entendem e aceitam os riscos descritos neste Regulamento, aos quais os investimentos do FUNDO estão expostos em razão dos mercados de atuação do FUNDO (“Cotistas”).</w:t>
      </w:r>
    </w:p>
    <w:p w14:paraId="49128F41" w14:textId="77777777" w:rsidR="00A6537F" w:rsidRPr="00BA75B3" w:rsidRDefault="00A6537F" w:rsidP="00A6537F">
      <w:pPr>
        <w:pBdr>
          <w:bottom w:val="single" w:sz="6" w:space="1" w:color="auto"/>
        </w:pBdr>
        <w:spacing w:line="280" w:lineRule="atLeast"/>
        <w:jc w:val="both"/>
        <w:rPr>
          <w:rFonts w:ascii="Tahoma" w:hAnsi="Tahoma" w:cs="Tahoma"/>
        </w:rPr>
      </w:pPr>
    </w:p>
    <w:p w14:paraId="680E9AA2" w14:textId="77777777" w:rsidR="00A6537F" w:rsidRPr="00BA75B3" w:rsidRDefault="00A6537F" w:rsidP="00A6537F">
      <w:pPr>
        <w:pBdr>
          <w:bottom w:val="single" w:sz="6" w:space="1" w:color="auto"/>
        </w:pBdr>
        <w:spacing w:line="280" w:lineRule="atLeast"/>
        <w:jc w:val="both"/>
        <w:rPr>
          <w:rFonts w:ascii="Tahoma" w:hAnsi="Tahoma" w:cs="Tahoma"/>
        </w:rPr>
      </w:pPr>
      <w:r w:rsidRPr="00BA75B3">
        <w:rPr>
          <w:rFonts w:ascii="Tahoma" w:hAnsi="Tahoma" w:cs="Tahoma"/>
        </w:rPr>
        <w:t>2.2.</w:t>
      </w:r>
      <w:r w:rsidRPr="00BA75B3">
        <w:rPr>
          <w:rFonts w:ascii="Tahoma" w:hAnsi="Tahoma" w:cs="Tahoma"/>
        </w:rPr>
        <w:tab/>
        <w:t xml:space="preserve">O enquadramento dos Cotistas no </w:t>
      </w:r>
      <w:proofErr w:type="gramStart"/>
      <w:r w:rsidRPr="00BA75B3">
        <w:rPr>
          <w:rFonts w:ascii="Tahoma" w:hAnsi="Tahoma" w:cs="Tahoma"/>
        </w:rPr>
        <w:t>Público Alvo</w:t>
      </w:r>
      <w:proofErr w:type="gramEnd"/>
      <w:r w:rsidRPr="00BA75B3">
        <w:rPr>
          <w:rFonts w:ascii="Tahoma" w:hAnsi="Tahoma" w:cs="Tahoma"/>
        </w:rPr>
        <w:t xml:space="preserve"> descrito no item anterior será verificado pelo distribuidor das cotas do FUNDO, no ato do ingresso do Cotista.</w:t>
      </w:r>
    </w:p>
    <w:p w14:paraId="134F39E2" w14:textId="77777777" w:rsidR="00A6537F" w:rsidRPr="00BA75B3" w:rsidRDefault="00A6537F" w:rsidP="00A6537F">
      <w:pPr>
        <w:pBdr>
          <w:bottom w:val="single" w:sz="6" w:space="1" w:color="auto"/>
        </w:pBdr>
        <w:spacing w:line="280" w:lineRule="atLeast"/>
        <w:jc w:val="both"/>
        <w:rPr>
          <w:rFonts w:ascii="Tahoma" w:hAnsi="Tahoma" w:cs="Tahoma"/>
        </w:rPr>
      </w:pPr>
    </w:p>
    <w:p w14:paraId="616C3E55" w14:textId="77777777" w:rsidR="00A6537F" w:rsidRPr="00BA75B3" w:rsidRDefault="00A6537F" w:rsidP="00A6537F">
      <w:pPr>
        <w:pBdr>
          <w:bottom w:val="single" w:sz="6" w:space="1" w:color="auto"/>
        </w:pBdr>
        <w:spacing w:line="280" w:lineRule="atLeast"/>
        <w:jc w:val="center"/>
        <w:rPr>
          <w:rFonts w:ascii="Tahoma" w:hAnsi="Tahoma" w:cs="Tahoma"/>
          <w:b/>
        </w:rPr>
      </w:pPr>
      <w:r w:rsidRPr="00BA75B3">
        <w:rPr>
          <w:rFonts w:ascii="Tahoma" w:hAnsi="Tahoma" w:cs="Tahoma"/>
          <w:b/>
        </w:rPr>
        <w:t>CLÁUSULA TERCEIRA – DO OBJETIVO E DA POLÍTICA DE INVESTIMENTO</w:t>
      </w:r>
    </w:p>
    <w:p w14:paraId="10A03BAB" w14:textId="77777777" w:rsidR="00A6537F" w:rsidRPr="00BA75B3" w:rsidRDefault="00A6537F" w:rsidP="00A6537F">
      <w:pPr>
        <w:spacing w:line="280" w:lineRule="atLeast"/>
        <w:jc w:val="both"/>
        <w:rPr>
          <w:rFonts w:ascii="Tahoma" w:hAnsi="Tahoma" w:cs="Tahoma"/>
        </w:rPr>
      </w:pPr>
    </w:p>
    <w:p w14:paraId="6E1DBB1A" w14:textId="77777777" w:rsidR="00A6537F" w:rsidRPr="00BA75B3" w:rsidRDefault="00A6537F" w:rsidP="00A6537F">
      <w:pPr>
        <w:jc w:val="both"/>
        <w:rPr>
          <w:rFonts w:ascii="Tahoma" w:hAnsi="Tahoma" w:cs="Tahoma"/>
          <w:color w:val="000000"/>
        </w:rPr>
      </w:pPr>
      <w:r w:rsidRPr="00BA75B3">
        <w:rPr>
          <w:rFonts w:ascii="Tahoma" w:hAnsi="Tahoma" w:cs="Tahoma"/>
        </w:rPr>
        <w:t xml:space="preserve">3.1. </w:t>
      </w:r>
      <w:r w:rsidRPr="00BA75B3">
        <w:rPr>
          <w:rFonts w:ascii="Tahoma" w:hAnsi="Tahoma" w:cs="Tahoma"/>
          <w:color w:val="000000"/>
        </w:rPr>
        <w:t xml:space="preserve">O FUNDO tem por objetivo investir em ativos financeiros e/ou modalidades operacionais que envolvam diversos fatores de risco, sem o compromisso de concentração em nenhum fator em especial. </w:t>
      </w:r>
    </w:p>
    <w:p w14:paraId="059FC631" w14:textId="77777777" w:rsidR="00A6537F" w:rsidRPr="00BA75B3" w:rsidRDefault="00A6537F" w:rsidP="00A6537F">
      <w:pPr>
        <w:tabs>
          <w:tab w:val="left" w:pos="284"/>
        </w:tabs>
        <w:jc w:val="both"/>
        <w:rPr>
          <w:rFonts w:ascii="Tahoma" w:hAnsi="Tahoma" w:cs="Tahoma"/>
        </w:rPr>
      </w:pPr>
    </w:p>
    <w:p w14:paraId="5D82EF16" w14:textId="77777777" w:rsidR="00A6537F" w:rsidRPr="00BA75B3" w:rsidRDefault="00A6537F" w:rsidP="00A6537F">
      <w:pPr>
        <w:jc w:val="both"/>
        <w:rPr>
          <w:rFonts w:ascii="Tahoma" w:hAnsi="Tahoma" w:cs="Tahoma"/>
          <w:color w:val="000000"/>
        </w:rPr>
      </w:pPr>
      <w:r w:rsidRPr="00BA75B3">
        <w:rPr>
          <w:rFonts w:ascii="Tahoma" w:hAnsi="Tahoma" w:cs="Tahoma"/>
          <w:color w:val="000000"/>
        </w:rPr>
        <w:t>3.1.1. Tal objetivo de investimento não constitui garantia ou promessa de rentabilidade pelo ADMINISTRADOR e pelo GESTOR.</w:t>
      </w:r>
    </w:p>
    <w:p w14:paraId="031AFC0F" w14:textId="77777777" w:rsidR="00A6537F" w:rsidRPr="00BA75B3" w:rsidRDefault="00A6537F" w:rsidP="00A6537F">
      <w:pPr>
        <w:jc w:val="both"/>
        <w:rPr>
          <w:rFonts w:ascii="Tahoma" w:hAnsi="Tahoma" w:cs="Tahoma"/>
        </w:rPr>
      </w:pPr>
    </w:p>
    <w:p w14:paraId="3D446F7D" w14:textId="77777777" w:rsidR="00A6537F" w:rsidRPr="00BA75B3" w:rsidRDefault="00A6537F" w:rsidP="00A6537F">
      <w:pPr>
        <w:jc w:val="both"/>
        <w:rPr>
          <w:rFonts w:ascii="Tahoma" w:hAnsi="Tahoma" w:cs="Tahoma"/>
          <w:color w:val="000000"/>
        </w:rPr>
      </w:pPr>
      <w:r w:rsidRPr="00BA75B3">
        <w:rPr>
          <w:rFonts w:ascii="Tahoma" w:hAnsi="Tahoma" w:cs="Tahoma"/>
        </w:rPr>
        <w:t>3.2. Para atingir o objetivo de investimento descrito acima, o FUNDO alocará seus recursos</w:t>
      </w:r>
      <w:r w:rsidRPr="00BA75B3">
        <w:rPr>
          <w:rFonts w:ascii="Tahoma" w:hAnsi="Tahoma" w:cs="Tahoma"/>
          <w:color w:val="000000"/>
        </w:rPr>
        <w:t xml:space="preserve"> </w:t>
      </w:r>
      <w:r w:rsidRPr="00BA75B3">
        <w:rPr>
          <w:rFonts w:ascii="Tahoma" w:hAnsi="Tahoma" w:cs="Tahoma"/>
        </w:rPr>
        <w:t>de acordo com as regras e limites previstos nos quadros a seguir:</w:t>
      </w:r>
    </w:p>
    <w:p w14:paraId="0575F66B" w14:textId="77777777" w:rsidR="00A6537F" w:rsidRPr="00BA75B3" w:rsidRDefault="00A6537F" w:rsidP="00A6537F">
      <w:pPr>
        <w:jc w:val="both"/>
        <w:rPr>
          <w:rFonts w:ascii="Tahoma" w:hAnsi="Tahoma" w:cs="Tahoma"/>
        </w:rPr>
      </w:pPr>
    </w:p>
    <w:tbl>
      <w:tblPr>
        <w:tblW w:w="9923" w:type="dxa"/>
        <w:tblInd w:w="70" w:type="dxa"/>
        <w:tblLayout w:type="fixed"/>
        <w:tblCellMar>
          <w:left w:w="70" w:type="dxa"/>
          <w:right w:w="70" w:type="dxa"/>
        </w:tblCellMar>
        <w:tblLook w:val="04A0" w:firstRow="1" w:lastRow="0" w:firstColumn="1" w:lastColumn="0" w:noHBand="0" w:noVBand="1"/>
      </w:tblPr>
      <w:tblGrid>
        <w:gridCol w:w="6304"/>
        <w:gridCol w:w="1418"/>
        <w:gridCol w:w="2201"/>
      </w:tblGrid>
      <w:tr w:rsidR="00A6537F" w:rsidRPr="003F6F2A" w14:paraId="2974F79C" w14:textId="77777777" w:rsidTr="004D6B23">
        <w:trPr>
          <w:trHeight w:val="283"/>
        </w:trPr>
        <w:tc>
          <w:tcPr>
            <w:tcW w:w="6304"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197B0F7C"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COMPOSIÇÃO DA CARTEIRA DO FUNDO (“CARTEIRA”)</w:t>
            </w:r>
          </w:p>
        </w:tc>
        <w:tc>
          <w:tcPr>
            <w:tcW w:w="3619" w:type="dxa"/>
            <w:gridSpan w:val="2"/>
            <w:tcBorders>
              <w:top w:val="single" w:sz="4" w:space="0" w:color="auto"/>
              <w:left w:val="nil"/>
              <w:bottom w:val="single" w:sz="4" w:space="0" w:color="auto"/>
              <w:right w:val="single" w:sz="4" w:space="0" w:color="auto"/>
            </w:tcBorders>
            <w:shd w:val="pct10" w:color="auto" w:fill="auto"/>
            <w:noWrap/>
            <w:vAlign w:val="center"/>
            <w:hideMark/>
          </w:tcPr>
          <w:p w14:paraId="210DCCC2"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 do PL</w:t>
            </w:r>
          </w:p>
        </w:tc>
      </w:tr>
      <w:tr w:rsidR="00A6537F" w:rsidRPr="003F6F2A" w14:paraId="5B3ECFF7" w14:textId="77777777" w:rsidTr="004D6B23">
        <w:trPr>
          <w:trHeight w:val="283"/>
        </w:trPr>
        <w:tc>
          <w:tcPr>
            <w:tcW w:w="6304" w:type="dxa"/>
            <w:tcBorders>
              <w:top w:val="nil"/>
              <w:left w:val="single" w:sz="4" w:space="0" w:color="auto"/>
              <w:bottom w:val="single" w:sz="4" w:space="0" w:color="auto"/>
              <w:right w:val="single" w:sz="4" w:space="0" w:color="auto"/>
            </w:tcBorders>
            <w:vAlign w:val="center"/>
            <w:hideMark/>
          </w:tcPr>
          <w:p w14:paraId="074BD9F1" w14:textId="77777777" w:rsidR="00A6537F" w:rsidRPr="003F6F2A" w:rsidRDefault="00A6537F" w:rsidP="004D6B23">
            <w:pPr>
              <w:jc w:val="both"/>
              <w:rPr>
                <w:rFonts w:ascii="Tahoma" w:hAnsi="Tahoma" w:cs="Tahoma"/>
                <w:color w:val="000000"/>
              </w:rPr>
            </w:pPr>
            <w:r w:rsidRPr="003F6F2A">
              <w:rPr>
                <w:rFonts w:ascii="Tahoma" w:hAnsi="Tahoma" w:cs="Tahoma"/>
                <w:color w:val="000000"/>
              </w:rPr>
              <w:t>Quaisquer ativos financeiros e/ou modalidades operacionais indicados nas tabelas abaixo</w:t>
            </w:r>
          </w:p>
        </w:tc>
        <w:tc>
          <w:tcPr>
            <w:tcW w:w="3619" w:type="dxa"/>
            <w:gridSpan w:val="2"/>
            <w:tcBorders>
              <w:top w:val="nil"/>
              <w:left w:val="nil"/>
              <w:bottom w:val="single" w:sz="4" w:space="0" w:color="auto"/>
              <w:right w:val="single" w:sz="4" w:space="0" w:color="auto"/>
            </w:tcBorders>
            <w:noWrap/>
            <w:vAlign w:val="center"/>
            <w:hideMark/>
          </w:tcPr>
          <w:p w14:paraId="03F4A3DC" w14:textId="77777777" w:rsidR="00A6537F" w:rsidRPr="003F6F2A" w:rsidRDefault="00A6537F" w:rsidP="004D6B23">
            <w:pPr>
              <w:jc w:val="center"/>
              <w:rPr>
                <w:rFonts w:ascii="Tahoma" w:hAnsi="Tahoma" w:cs="Tahoma"/>
                <w:b/>
                <w:color w:val="000000"/>
              </w:rPr>
            </w:pPr>
            <w:r w:rsidRPr="003F6F2A">
              <w:rPr>
                <w:rFonts w:ascii="Tahoma" w:hAnsi="Tahoma" w:cs="Tahoma"/>
                <w:b/>
                <w:color w:val="000000"/>
              </w:rPr>
              <w:t>Até 100%</w:t>
            </w:r>
          </w:p>
        </w:tc>
      </w:tr>
      <w:tr w:rsidR="00A6537F" w:rsidRPr="003F6F2A" w14:paraId="57C9DBDB" w14:textId="77777777" w:rsidTr="004D6B23">
        <w:trPr>
          <w:trHeight w:val="283"/>
        </w:trPr>
        <w:tc>
          <w:tcPr>
            <w:tcW w:w="9923" w:type="dxa"/>
            <w:gridSpan w:val="3"/>
            <w:tcBorders>
              <w:top w:val="nil"/>
              <w:left w:val="single" w:sz="4" w:space="0" w:color="auto"/>
              <w:bottom w:val="single" w:sz="4" w:space="0" w:color="auto"/>
              <w:right w:val="single" w:sz="4" w:space="0" w:color="auto"/>
            </w:tcBorders>
            <w:vAlign w:val="center"/>
          </w:tcPr>
          <w:p w14:paraId="13BD148B" w14:textId="77777777" w:rsidR="00A6537F" w:rsidRPr="003F6F2A" w:rsidRDefault="00A6537F" w:rsidP="004D6B23">
            <w:pPr>
              <w:jc w:val="both"/>
              <w:rPr>
                <w:rFonts w:ascii="Tahoma" w:hAnsi="Tahoma" w:cs="Tahoma"/>
                <w:b/>
                <w:color w:val="000000"/>
                <w:highlight w:val="green"/>
              </w:rPr>
            </w:pPr>
          </w:p>
        </w:tc>
      </w:tr>
      <w:tr w:rsidR="00A6537F" w:rsidRPr="003F6F2A" w14:paraId="1CF33933" w14:textId="77777777" w:rsidTr="004D6B23">
        <w:trPr>
          <w:trHeight w:val="283"/>
        </w:trPr>
        <w:tc>
          <w:tcPr>
            <w:tcW w:w="9923" w:type="dxa"/>
            <w:gridSpan w:val="3"/>
            <w:tcBorders>
              <w:top w:val="single" w:sz="4" w:space="0" w:color="auto"/>
              <w:left w:val="single" w:sz="4" w:space="0" w:color="auto"/>
              <w:bottom w:val="single" w:sz="4" w:space="0" w:color="auto"/>
              <w:right w:val="single" w:sz="4" w:space="0" w:color="000000"/>
            </w:tcBorders>
            <w:shd w:val="pct10" w:color="auto" w:fill="auto"/>
            <w:noWrap/>
            <w:vAlign w:val="center"/>
            <w:hideMark/>
          </w:tcPr>
          <w:p w14:paraId="760445B5" w14:textId="77777777" w:rsidR="00A6537F" w:rsidRPr="003F6F2A" w:rsidRDefault="00A6537F" w:rsidP="004D6B23">
            <w:pPr>
              <w:jc w:val="center"/>
              <w:rPr>
                <w:rFonts w:ascii="Tahoma" w:hAnsi="Tahoma" w:cs="Tahoma"/>
              </w:rPr>
            </w:pPr>
            <w:r w:rsidRPr="003F6F2A">
              <w:rPr>
                <w:rFonts w:ascii="Tahoma" w:hAnsi="Tahoma" w:cs="Tahoma"/>
                <w:b/>
                <w:bCs/>
                <w:color w:val="000000"/>
              </w:rPr>
              <w:t>LIMITES POR ATIVO (% do PL)</w:t>
            </w:r>
          </w:p>
        </w:tc>
      </w:tr>
      <w:tr w:rsidR="00A6537F" w:rsidRPr="003F6F2A" w14:paraId="091AB483" w14:textId="77777777" w:rsidTr="004D6B23">
        <w:trPr>
          <w:trHeight w:val="283"/>
        </w:trPr>
        <w:tc>
          <w:tcPr>
            <w:tcW w:w="6304" w:type="dxa"/>
            <w:tcBorders>
              <w:top w:val="nil"/>
              <w:left w:val="single" w:sz="4" w:space="0" w:color="auto"/>
              <w:bottom w:val="single" w:sz="4" w:space="0" w:color="auto"/>
              <w:right w:val="single" w:sz="4" w:space="0" w:color="auto"/>
            </w:tcBorders>
            <w:shd w:val="pct10" w:color="auto" w:fill="auto"/>
            <w:noWrap/>
            <w:vAlign w:val="center"/>
            <w:hideMark/>
          </w:tcPr>
          <w:p w14:paraId="39E62A87"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ATIVOS</w:t>
            </w:r>
          </w:p>
        </w:tc>
        <w:tc>
          <w:tcPr>
            <w:tcW w:w="1418" w:type="dxa"/>
            <w:tcBorders>
              <w:top w:val="nil"/>
              <w:left w:val="nil"/>
              <w:bottom w:val="single" w:sz="4" w:space="0" w:color="auto"/>
              <w:right w:val="single" w:sz="4" w:space="0" w:color="auto"/>
            </w:tcBorders>
            <w:shd w:val="pct10" w:color="auto" w:fill="auto"/>
            <w:noWrap/>
            <w:vAlign w:val="center"/>
            <w:hideMark/>
          </w:tcPr>
          <w:p w14:paraId="4DFA3E15"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Permitido / Vedado</w:t>
            </w:r>
          </w:p>
        </w:tc>
        <w:tc>
          <w:tcPr>
            <w:tcW w:w="2201"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142C7895"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Limite aplicável</w:t>
            </w:r>
          </w:p>
        </w:tc>
      </w:tr>
      <w:tr w:rsidR="00A6537F" w:rsidRPr="003F6F2A" w14:paraId="4772B144" w14:textId="77777777" w:rsidTr="004D6B23">
        <w:trPr>
          <w:trHeight w:val="283"/>
        </w:trPr>
        <w:tc>
          <w:tcPr>
            <w:tcW w:w="6304" w:type="dxa"/>
            <w:tcBorders>
              <w:top w:val="single" w:sz="4" w:space="0" w:color="auto"/>
              <w:left w:val="single" w:sz="4" w:space="0" w:color="auto"/>
              <w:bottom w:val="single" w:sz="4" w:space="0" w:color="auto"/>
              <w:right w:val="single" w:sz="4" w:space="0" w:color="auto"/>
            </w:tcBorders>
            <w:vAlign w:val="center"/>
            <w:hideMark/>
          </w:tcPr>
          <w:p w14:paraId="608BCAE6" w14:textId="77777777" w:rsidR="00A6537F" w:rsidRPr="003F6F2A" w:rsidRDefault="00A6537F" w:rsidP="004D6B23">
            <w:pPr>
              <w:jc w:val="both"/>
              <w:rPr>
                <w:rFonts w:ascii="Tahoma" w:hAnsi="Tahoma" w:cs="Tahoma"/>
                <w:color w:val="000000"/>
              </w:rPr>
            </w:pPr>
            <w:r w:rsidRPr="003F6F2A">
              <w:rPr>
                <w:rFonts w:ascii="Tahoma" w:hAnsi="Tahoma" w:cs="Tahoma"/>
                <w:color w:val="000000"/>
              </w:rPr>
              <w:t xml:space="preserve">Títulos Públicos </w:t>
            </w:r>
            <w:r w:rsidRPr="003F6F2A">
              <w:rPr>
                <w:rFonts w:ascii="Tahoma" w:hAnsi="Tahoma" w:cs="Tahoma"/>
              </w:rPr>
              <w:t>Federais</w:t>
            </w:r>
          </w:p>
        </w:tc>
        <w:tc>
          <w:tcPr>
            <w:tcW w:w="1418" w:type="dxa"/>
            <w:tcBorders>
              <w:top w:val="single" w:sz="4" w:space="0" w:color="auto"/>
              <w:left w:val="nil"/>
              <w:bottom w:val="single" w:sz="4" w:space="0" w:color="auto"/>
              <w:right w:val="single" w:sz="4" w:space="0" w:color="auto"/>
            </w:tcBorders>
            <w:vAlign w:val="center"/>
            <w:hideMark/>
          </w:tcPr>
          <w:p w14:paraId="6DF3B411"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vMerge w:val="restart"/>
            <w:tcBorders>
              <w:top w:val="single" w:sz="4" w:space="0" w:color="auto"/>
              <w:left w:val="single" w:sz="4" w:space="0" w:color="auto"/>
              <w:bottom w:val="single" w:sz="4" w:space="0" w:color="auto"/>
              <w:right w:val="single" w:sz="4" w:space="0" w:color="auto"/>
            </w:tcBorders>
            <w:noWrap/>
            <w:vAlign w:val="center"/>
            <w:hideMark/>
          </w:tcPr>
          <w:p w14:paraId="394FDA33"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Até 100%</w:t>
            </w:r>
          </w:p>
        </w:tc>
      </w:tr>
      <w:tr w:rsidR="00A6537F" w:rsidRPr="003F6F2A" w14:paraId="743635DD" w14:textId="77777777" w:rsidTr="004D6B23">
        <w:trPr>
          <w:trHeight w:val="283"/>
        </w:trPr>
        <w:tc>
          <w:tcPr>
            <w:tcW w:w="6304" w:type="dxa"/>
            <w:tcBorders>
              <w:top w:val="nil"/>
              <w:left w:val="single" w:sz="4" w:space="0" w:color="auto"/>
              <w:bottom w:val="single" w:sz="4" w:space="0" w:color="auto"/>
              <w:right w:val="single" w:sz="4" w:space="0" w:color="auto"/>
            </w:tcBorders>
            <w:vAlign w:val="center"/>
            <w:hideMark/>
          </w:tcPr>
          <w:p w14:paraId="16075645" w14:textId="77777777" w:rsidR="00A6537F" w:rsidRPr="003F6F2A" w:rsidRDefault="00A6537F" w:rsidP="004D6B23">
            <w:pPr>
              <w:jc w:val="both"/>
              <w:rPr>
                <w:rFonts w:ascii="Tahoma" w:hAnsi="Tahoma" w:cs="Tahoma"/>
                <w:color w:val="000000"/>
              </w:rPr>
            </w:pPr>
            <w:r w:rsidRPr="003F6F2A">
              <w:rPr>
                <w:rFonts w:ascii="Tahoma" w:hAnsi="Tahoma" w:cs="Tahoma"/>
                <w:color w:val="000000"/>
              </w:rPr>
              <w:t>Títulos e valores mobiliários de emissão ou coobrigação de instituição financeira</w:t>
            </w:r>
          </w:p>
        </w:tc>
        <w:tc>
          <w:tcPr>
            <w:tcW w:w="1418" w:type="dxa"/>
            <w:tcBorders>
              <w:top w:val="nil"/>
              <w:left w:val="nil"/>
              <w:bottom w:val="single" w:sz="4" w:space="0" w:color="auto"/>
              <w:right w:val="single" w:sz="4" w:space="0" w:color="auto"/>
            </w:tcBorders>
            <w:vAlign w:val="center"/>
            <w:hideMark/>
          </w:tcPr>
          <w:p w14:paraId="3285635E"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vMerge/>
            <w:tcBorders>
              <w:top w:val="single" w:sz="4" w:space="0" w:color="auto"/>
              <w:left w:val="single" w:sz="4" w:space="0" w:color="auto"/>
              <w:bottom w:val="single" w:sz="4" w:space="0" w:color="auto"/>
              <w:right w:val="single" w:sz="4" w:space="0" w:color="auto"/>
            </w:tcBorders>
            <w:vAlign w:val="center"/>
            <w:hideMark/>
          </w:tcPr>
          <w:p w14:paraId="4241DFDF" w14:textId="77777777" w:rsidR="00A6537F" w:rsidRPr="003F6F2A" w:rsidRDefault="00A6537F" w:rsidP="004D6B23">
            <w:pPr>
              <w:rPr>
                <w:rFonts w:ascii="Tahoma" w:hAnsi="Tahoma" w:cs="Tahoma"/>
                <w:b/>
                <w:bCs/>
                <w:color w:val="000000"/>
              </w:rPr>
            </w:pPr>
          </w:p>
        </w:tc>
      </w:tr>
      <w:tr w:rsidR="00A6537F" w:rsidRPr="003F6F2A" w14:paraId="559098E5" w14:textId="77777777" w:rsidTr="004D6B23">
        <w:trPr>
          <w:trHeight w:val="283"/>
        </w:trPr>
        <w:tc>
          <w:tcPr>
            <w:tcW w:w="6304" w:type="dxa"/>
            <w:tcBorders>
              <w:top w:val="nil"/>
              <w:left w:val="single" w:sz="4" w:space="0" w:color="auto"/>
              <w:bottom w:val="single" w:sz="4" w:space="0" w:color="auto"/>
              <w:right w:val="single" w:sz="4" w:space="0" w:color="auto"/>
            </w:tcBorders>
            <w:vAlign w:val="center"/>
            <w:hideMark/>
          </w:tcPr>
          <w:p w14:paraId="5EBD66E7" w14:textId="77777777" w:rsidR="00A6537F" w:rsidRPr="003F6F2A" w:rsidRDefault="00A6537F" w:rsidP="004D6B23">
            <w:pPr>
              <w:jc w:val="both"/>
              <w:rPr>
                <w:rFonts w:ascii="Tahoma" w:hAnsi="Tahoma" w:cs="Tahoma"/>
                <w:color w:val="000000"/>
              </w:rPr>
            </w:pPr>
            <w:r w:rsidRPr="003F6F2A">
              <w:rPr>
                <w:rFonts w:ascii="Tahoma" w:hAnsi="Tahoma" w:cs="Tahoma"/>
                <w:color w:val="000000"/>
              </w:rPr>
              <w:t>Ouro, ativo financeiro, desde que negociado em padrão internacionalmente aceito</w:t>
            </w:r>
          </w:p>
        </w:tc>
        <w:tc>
          <w:tcPr>
            <w:tcW w:w="1418" w:type="dxa"/>
            <w:tcBorders>
              <w:top w:val="nil"/>
              <w:left w:val="nil"/>
              <w:bottom w:val="single" w:sz="4" w:space="0" w:color="auto"/>
              <w:right w:val="single" w:sz="4" w:space="0" w:color="auto"/>
            </w:tcBorders>
            <w:vAlign w:val="center"/>
            <w:hideMark/>
          </w:tcPr>
          <w:p w14:paraId="2321A36E"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vMerge/>
            <w:tcBorders>
              <w:top w:val="single" w:sz="4" w:space="0" w:color="auto"/>
              <w:left w:val="single" w:sz="4" w:space="0" w:color="auto"/>
              <w:bottom w:val="single" w:sz="4" w:space="0" w:color="auto"/>
              <w:right w:val="single" w:sz="4" w:space="0" w:color="auto"/>
            </w:tcBorders>
            <w:vAlign w:val="center"/>
            <w:hideMark/>
          </w:tcPr>
          <w:p w14:paraId="5C8781EF" w14:textId="77777777" w:rsidR="00A6537F" w:rsidRPr="003F6F2A" w:rsidRDefault="00A6537F" w:rsidP="004D6B23">
            <w:pPr>
              <w:rPr>
                <w:rFonts w:ascii="Tahoma" w:hAnsi="Tahoma" w:cs="Tahoma"/>
                <w:b/>
                <w:bCs/>
                <w:color w:val="000000"/>
              </w:rPr>
            </w:pPr>
          </w:p>
        </w:tc>
      </w:tr>
      <w:tr w:rsidR="00A6537F" w:rsidRPr="003F6F2A" w14:paraId="50A9F55B" w14:textId="77777777" w:rsidTr="004D6B23">
        <w:trPr>
          <w:trHeight w:val="283"/>
        </w:trPr>
        <w:tc>
          <w:tcPr>
            <w:tcW w:w="6304" w:type="dxa"/>
            <w:tcBorders>
              <w:top w:val="nil"/>
              <w:left w:val="single" w:sz="4" w:space="0" w:color="auto"/>
              <w:bottom w:val="single" w:sz="4" w:space="0" w:color="auto"/>
              <w:right w:val="single" w:sz="4" w:space="0" w:color="auto"/>
            </w:tcBorders>
            <w:vAlign w:val="center"/>
            <w:hideMark/>
          </w:tcPr>
          <w:p w14:paraId="274678B0" w14:textId="77777777" w:rsidR="00A6537F" w:rsidRPr="003F6F2A" w:rsidRDefault="00A6537F" w:rsidP="004D6B23">
            <w:pPr>
              <w:jc w:val="both"/>
              <w:rPr>
                <w:rFonts w:ascii="Tahoma" w:hAnsi="Tahoma" w:cs="Tahoma"/>
              </w:rPr>
            </w:pPr>
            <w:r w:rsidRPr="003F6F2A">
              <w:rPr>
                <w:rFonts w:ascii="Tahoma" w:hAnsi="Tahoma" w:cs="Tahoma"/>
              </w:rPr>
              <w:t>Títulos e valores mobiliários, desde que objeto de oferta pública registrada na CVM (Instrução CVM 400, de 29 de dezembro de 2003 e alterações posteriores (“Instrução CVM 400”))</w:t>
            </w:r>
          </w:p>
        </w:tc>
        <w:tc>
          <w:tcPr>
            <w:tcW w:w="1418" w:type="dxa"/>
            <w:tcBorders>
              <w:top w:val="nil"/>
              <w:left w:val="nil"/>
              <w:bottom w:val="single" w:sz="4" w:space="0" w:color="auto"/>
              <w:right w:val="single" w:sz="4" w:space="0" w:color="auto"/>
            </w:tcBorders>
            <w:vAlign w:val="center"/>
            <w:hideMark/>
          </w:tcPr>
          <w:p w14:paraId="5590B634"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vMerge/>
            <w:tcBorders>
              <w:top w:val="single" w:sz="4" w:space="0" w:color="auto"/>
              <w:left w:val="single" w:sz="4" w:space="0" w:color="auto"/>
              <w:bottom w:val="single" w:sz="4" w:space="0" w:color="auto"/>
              <w:right w:val="single" w:sz="4" w:space="0" w:color="auto"/>
            </w:tcBorders>
            <w:vAlign w:val="center"/>
            <w:hideMark/>
          </w:tcPr>
          <w:p w14:paraId="2BAAC08F" w14:textId="77777777" w:rsidR="00A6537F" w:rsidRPr="003F6F2A" w:rsidRDefault="00A6537F" w:rsidP="004D6B23">
            <w:pPr>
              <w:rPr>
                <w:rFonts w:ascii="Tahoma" w:hAnsi="Tahoma" w:cs="Tahoma"/>
                <w:b/>
                <w:bCs/>
                <w:color w:val="000000"/>
              </w:rPr>
            </w:pPr>
          </w:p>
        </w:tc>
      </w:tr>
      <w:tr w:rsidR="00A6537F" w:rsidRPr="003F6F2A" w14:paraId="53F7FBFD" w14:textId="77777777" w:rsidTr="004D6B23">
        <w:trPr>
          <w:trHeight w:val="283"/>
        </w:trPr>
        <w:tc>
          <w:tcPr>
            <w:tcW w:w="6304" w:type="dxa"/>
            <w:tcBorders>
              <w:top w:val="nil"/>
              <w:left w:val="single" w:sz="4" w:space="0" w:color="auto"/>
              <w:bottom w:val="single" w:sz="4" w:space="0" w:color="auto"/>
              <w:right w:val="single" w:sz="4" w:space="0" w:color="auto"/>
            </w:tcBorders>
            <w:vAlign w:val="center"/>
            <w:hideMark/>
          </w:tcPr>
          <w:p w14:paraId="233681DF" w14:textId="77777777" w:rsidR="00A6537F" w:rsidRPr="003F6F2A" w:rsidRDefault="00A6537F" w:rsidP="004D6B23">
            <w:pPr>
              <w:jc w:val="both"/>
              <w:rPr>
                <w:rFonts w:ascii="Tahoma" w:hAnsi="Tahoma" w:cs="Tahoma"/>
              </w:rPr>
            </w:pPr>
            <w:r w:rsidRPr="003F6F2A">
              <w:rPr>
                <w:rFonts w:ascii="Tahoma" w:hAnsi="Tahoma" w:cs="Tahoma"/>
              </w:rPr>
              <w:t xml:space="preserve">Notas promissórias e debêntures, desde que tenham sido emitidas por companhias abertas e objeto de oferta pública registrada na CVM (Instrução CVM 400) e/ou objeto de oferta pública com esforços </w:t>
            </w:r>
            <w:r w:rsidRPr="003F6F2A">
              <w:rPr>
                <w:rFonts w:ascii="Tahoma" w:hAnsi="Tahoma" w:cs="Tahoma"/>
              </w:rPr>
              <w:lastRenderedPageBreak/>
              <w:t>restritos (Instrução CVM 476 de 16 de janeiro de 2009 e alterações posteriores (“Instrução CVM 476”))</w:t>
            </w:r>
          </w:p>
        </w:tc>
        <w:tc>
          <w:tcPr>
            <w:tcW w:w="1418" w:type="dxa"/>
            <w:tcBorders>
              <w:top w:val="nil"/>
              <w:left w:val="nil"/>
              <w:bottom w:val="single" w:sz="4" w:space="0" w:color="auto"/>
              <w:right w:val="single" w:sz="4" w:space="0" w:color="auto"/>
            </w:tcBorders>
            <w:vAlign w:val="center"/>
            <w:hideMark/>
          </w:tcPr>
          <w:p w14:paraId="7D210B5E" w14:textId="77777777" w:rsidR="00A6537F" w:rsidRPr="003F6F2A" w:rsidRDefault="00A6537F" w:rsidP="004D6B23">
            <w:pPr>
              <w:jc w:val="center"/>
              <w:rPr>
                <w:rFonts w:ascii="Tahoma" w:hAnsi="Tahoma" w:cs="Tahoma"/>
                <w:color w:val="000000"/>
              </w:rPr>
            </w:pPr>
            <w:r w:rsidRPr="003F6F2A">
              <w:rPr>
                <w:rFonts w:ascii="Tahoma" w:hAnsi="Tahoma" w:cs="Tahoma"/>
                <w:color w:val="000000"/>
              </w:rPr>
              <w:lastRenderedPageBreak/>
              <w:t>Permitido</w:t>
            </w:r>
          </w:p>
        </w:tc>
        <w:tc>
          <w:tcPr>
            <w:tcW w:w="2201" w:type="dxa"/>
            <w:vMerge/>
            <w:tcBorders>
              <w:top w:val="single" w:sz="4" w:space="0" w:color="auto"/>
              <w:left w:val="single" w:sz="4" w:space="0" w:color="auto"/>
              <w:bottom w:val="single" w:sz="4" w:space="0" w:color="auto"/>
              <w:right w:val="single" w:sz="4" w:space="0" w:color="auto"/>
            </w:tcBorders>
            <w:vAlign w:val="center"/>
            <w:hideMark/>
          </w:tcPr>
          <w:p w14:paraId="77BE20A9" w14:textId="77777777" w:rsidR="00A6537F" w:rsidRPr="003F6F2A" w:rsidRDefault="00A6537F" w:rsidP="004D6B23">
            <w:pPr>
              <w:rPr>
                <w:rFonts w:ascii="Tahoma" w:hAnsi="Tahoma" w:cs="Tahoma"/>
                <w:b/>
                <w:bCs/>
                <w:color w:val="000000"/>
              </w:rPr>
            </w:pPr>
          </w:p>
        </w:tc>
      </w:tr>
      <w:tr w:rsidR="00A6537F" w:rsidRPr="003F6F2A" w14:paraId="721506E0" w14:textId="77777777" w:rsidTr="004D6B23">
        <w:trPr>
          <w:trHeight w:val="283"/>
        </w:trPr>
        <w:tc>
          <w:tcPr>
            <w:tcW w:w="6304" w:type="dxa"/>
            <w:tcBorders>
              <w:top w:val="nil"/>
              <w:left w:val="single" w:sz="4" w:space="0" w:color="auto"/>
              <w:bottom w:val="single" w:sz="4" w:space="0" w:color="auto"/>
              <w:right w:val="single" w:sz="4" w:space="0" w:color="auto"/>
            </w:tcBorders>
            <w:vAlign w:val="center"/>
            <w:hideMark/>
          </w:tcPr>
          <w:p w14:paraId="6B8AF7D8" w14:textId="77777777" w:rsidR="00A6537F" w:rsidRPr="003F6F2A" w:rsidRDefault="00A6537F" w:rsidP="004D6B23">
            <w:pPr>
              <w:jc w:val="both"/>
              <w:rPr>
                <w:rFonts w:ascii="Tahoma" w:hAnsi="Tahoma" w:cs="Tahoma"/>
              </w:rPr>
            </w:pPr>
            <w:r w:rsidRPr="003F6F2A">
              <w:rPr>
                <w:rFonts w:ascii="Tahoma" w:hAnsi="Tahoma" w:cs="Tahoma"/>
              </w:rPr>
              <w:t>Ações admitidas à negociação em mercado organizado</w:t>
            </w:r>
          </w:p>
        </w:tc>
        <w:tc>
          <w:tcPr>
            <w:tcW w:w="1418" w:type="dxa"/>
            <w:tcBorders>
              <w:top w:val="nil"/>
              <w:left w:val="nil"/>
              <w:bottom w:val="single" w:sz="4" w:space="0" w:color="auto"/>
              <w:right w:val="single" w:sz="4" w:space="0" w:color="auto"/>
            </w:tcBorders>
            <w:vAlign w:val="center"/>
            <w:hideMark/>
          </w:tcPr>
          <w:p w14:paraId="4D52F8A1"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vMerge/>
            <w:tcBorders>
              <w:top w:val="single" w:sz="4" w:space="0" w:color="auto"/>
              <w:left w:val="single" w:sz="4" w:space="0" w:color="auto"/>
              <w:bottom w:val="single" w:sz="4" w:space="0" w:color="auto"/>
              <w:right w:val="single" w:sz="4" w:space="0" w:color="auto"/>
            </w:tcBorders>
            <w:vAlign w:val="center"/>
            <w:hideMark/>
          </w:tcPr>
          <w:p w14:paraId="03190658" w14:textId="77777777" w:rsidR="00A6537F" w:rsidRPr="003F6F2A" w:rsidRDefault="00A6537F" w:rsidP="004D6B23">
            <w:pPr>
              <w:rPr>
                <w:rFonts w:ascii="Tahoma" w:hAnsi="Tahoma" w:cs="Tahoma"/>
                <w:b/>
                <w:bCs/>
                <w:color w:val="000000"/>
              </w:rPr>
            </w:pPr>
          </w:p>
        </w:tc>
      </w:tr>
      <w:tr w:rsidR="00A6537F" w:rsidRPr="003F6F2A" w14:paraId="6CA6C852" w14:textId="77777777" w:rsidTr="004D6B23">
        <w:trPr>
          <w:trHeight w:val="283"/>
        </w:trPr>
        <w:tc>
          <w:tcPr>
            <w:tcW w:w="6304" w:type="dxa"/>
            <w:tcBorders>
              <w:top w:val="nil"/>
              <w:left w:val="single" w:sz="4" w:space="0" w:color="auto"/>
              <w:bottom w:val="single" w:sz="4" w:space="0" w:color="auto"/>
              <w:right w:val="single" w:sz="4" w:space="0" w:color="auto"/>
            </w:tcBorders>
            <w:vAlign w:val="center"/>
            <w:hideMark/>
          </w:tcPr>
          <w:p w14:paraId="2BB5C653" w14:textId="77777777" w:rsidR="00A6537F" w:rsidRPr="003F6F2A" w:rsidRDefault="00A6537F" w:rsidP="004D6B23">
            <w:pPr>
              <w:jc w:val="both"/>
              <w:rPr>
                <w:rFonts w:ascii="Tahoma" w:hAnsi="Tahoma" w:cs="Tahoma"/>
              </w:rPr>
            </w:pPr>
            <w:r w:rsidRPr="003F6F2A">
              <w:rPr>
                <w:rFonts w:ascii="Tahoma" w:hAnsi="Tahoma" w:cs="Tahoma"/>
              </w:rPr>
              <w:t>Bônus ou recibos de subscrição e certificados de depósito de ações admitidas à negociação em mercado organizado</w:t>
            </w:r>
          </w:p>
        </w:tc>
        <w:tc>
          <w:tcPr>
            <w:tcW w:w="1418" w:type="dxa"/>
            <w:tcBorders>
              <w:top w:val="nil"/>
              <w:left w:val="nil"/>
              <w:bottom w:val="single" w:sz="4" w:space="0" w:color="auto"/>
              <w:right w:val="single" w:sz="4" w:space="0" w:color="auto"/>
            </w:tcBorders>
            <w:vAlign w:val="center"/>
            <w:hideMark/>
          </w:tcPr>
          <w:p w14:paraId="77862DCC"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vMerge/>
            <w:tcBorders>
              <w:top w:val="single" w:sz="4" w:space="0" w:color="auto"/>
              <w:left w:val="single" w:sz="4" w:space="0" w:color="auto"/>
              <w:bottom w:val="single" w:sz="4" w:space="0" w:color="auto"/>
              <w:right w:val="single" w:sz="4" w:space="0" w:color="auto"/>
            </w:tcBorders>
            <w:vAlign w:val="center"/>
            <w:hideMark/>
          </w:tcPr>
          <w:p w14:paraId="7197EE88" w14:textId="77777777" w:rsidR="00A6537F" w:rsidRPr="003F6F2A" w:rsidRDefault="00A6537F" w:rsidP="004D6B23">
            <w:pPr>
              <w:rPr>
                <w:rFonts w:ascii="Tahoma" w:hAnsi="Tahoma" w:cs="Tahoma"/>
                <w:b/>
                <w:bCs/>
                <w:color w:val="000000"/>
              </w:rPr>
            </w:pPr>
          </w:p>
        </w:tc>
      </w:tr>
      <w:tr w:rsidR="00A6537F" w:rsidRPr="003F6F2A" w14:paraId="003133E1" w14:textId="77777777" w:rsidTr="004D6B23">
        <w:trPr>
          <w:trHeight w:val="283"/>
        </w:trPr>
        <w:tc>
          <w:tcPr>
            <w:tcW w:w="6304" w:type="dxa"/>
            <w:tcBorders>
              <w:top w:val="nil"/>
              <w:left w:val="single" w:sz="4" w:space="0" w:color="auto"/>
              <w:bottom w:val="single" w:sz="4" w:space="0" w:color="auto"/>
              <w:right w:val="single" w:sz="4" w:space="0" w:color="auto"/>
            </w:tcBorders>
            <w:vAlign w:val="center"/>
            <w:hideMark/>
          </w:tcPr>
          <w:p w14:paraId="555FE7CD" w14:textId="77777777" w:rsidR="00A6537F" w:rsidRPr="003F6F2A" w:rsidRDefault="00A6537F" w:rsidP="004D6B23">
            <w:pPr>
              <w:jc w:val="both"/>
              <w:rPr>
                <w:rFonts w:ascii="Tahoma" w:hAnsi="Tahoma" w:cs="Tahoma"/>
              </w:rPr>
            </w:pPr>
            <w:proofErr w:type="spellStart"/>
            <w:r w:rsidRPr="003F6F2A">
              <w:rPr>
                <w:rFonts w:ascii="Tahoma" w:hAnsi="Tahoma" w:cs="Tahoma"/>
              </w:rPr>
              <w:t>Brazilian</w:t>
            </w:r>
            <w:proofErr w:type="spellEnd"/>
            <w:r w:rsidRPr="003F6F2A">
              <w:rPr>
                <w:rFonts w:ascii="Tahoma" w:hAnsi="Tahoma" w:cs="Tahoma"/>
              </w:rPr>
              <w:t xml:space="preserve"> Depositary </w:t>
            </w:r>
            <w:proofErr w:type="spellStart"/>
            <w:r w:rsidRPr="003F6F2A">
              <w:rPr>
                <w:rFonts w:ascii="Tahoma" w:hAnsi="Tahoma" w:cs="Tahoma"/>
              </w:rPr>
              <w:t>Receipts</w:t>
            </w:r>
            <w:proofErr w:type="spellEnd"/>
            <w:r w:rsidRPr="003F6F2A">
              <w:rPr>
                <w:rFonts w:ascii="Tahoma" w:hAnsi="Tahoma" w:cs="Tahoma"/>
              </w:rPr>
              <w:t xml:space="preserve"> (“BDR”) classificados como nível II e III</w:t>
            </w:r>
          </w:p>
        </w:tc>
        <w:tc>
          <w:tcPr>
            <w:tcW w:w="1418" w:type="dxa"/>
            <w:tcBorders>
              <w:top w:val="nil"/>
              <w:left w:val="nil"/>
              <w:bottom w:val="single" w:sz="4" w:space="0" w:color="auto"/>
              <w:right w:val="single" w:sz="4" w:space="0" w:color="auto"/>
            </w:tcBorders>
            <w:vAlign w:val="center"/>
            <w:hideMark/>
          </w:tcPr>
          <w:p w14:paraId="5B4C809B"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vMerge/>
            <w:tcBorders>
              <w:top w:val="single" w:sz="4" w:space="0" w:color="auto"/>
              <w:left w:val="single" w:sz="4" w:space="0" w:color="auto"/>
              <w:bottom w:val="single" w:sz="4" w:space="0" w:color="auto"/>
              <w:right w:val="single" w:sz="4" w:space="0" w:color="auto"/>
            </w:tcBorders>
            <w:vAlign w:val="center"/>
            <w:hideMark/>
          </w:tcPr>
          <w:p w14:paraId="20EEB20C" w14:textId="77777777" w:rsidR="00A6537F" w:rsidRPr="003F6F2A" w:rsidRDefault="00A6537F" w:rsidP="004D6B23">
            <w:pPr>
              <w:rPr>
                <w:rFonts w:ascii="Tahoma" w:hAnsi="Tahoma" w:cs="Tahoma"/>
                <w:b/>
                <w:bCs/>
                <w:color w:val="000000"/>
              </w:rPr>
            </w:pPr>
          </w:p>
        </w:tc>
      </w:tr>
      <w:tr w:rsidR="00A6537F" w:rsidRPr="003F6F2A" w14:paraId="406812E5" w14:textId="77777777" w:rsidTr="004D6B23">
        <w:trPr>
          <w:trHeight w:val="1149"/>
        </w:trPr>
        <w:tc>
          <w:tcPr>
            <w:tcW w:w="6304" w:type="dxa"/>
            <w:tcBorders>
              <w:top w:val="nil"/>
              <w:left w:val="single" w:sz="4" w:space="0" w:color="auto"/>
              <w:bottom w:val="single" w:sz="4" w:space="0" w:color="000000"/>
              <w:right w:val="single" w:sz="4" w:space="0" w:color="auto"/>
            </w:tcBorders>
            <w:vAlign w:val="center"/>
            <w:hideMark/>
          </w:tcPr>
          <w:p w14:paraId="7A9FF715" w14:textId="77777777" w:rsidR="00A6537F" w:rsidRPr="003F6F2A" w:rsidRDefault="00A6537F" w:rsidP="004D6B23">
            <w:pPr>
              <w:jc w:val="both"/>
              <w:rPr>
                <w:rFonts w:ascii="Tahoma" w:hAnsi="Tahoma" w:cs="Tahoma"/>
              </w:rPr>
            </w:pPr>
            <w:r w:rsidRPr="003F6F2A">
              <w:rPr>
                <w:rFonts w:ascii="Tahoma" w:hAnsi="Tahoma" w:cs="Tahoma"/>
              </w:rPr>
              <w:t>Cotas de fundos de investimento e cotas de fundos de investimento em cotas, registrados no âmbito da Instrução CVM 555, e cotas de fundos de índice, incluindo fundos de ações (“Fundos Investidos”)</w:t>
            </w:r>
          </w:p>
        </w:tc>
        <w:tc>
          <w:tcPr>
            <w:tcW w:w="1418" w:type="dxa"/>
            <w:tcBorders>
              <w:top w:val="nil"/>
              <w:left w:val="single" w:sz="4" w:space="0" w:color="auto"/>
              <w:bottom w:val="single" w:sz="4" w:space="0" w:color="000000"/>
              <w:right w:val="single" w:sz="4" w:space="0" w:color="auto"/>
            </w:tcBorders>
            <w:vAlign w:val="center"/>
            <w:hideMark/>
          </w:tcPr>
          <w:p w14:paraId="65D6D13F" w14:textId="77777777" w:rsidR="00A6537F" w:rsidRPr="003F6F2A" w:rsidRDefault="00A6537F" w:rsidP="004D6B23">
            <w:pPr>
              <w:jc w:val="center"/>
              <w:rPr>
                <w:rFonts w:ascii="Tahoma" w:hAnsi="Tahoma" w:cs="Tahoma"/>
              </w:rPr>
            </w:pPr>
            <w:r w:rsidRPr="003F6F2A">
              <w:rPr>
                <w:rFonts w:ascii="Tahoma" w:hAnsi="Tahoma" w:cs="Tahoma"/>
              </w:rPr>
              <w:t>Permitido</w:t>
            </w:r>
          </w:p>
        </w:tc>
        <w:tc>
          <w:tcPr>
            <w:tcW w:w="2201" w:type="dxa"/>
            <w:vMerge/>
            <w:tcBorders>
              <w:top w:val="single" w:sz="4" w:space="0" w:color="auto"/>
              <w:left w:val="single" w:sz="4" w:space="0" w:color="auto"/>
              <w:bottom w:val="single" w:sz="4" w:space="0" w:color="auto"/>
              <w:right w:val="single" w:sz="4" w:space="0" w:color="auto"/>
            </w:tcBorders>
            <w:vAlign w:val="center"/>
            <w:hideMark/>
          </w:tcPr>
          <w:p w14:paraId="7D264669" w14:textId="77777777" w:rsidR="00A6537F" w:rsidRPr="003F6F2A" w:rsidRDefault="00A6537F" w:rsidP="004D6B23">
            <w:pPr>
              <w:rPr>
                <w:rFonts w:ascii="Tahoma" w:hAnsi="Tahoma" w:cs="Tahoma"/>
                <w:b/>
                <w:bCs/>
                <w:color w:val="000000"/>
              </w:rPr>
            </w:pPr>
          </w:p>
        </w:tc>
      </w:tr>
      <w:tr w:rsidR="00A6537F" w:rsidRPr="003F6F2A" w14:paraId="59FFBE02" w14:textId="77777777" w:rsidTr="004D6B23">
        <w:trPr>
          <w:trHeight w:val="283"/>
        </w:trPr>
        <w:tc>
          <w:tcPr>
            <w:tcW w:w="6304" w:type="dxa"/>
            <w:tcBorders>
              <w:top w:val="nil"/>
              <w:left w:val="single" w:sz="4" w:space="0" w:color="auto"/>
              <w:bottom w:val="single" w:sz="4" w:space="0" w:color="auto"/>
              <w:right w:val="single" w:sz="4" w:space="0" w:color="auto"/>
            </w:tcBorders>
            <w:vAlign w:val="center"/>
            <w:hideMark/>
          </w:tcPr>
          <w:p w14:paraId="73A9B2A1" w14:textId="77777777" w:rsidR="00A6537F" w:rsidRPr="003F6F2A" w:rsidRDefault="00A6537F" w:rsidP="004D6B23">
            <w:pPr>
              <w:jc w:val="both"/>
              <w:rPr>
                <w:rFonts w:ascii="Tahoma" w:hAnsi="Tahoma" w:cs="Tahoma"/>
              </w:rPr>
            </w:pPr>
            <w:r w:rsidRPr="003F6F2A">
              <w:rPr>
                <w:rFonts w:ascii="Tahoma" w:hAnsi="Tahoma" w:cs="Tahoma"/>
              </w:rPr>
              <w:t xml:space="preserve">Cotas de Fundos de Investimento Imobiliário – FII </w:t>
            </w:r>
          </w:p>
        </w:tc>
        <w:tc>
          <w:tcPr>
            <w:tcW w:w="1418" w:type="dxa"/>
            <w:tcBorders>
              <w:top w:val="nil"/>
              <w:left w:val="nil"/>
              <w:bottom w:val="single" w:sz="4" w:space="0" w:color="auto"/>
              <w:right w:val="single" w:sz="4" w:space="0" w:color="auto"/>
            </w:tcBorders>
            <w:vAlign w:val="center"/>
            <w:hideMark/>
          </w:tcPr>
          <w:p w14:paraId="5036C9B7"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vMerge/>
            <w:tcBorders>
              <w:top w:val="single" w:sz="4" w:space="0" w:color="auto"/>
              <w:left w:val="single" w:sz="4" w:space="0" w:color="auto"/>
              <w:bottom w:val="single" w:sz="4" w:space="0" w:color="auto"/>
              <w:right w:val="single" w:sz="4" w:space="0" w:color="auto"/>
            </w:tcBorders>
            <w:vAlign w:val="center"/>
            <w:hideMark/>
          </w:tcPr>
          <w:p w14:paraId="60E55BCD" w14:textId="77777777" w:rsidR="00A6537F" w:rsidRPr="003F6F2A" w:rsidRDefault="00A6537F" w:rsidP="004D6B23">
            <w:pPr>
              <w:rPr>
                <w:rFonts w:ascii="Tahoma" w:hAnsi="Tahoma" w:cs="Tahoma"/>
                <w:b/>
                <w:bCs/>
                <w:color w:val="000000"/>
              </w:rPr>
            </w:pPr>
          </w:p>
        </w:tc>
      </w:tr>
      <w:tr w:rsidR="00A6537F" w:rsidRPr="003F6F2A" w14:paraId="30906756" w14:textId="77777777" w:rsidTr="004D6B23">
        <w:trPr>
          <w:trHeight w:val="283"/>
        </w:trPr>
        <w:tc>
          <w:tcPr>
            <w:tcW w:w="6304" w:type="dxa"/>
            <w:tcBorders>
              <w:top w:val="nil"/>
              <w:left w:val="single" w:sz="4" w:space="0" w:color="auto"/>
              <w:bottom w:val="single" w:sz="4" w:space="0" w:color="auto"/>
              <w:right w:val="single" w:sz="4" w:space="0" w:color="auto"/>
            </w:tcBorders>
            <w:vAlign w:val="center"/>
            <w:hideMark/>
          </w:tcPr>
          <w:p w14:paraId="43293A34" w14:textId="77777777" w:rsidR="00A6537F" w:rsidRPr="003F6F2A" w:rsidRDefault="00A6537F" w:rsidP="004D6B23">
            <w:pPr>
              <w:jc w:val="both"/>
              <w:rPr>
                <w:rFonts w:ascii="Tahoma" w:hAnsi="Tahoma" w:cs="Tahoma"/>
                <w:color w:val="000000"/>
              </w:rPr>
            </w:pPr>
            <w:r w:rsidRPr="003F6F2A">
              <w:rPr>
                <w:rFonts w:ascii="Tahoma" w:hAnsi="Tahoma" w:cs="Tahoma"/>
                <w:color w:val="000000"/>
              </w:rPr>
              <w:t xml:space="preserve">Cotas de Fundos de Investimento em Direitos Creditórios - FIDC, e Fundos de Investimento em Cotas de Fundos de Investimento em Direitos Creditórios – FICFIDC e Fundos de Investimento em Participações – FIP </w:t>
            </w:r>
          </w:p>
        </w:tc>
        <w:tc>
          <w:tcPr>
            <w:tcW w:w="1418" w:type="dxa"/>
            <w:tcBorders>
              <w:top w:val="nil"/>
              <w:left w:val="nil"/>
              <w:bottom w:val="single" w:sz="4" w:space="0" w:color="auto"/>
              <w:right w:val="single" w:sz="4" w:space="0" w:color="auto"/>
            </w:tcBorders>
            <w:vAlign w:val="center"/>
            <w:hideMark/>
          </w:tcPr>
          <w:p w14:paraId="1FAAB0D0"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vMerge/>
            <w:tcBorders>
              <w:top w:val="single" w:sz="4" w:space="0" w:color="auto"/>
              <w:left w:val="single" w:sz="4" w:space="0" w:color="auto"/>
              <w:bottom w:val="single" w:sz="4" w:space="0" w:color="auto"/>
              <w:right w:val="single" w:sz="4" w:space="0" w:color="auto"/>
            </w:tcBorders>
            <w:vAlign w:val="center"/>
            <w:hideMark/>
          </w:tcPr>
          <w:p w14:paraId="724DDFD2" w14:textId="77777777" w:rsidR="00A6537F" w:rsidRPr="003F6F2A" w:rsidRDefault="00A6537F" w:rsidP="004D6B23">
            <w:pPr>
              <w:rPr>
                <w:rFonts w:ascii="Tahoma" w:hAnsi="Tahoma" w:cs="Tahoma"/>
                <w:b/>
                <w:bCs/>
                <w:color w:val="000000"/>
              </w:rPr>
            </w:pPr>
          </w:p>
        </w:tc>
      </w:tr>
      <w:tr w:rsidR="00A6537F" w:rsidRPr="003F6F2A" w14:paraId="764F24B5" w14:textId="77777777" w:rsidTr="004D6B23">
        <w:trPr>
          <w:trHeight w:val="283"/>
        </w:trPr>
        <w:tc>
          <w:tcPr>
            <w:tcW w:w="6304" w:type="dxa"/>
            <w:tcBorders>
              <w:top w:val="nil"/>
              <w:left w:val="single" w:sz="4" w:space="0" w:color="auto"/>
              <w:bottom w:val="single" w:sz="4" w:space="0" w:color="auto"/>
              <w:right w:val="single" w:sz="4" w:space="0" w:color="auto"/>
            </w:tcBorders>
            <w:vAlign w:val="center"/>
            <w:hideMark/>
          </w:tcPr>
          <w:p w14:paraId="2ED92563" w14:textId="77777777" w:rsidR="00A6537F" w:rsidRPr="003F6F2A" w:rsidRDefault="00A6537F" w:rsidP="004D6B23">
            <w:pPr>
              <w:jc w:val="both"/>
              <w:rPr>
                <w:rFonts w:ascii="Tahoma" w:hAnsi="Tahoma" w:cs="Tahoma"/>
                <w:color w:val="000000"/>
              </w:rPr>
            </w:pPr>
            <w:r w:rsidRPr="003F6F2A">
              <w:rPr>
                <w:rFonts w:ascii="Tahoma" w:hAnsi="Tahoma" w:cs="Tahoma"/>
                <w:color w:val="000000"/>
              </w:rPr>
              <w:t>Certificados de Recebíveis Imobiliários - CRI</w:t>
            </w:r>
          </w:p>
        </w:tc>
        <w:tc>
          <w:tcPr>
            <w:tcW w:w="1418" w:type="dxa"/>
            <w:tcBorders>
              <w:top w:val="nil"/>
              <w:left w:val="nil"/>
              <w:bottom w:val="single" w:sz="4" w:space="0" w:color="auto"/>
              <w:right w:val="single" w:sz="4" w:space="0" w:color="auto"/>
            </w:tcBorders>
            <w:vAlign w:val="center"/>
            <w:hideMark/>
          </w:tcPr>
          <w:p w14:paraId="5B7C03F5"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vMerge/>
            <w:tcBorders>
              <w:top w:val="single" w:sz="4" w:space="0" w:color="auto"/>
              <w:left w:val="single" w:sz="4" w:space="0" w:color="auto"/>
              <w:bottom w:val="single" w:sz="4" w:space="0" w:color="auto"/>
              <w:right w:val="single" w:sz="4" w:space="0" w:color="auto"/>
            </w:tcBorders>
            <w:vAlign w:val="center"/>
            <w:hideMark/>
          </w:tcPr>
          <w:p w14:paraId="3FB0A24C" w14:textId="77777777" w:rsidR="00A6537F" w:rsidRPr="003F6F2A" w:rsidRDefault="00A6537F" w:rsidP="004D6B23">
            <w:pPr>
              <w:rPr>
                <w:rFonts w:ascii="Tahoma" w:hAnsi="Tahoma" w:cs="Tahoma"/>
                <w:b/>
                <w:bCs/>
                <w:color w:val="000000"/>
              </w:rPr>
            </w:pPr>
          </w:p>
        </w:tc>
      </w:tr>
      <w:tr w:rsidR="00A6537F" w:rsidRPr="003F6F2A" w14:paraId="7CB10AC9" w14:textId="77777777" w:rsidTr="004D6B23">
        <w:trPr>
          <w:trHeight w:val="4810"/>
        </w:trPr>
        <w:tc>
          <w:tcPr>
            <w:tcW w:w="6304" w:type="dxa"/>
            <w:tcBorders>
              <w:top w:val="nil"/>
              <w:left w:val="single" w:sz="4" w:space="0" w:color="auto"/>
              <w:bottom w:val="single" w:sz="4" w:space="0" w:color="000000"/>
              <w:right w:val="single" w:sz="4" w:space="0" w:color="auto"/>
            </w:tcBorders>
            <w:vAlign w:val="center"/>
            <w:hideMark/>
          </w:tcPr>
          <w:p w14:paraId="5540318F" w14:textId="77777777" w:rsidR="00A6537F" w:rsidRPr="003F6F2A" w:rsidRDefault="00A6537F" w:rsidP="004D6B23">
            <w:pPr>
              <w:jc w:val="both"/>
              <w:rPr>
                <w:rFonts w:ascii="Tahoma" w:hAnsi="Tahoma" w:cs="Tahoma"/>
                <w:color w:val="000000"/>
              </w:rPr>
            </w:pPr>
            <w:r w:rsidRPr="003F6F2A">
              <w:rPr>
                <w:rFonts w:ascii="Tahoma" w:hAnsi="Tahoma" w:cs="Tahoma"/>
              </w:rPr>
              <w:t xml:space="preserve">Cédulas de crédito bancário (CCB), certificados de direitos creditórios do agronegócio (CDCA), cédula do produtor rural (CPR), letra de crédito do agronegócio (LCA), certificados de recebíveis do agronegócio (CRA), certificado de depósito agropecuário (CDA), </w:t>
            </w:r>
            <w:r w:rsidRPr="003F6F2A">
              <w:rPr>
                <w:rFonts w:ascii="Tahoma" w:hAnsi="Tahoma" w:cs="Tahoma"/>
                <w:i/>
                <w:iCs/>
              </w:rPr>
              <w:t>warrant</w:t>
            </w:r>
            <w:r w:rsidRPr="003F6F2A">
              <w:rPr>
                <w:rFonts w:ascii="Tahoma" w:hAnsi="Tahoma" w:cs="Tahoma"/>
              </w:rPr>
              <w:t>, cédula de crédito imobiliário (CCI), cédula de crédito à exportação (CCE), nota de crédito à exportação (NCE), debêntures, contratos ou certificados de mercadoria, produtos e serviços, duplicatas, notas promissórias, cédulas e notas de crédito comercial e industrial, recibo de depósito corporativo, certificados dos ativos acima relacionados, créditos securitizados, direitos creditórios e títulos cambiais ou certificados representativos de operações vinculadas nos termos da Resolução CMN n.º 2921/02 e alterações posteriores, bem como quaisquer outros de natureza semelhante que venham a surgir</w:t>
            </w:r>
          </w:p>
        </w:tc>
        <w:tc>
          <w:tcPr>
            <w:tcW w:w="1418" w:type="dxa"/>
            <w:tcBorders>
              <w:top w:val="nil"/>
              <w:left w:val="single" w:sz="4" w:space="0" w:color="auto"/>
              <w:bottom w:val="single" w:sz="4" w:space="0" w:color="000000"/>
              <w:right w:val="single" w:sz="4" w:space="0" w:color="auto"/>
            </w:tcBorders>
            <w:vAlign w:val="center"/>
            <w:hideMark/>
          </w:tcPr>
          <w:p w14:paraId="1ABA13E4"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vMerge/>
            <w:tcBorders>
              <w:top w:val="single" w:sz="4" w:space="0" w:color="auto"/>
              <w:left w:val="single" w:sz="4" w:space="0" w:color="auto"/>
              <w:bottom w:val="single" w:sz="4" w:space="0" w:color="auto"/>
              <w:right w:val="single" w:sz="4" w:space="0" w:color="auto"/>
            </w:tcBorders>
            <w:vAlign w:val="center"/>
            <w:hideMark/>
          </w:tcPr>
          <w:p w14:paraId="6F99DC9B" w14:textId="77777777" w:rsidR="00A6537F" w:rsidRPr="003F6F2A" w:rsidRDefault="00A6537F" w:rsidP="004D6B23">
            <w:pPr>
              <w:rPr>
                <w:rFonts w:ascii="Tahoma" w:hAnsi="Tahoma" w:cs="Tahoma"/>
                <w:b/>
                <w:bCs/>
                <w:color w:val="000000"/>
              </w:rPr>
            </w:pPr>
          </w:p>
        </w:tc>
      </w:tr>
      <w:tr w:rsidR="00A6537F" w:rsidRPr="003F6F2A" w14:paraId="6A6EE836" w14:textId="77777777" w:rsidTr="004D6B23">
        <w:trPr>
          <w:trHeight w:val="283"/>
        </w:trPr>
        <w:tc>
          <w:tcPr>
            <w:tcW w:w="6304" w:type="dxa"/>
            <w:tcBorders>
              <w:top w:val="nil"/>
              <w:left w:val="single" w:sz="4" w:space="0" w:color="auto"/>
              <w:bottom w:val="single" w:sz="4" w:space="0" w:color="auto"/>
              <w:right w:val="single" w:sz="4" w:space="0" w:color="auto"/>
            </w:tcBorders>
            <w:vAlign w:val="center"/>
            <w:hideMark/>
          </w:tcPr>
          <w:p w14:paraId="2EF7B130" w14:textId="77777777" w:rsidR="00A6537F" w:rsidRPr="003F6F2A" w:rsidRDefault="00A6537F" w:rsidP="004D6B23">
            <w:pPr>
              <w:jc w:val="both"/>
              <w:rPr>
                <w:rFonts w:ascii="Tahoma" w:hAnsi="Tahoma" w:cs="Tahoma"/>
              </w:rPr>
            </w:pPr>
            <w:r w:rsidRPr="003F6F2A">
              <w:rPr>
                <w:rFonts w:ascii="Tahoma" w:hAnsi="Tahoma" w:cs="Tahoma"/>
              </w:rPr>
              <w:t>Cotas de F</w:t>
            </w:r>
            <w:r w:rsidRPr="003F6F2A">
              <w:rPr>
                <w:rFonts w:ascii="Tahoma" w:hAnsi="Tahoma" w:cs="Tahoma"/>
                <w:color w:val="000000"/>
              </w:rPr>
              <w:t>undos de Investimento em Direitos Creditórios Não – Padronizados -</w:t>
            </w:r>
            <w:r w:rsidRPr="003F6F2A">
              <w:rPr>
                <w:rFonts w:ascii="Tahoma" w:hAnsi="Tahoma" w:cs="Tahoma"/>
              </w:rPr>
              <w:t>FIDC-NP e F</w:t>
            </w:r>
            <w:r w:rsidRPr="003F6F2A">
              <w:rPr>
                <w:rFonts w:ascii="Tahoma" w:hAnsi="Tahoma" w:cs="Tahoma"/>
                <w:color w:val="000000"/>
              </w:rPr>
              <w:t xml:space="preserve">undos de Investimento em Cotas de Fundos de Investimento em Direitos Creditórios Não – Padronizados - </w:t>
            </w:r>
            <w:r w:rsidRPr="003F6F2A">
              <w:rPr>
                <w:rFonts w:ascii="Tahoma" w:hAnsi="Tahoma" w:cs="Tahoma"/>
              </w:rPr>
              <w:t>FICFIDC-NP</w:t>
            </w:r>
          </w:p>
        </w:tc>
        <w:tc>
          <w:tcPr>
            <w:tcW w:w="1418" w:type="dxa"/>
            <w:tcBorders>
              <w:top w:val="nil"/>
              <w:left w:val="nil"/>
              <w:bottom w:val="single" w:sz="4" w:space="0" w:color="auto"/>
              <w:right w:val="single" w:sz="4" w:space="0" w:color="auto"/>
            </w:tcBorders>
            <w:vAlign w:val="center"/>
            <w:hideMark/>
          </w:tcPr>
          <w:p w14:paraId="6F555521"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vMerge/>
            <w:tcBorders>
              <w:top w:val="single" w:sz="4" w:space="0" w:color="auto"/>
              <w:left w:val="single" w:sz="4" w:space="0" w:color="auto"/>
              <w:bottom w:val="single" w:sz="4" w:space="0" w:color="auto"/>
              <w:right w:val="single" w:sz="4" w:space="0" w:color="auto"/>
            </w:tcBorders>
            <w:vAlign w:val="center"/>
            <w:hideMark/>
          </w:tcPr>
          <w:p w14:paraId="37AFB2E6" w14:textId="77777777" w:rsidR="00A6537F" w:rsidRPr="003F6F2A" w:rsidRDefault="00A6537F" w:rsidP="004D6B23">
            <w:pPr>
              <w:rPr>
                <w:rFonts w:ascii="Tahoma" w:hAnsi="Tahoma" w:cs="Tahoma"/>
                <w:b/>
                <w:bCs/>
                <w:color w:val="000000"/>
              </w:rPr>
            </w:pPr>
          </w:p>
        </w:tc>
      </w:tr>
      <w:tr w:rsidR="00A6537F" w:rsidRPr="003F6F2A" w14:paraId="19829C2B" w14:textId="77777777" w:rsidTr="004D6B23">
        <w:trPr>
          <w:trHeight w:val="283"/>
        </w:trPr>
        <w:tc>
          <w:tcPr>
            <w:tcW w:w="9923" w:type="dxa"/>
            <w:gridSpan w:val="3"/>
            <w:tcBorders>
              <w:top w:val="single" w:sz="4" w:space="0" w:color="auto"/>
              <w:left w:val="single" w:sz="4" w:space="0" w:color="auto"/>
              <w:bottom w:val="single" w:sz="4" w:space="0" w:color="auto"/>
              <w:right w:val="single" w:sz="4" w:space="0" w:color="000000"/>
            </w:tcBorders>
            <w:shd w:val="pct10" w:color="auto" w:fill="auto"/>
            <w:noWrap/>
            <w:vAlign w:val="center"/>
            <w:hideMark/>
          </w:tcPr>
          <w:p w14:paraId="3BCF4479" w14:textId="77777777" w:rsidR="00A6537F" w:rsidRPr="003F6F2A" w:rsidRDefault="00A6537F" w:rsidP="004D6B23">
            <w:pPr>
              <w:jc w:val="center"/>
              <w:rPr>
                <w:rFonts w:ascii="Tahoma" w:hAnsi="Tahoma" w:cs="Tahoma"/>
              </w:rPr>
            </w:pPr>
            <w:r w:rsidRPr="003F6F2A">
              <w:rPr>
                <w:rFonts w:ascii="Tahoma" w:hAnsi="Tahoma" w:cs="Tahoma"/>
                <w:b/>
                <w:bCs/>
                <w:color w:val="000000"/>
              </w:rPr>
              <w:t>LIMITES POR EMISSOR (% do PL)</w:t>
            </w:r>
          </w:p>
        </w:tc>
      </w:tr>
      <w:tr w:rsidR="00A6537F" w:rsidRPr="003F6F2A" w14:paraId="3FA47D91" w14:textId="77777777" w:rsidTr="004D6B23">
        <w:trPr>
          <w:trHeight w:val="283"/>
        </w:trPr>
        <w:tc>
          <w:tcPr>
            <w:tcW w:w="630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2ADD8AA"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EMISSOR</w:t>
            </w:r>
          </w:p>
        </w:tc>
        <w:tc>
          <w:tcPr>
            <w:tcW w:w="1418"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25DD0B2"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Permitido / Vedado</w:t>
            </w:r>
          </w:p>
        </w:tc>
        <w:tc>
          <w:tcPr>
            <w:tcW w:w="2201"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41BF577" w14:textId="77777777" w:rsidR="00A6537F" w:rsidRPr="003F6F2A" w:rsidRDefault="00A6537F" w:rsidP="004D6B23">
            <w:pPr>
              <w:jc w:val="center"/>
              <w:rPr>
                <w:rFonts w:ascii="Tahoma" w:hAnsi="Tahoma" w:cs="Tahoma"/>
              </w:rPr>
            </w:pPr>
            <w:r w:rsidRPr="003F6F2A">
              <w:rPr>
                <w:rFonts w:ascii="Tahoma" w:hAnsi="Tahoma" w:cs="Tahoma"/>
                <w:b/>
                <w:bCs/>
                <w:color w:val="000000"/>
              </w:rPr>
              <w:t>Limite aplicável</w:t>
            </w:r>
          </w:p>
        </w:tc>
      </w:tr>
      <w:tr w:rsidR="00A6537F" w:rsidRPr="003F6F2A" w14:paraId="206844B1" w14:textId="77777777" w:rsidTr="004D6B23">
        <w:trPr>
          <w:trHeight w:val="283"/>
        </w:trPr>
        <w:tc>
          <w:tcPr>
            <w:tcW w:w="6304" w:type="dxa"/>
            <w:tcBorders>
              <w:top w:val="single" w:sz="4" w:space="0" w:color="auto"/>
              <w:left w:val="single" w:sz="4" w:space="0" w:color="auto"/>
              <w:bottom w:val="single" w:sz="4" w:space="0" w:color="auto"/>
              <w:right w:val="single" w:sz="4" w:space="0" w:color="auto"/>
            </w:tcBorders>
            <w:vAlign w:val="center"/>
            <w:hideMark/>
          </w:tcPr>
          <w:p w14:paraId="24720B61" w14:textId="77777777" w:rsidR="00A6537F" w:rsidRPr="003F6F2A" w:rsidRDefault="00A6537F" w:rsidP="004D6B23">
            <w:pPr>
              <w:rPr>
                <w:rFonts w:ascii="Tahoma" w:hAnsi="Tahoma" w:cs="Tahoma"/>
                <w:color w:val="000000"/>
              </w:rPr>
            </w:pPr>
            <w:r w:rsidRPr="003F6F2A">
              <w:rPr>
                <w:rFonts w:ascii="Tahoma" w:hAnsi="Tahoma" w:cs="Tahoma"/>
                <w:color w:val="000000"/>
              </w:rPr>
              <w:t>Instituições Financeiras</w:t>
            </w:r>
          </w:p>
        </w:tc>
        <w:tc>
          <w:tcPr>
            <w:tcW w:w="1418" w:type="dxa"/>
            <w:tcBorders>
              <w:top w:val="single" w:sz="4" w:space="0" w:color="auto"/>
              <w:left w:val="nil"/>
              <w:bottom w:val="single" w:sz="4" w:space="0" w:color="auto"/>
              <w:right w:val="single" w:sz="4" w:space="0" w:color="auto"/>
            </w:tcBorders>
            <w:vAlign w:val="center"/>
            <w:hideMark/>
          </w:tcPr>
          <w:p w14:paraId="462B4AB3"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tcBorders>
              <w:top w:val="single" w:sz="4" w:space="0" w:color="auto"/>
              <w:left w:val="nil"/>
              <w:bottom w:val="single" w:sz="4" w:space="0" w:color="auto"/>
              <w:right w:val="single" w:sz="4" w:space="0" w:color="auto"/>
            </w:tcBorders>
            <w:vAlign w:val="center"/>
            <w:hideMark/>
          </w:tcPr>
          <w:p w14:paraId="05DD934A" w14:textId="77777777" w:rsidR="00A6537F" w:rsidRPr="003F6F2A" w:rsidRDefault="00A6537F" w:rsidP="004D6B23">
            <w:pPr>
              <w:jc w:val="center"/>
              <w:rPr>
                <w:rFonts w:ascii="Tahoma" w:hAnsi="Tahoma" w:cs="Tahoma"/>
                <w:b/>
                <w:color w:val="000000"/>
              </w:rPr>
            </w:pPr>
            <w:r w:rsidRPr="003F6F2A">
              <w:rPr>
                <w:rFonts w:ascii="Tahoma" w:hAnsi="Tahoma" w:cs="Tahoma"/>
                <w:b/>
                <w:color w:val="000000"/>
              </w:rPr>
              <w:t>Até 100%</w:t>
            </w:r>
          </w:p>
        </w:tc>
      </w:tr>
      <w:tr w:rsidR="00A6537F" w:rsidRPr="003F6F2A" w14:paraId="28D9AC29" w14:textId="77777777" w:rsidTr="004D6B23">
        <w:trPr>
          <w:trHeight w:val="283"/>
        </w:trPr>
        <w:tc>
          <w:tcPr>
            <w:tcW w:w="6304" w:type="dxa"/>
            <w:tcBorders>
              <w:top w:val="nil"/>
              <w:left w:val="single" w:sz="4" w:space="0" w:color="auto"/>
              <w:bottom w:val="single" w:sz="4" w:space="0" w:color="auto"/>
              <w:right w:val="single" w:sz="4" w:space="0" w:color="auto"/>
            </w:tcBorders>
            <w:vAlign w:val="center"/>
            <w:hideMark/>
          </w:tcPr>
          <w:p w14:paraId="5B2006BA" w14:textId="77777777" w:rsidR="00A6537F" w:rsidRPr="003F6F2A" w:rsidRDefault="00A6537F" w:rsidP="004D6B23">
            <w:pPr>
              <w:rPr>
                <w:rFonts w:ascii="Tahoma" w:hAnsi="Tahoma" w:cs="Tahoma"/>
                <w:color w:val="000000"/>
              </w:rPr>
            </w:pPr>
            <w:r w:rsidRPr="003F6F2A">
              <w:rPr>
                <w:rFonts w:ascii="Tahoma" w:hAnsi="Tahoma" w:cs="Tahoma"/>
                <w:color w:val="000000"/>
              </w:rPr>
              <w:t xml:space="preserve">Companhia aberta </w:t>
            </w:r>
          </w:p>
        </w:tc>
        <w:tc>
          <w:tcPr>
            <w:tcW w:w="1418" w:type="dxa"/>
            <w:tcBorders>
              <w:top w:val="nil"/>
              <w:left w:val="nil"/>
              <w:bottom w:val="single" w:sz="4" w:space="0" w:color="auto"/>
              <w:right w:val="single" w:sz="4" w:space="0" w:color="auto"/>
            </w:tcBorders>
            <w:vAlign w:val="center"/>
            <w:hideMark/>
          </w:tcPr>
          <w:p w14:paraId="76AEF1E5"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tcBorders>
              <w:top w:val="nil"/>
              <w:left w:val="nil"/>
              <w:bottom w:val="single" w:sz="4" w:space="0" w:color="auto"/>
              <w:right w:val="single" w:sz="4" w:space="0" w:color="auto"/>
            </w:tcBorders>
            <w:vAlign w:val="center"/>
            <w:hideMark/>
          </w:tcPr>
          <w:p w14:paraId="3082E6B6" w14:textId="77777777" w:rsidR="00A6537F" w:rsidRPr="003F6F2A" w:rsidRDefault="00A6537F" w:rsidP="004D6B23">
            <w:pPr>
              <w:jc w:val="center"/>
              <w:rPr>
                <w:rFonts w:ascii="Tahoma" w:hAnsi="Tahoma" w:cs="Tahoma"/>
                <w:b/>
                <w:color w:val="000000"/>
              </w:rPr>
            </w:pPr>
            <w:r w:rsidRPr="003F6F2A">
              <w:rPr>
                <w:rFonts w:ascii="Tahoma" w:hAnsi="Tahoma" w:cs="Tahoma"/>
                <w:b/>
                <w:color w:val="000000"/>
              </w:rPr>
              <w:t>Até 100%</w:t>
            </w:r>
          </w:p>
        </w:tc>
      </w:tr>
      <w:tr w:rsidR="00A6537F" w:rsidRPr="003F6F2A" w14:paraId="2114B5DD" w14:textId="77777777" w:rsidTr="004D6B23">
        <w:trPr>
          <w:trHeight w:val="283"/>
        </w:trPr>
        <w:tc>
          <w:tcPr>
            <w:tcW w:w="6304" w:type="dxa"/>
            <w:tcBorders>
              <w:top w:val="nil"/>
              <w:left w:val="single" w:sz="4" w:space="0" w:color="auto"/>
              <w:bottom w:val="single" w:sz="4" w:space="0" w:color="auto"/>
              <w:right w:val="single" w:sz="4" w:space="0" w:color="auto"/>
            </w:tcBorders>
            <w:vAlign w:val="center"/>
            <w:hideMark/>
          </w:tcPr>
          <w:p w14:paraId="41AE64C8" w14:textId="77777777" w:rsidR="00A6537F" w:rsidRPr="003F6F2A" w:rsidRDefault="00A6537F" w:rsidP="004D6B23">
            <w:pPr>
              <w:jc w:val="both"/>
              <w:rPr>
                <w:rFonts w:ascii="Tahoma" w:hAnsi="Tahoma" w:cs="Tahoma"/>
                <w:color w:val="000000"/>
              </w:rPr>
            </w:pPr>
            <w:r w:rsidRPr="003F6F2A">
              <w:rPr>
                <w:rFonts w:ascii="Tahoma" w:hAnsi="Tahoma" w:cs="Tahoma"/>
                <w:color w:val="000000"/>
              </w:rPr>
              <w:t xml:space="preserve">Fundos de investimento e fundos de investimento em cotas </w:t>
            </w:r>
          </w:p>
        </w:tc>
        <w:tc>
          <w:tcPr>
            <w:tcW w:w="1418" w:type="dxa"/>
            <w:tcBorders>
              <w:top w:val="nil"/>
              <w:left w:val="nil"/>
              <w:bottom w:val="single" w:sz="4" w:space="0" w:color="auto"/>
              <w:right w:val="single" w:sz="4" w:space="0" w:color="auto"/>
            </w:tcBorders>
            <w:vAlign w:val="center"/>
            <w:hideMark/>
          </w:tcPr>
          <w:p w14:paraId="5A5D15DC"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tcBorders>
              <w:top w:val="nil"/>
              <w:left w:val="nil"/>
              <w:bottom w:val="single" w:sz="4" w:space="0" w:color="auto"/>
              <w:right w:val="single" w:sz="4" w:space="0" w:color="auto"/>
            </w:tcBorders>
            <w:vAlign w:val="center"/>
            <w:hideMark/>
          </w:tcPr>
          <w:p w14:paraId="401C8485" w14:textId="77777777" w:rsidR="00A6537F" w:rsidRPr="003F6F2A" w:rsidRDefault="00A6537F" w:rsidP="004D6B23">
            <w:pPr>
              <w:jc w:val="center"/>
              <w:rPr>
                <w:rFonts w:ascii="Tahoma" w:hAnsi="Tahoma" w:cs="Tahoma"/>
                <w:b/>
                <w:color w:val="000000"/>
              </w:rPr>
            </w:pPr>
            <w:r w:rsidRPr="003F6F2A">
              <w:rPr>
                <w:rFonts w:ascii="Tahoma" w:hAnsi="Tahoma" w:cs="Tahoma"/>
                <w:b/>
                <w:color w:val="000000"/>
              </w:rPr>
              <w:t>Até 100%</w:t>
            </w:r>
          </w:p>
        </w:tc>
      </w:tr>
      <w:tr w:rsidR="00A6537F" w:rsidRPr="003F6F2A" w14:paraId="262F585C" w14:textId="77777777" w:rsidTr="004D6B23">
        <w:trPr>
          <w:trHeight w:val="283"/>
        </w:trPr>
        <w:tc>
          <w:tcPr>
            <w:tcW w:w="6304" w:type="dxa"/>
            <w:tcBorders>
              <w:top w:val="nil"/>
              <w:left w:val="single" w:sz="4" w:space="0" w:color="auto"/>
              <w:bottom w:val="single" w:sz="4" w:space="0" w:color="auto"/>
              <w:right w:val="single" w:sz="4" w:space="0" w:color="auto"/>
            </w:tcBorders>
            <w:vAlign w:val="center"/>
            <w:hideMark/>
          </w:tcPr>
          <w:p w14:paraId="3291A711" w14:textId="77777777" w:rsidR="00A6537F" w:rsidRPr="003F6F2A" w:rsidRDefault="00A6537F" w:rsidP="004D6B23">
            <w:pPr>
              <w:rPr>
                <w:rFonts w:ascii="Tahoma" w:hAnsi="Tahoma" w:cs="Tahoma"/>
                <w:color w:val="000000"/>
              </w:rPr>
            </w:pPr>
            <w:r w:rsidRPr="003F6F2A">
              <w:rPr>
                <w:rFonts w:ascii="Tahoma" w:hAnsi="Tahoma" w:cs="Tahoma"/>
                <w:color w:val="000000"/>
              </w:rPr>
              <w:t>Pessoa Física</w:t>
            </w:r>
          </w:p>
        </w:tc>
        <w:tc>
          <w:tcPr>
            <w:tcW w:w="1418" w:type="dxa"/>
            <w:tcBorders>
              <w:top w:val="nil"/>
              <w:left w:val="nil"/>
              <w:bottom w:val="single" w:sz="4" w:space="0" w:color="auto"/>
              <w:right w:val="single" w:sz="4" w:space="0" w:color="auto"/>
            </w:tcBorders>
            <w:vAlign w:val="center"/>
            <w:hideMark/>
          </w:tcPr>
          <w:p w14:paraId="18C31178"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tcBorders>
              <w:top w:val="nil"/>
              <w:left w:val="nil"/>
              <w:bottom w:val="single" w:sz="4" w:space="0" w:color="auto"/>
              <w:right w:val="single" w:sz="4" w:space="0" w:color="auto"/>
            </w:tcBorders>
            <w:vAlign w:val="center"/>
            <w:hideMark/>
          </w:tcPr>
          <w:p w14:paraId="0E81D75A" w14:textId="77777777" w:rsidR="00A6537F" w:rsidRPr="003F6F2A" w:rsidRDefault="00A6537F" w:rsidP="004D6B23">
            <w:pPr>
              <w:jc w:val="center"/>
              <w:rPr>
                <w:rFonts w:ascii="Tahoma" w:hAnsi="Tahoma" w:cs="Tahoma"/>
                <w:b/>
                <w:color w:val="000000"/>
              </w:rPr>
            </w:pPr>
            <w:r w:rsidRPr="003F6F2A">
              <w:rPr>
                <w:rFonts w:ascii="Tahoma" w:hAnsi="Tahoma" w:cs="Tahoma"/>
                <w:b/>
                <w:color w:val="000000"/>
              </w:rPr>
              <w:t>Até 100%</w:t>
            </w:r>
          </w:p>
        </w:tc>
      </w:tr>
      <w:tr w:rsidR="00A6537F" w:rsidRPr="003F6F2A" w14:paraId="7E437E19" w14:textId="77777777" w:rsidTr="004D6B23">
        <w:trPr>
          <w:trHeight w:val="283"/>
        </w:trPr>
        <w:tc>
          <w:tcPr>
            <w:tcW w:w="6304" w:type="dxa"/>
            <w:tcBorders>
              <w:top w:val="nil"/>
              <w:left w:val="single" w:sz="4" w:space="0" w:color="auto"/>
              <w:bottom w:val="single" w:sz="4" w:space="0" w:color="auto"/>
              <w:right w:val="single" w:sz="4" w:space="0" w:color="auto"/>
            </w:tcBorders>
            <w:vAlign w:val="center"/>
            <w:hideMark/>
          </w:tcPr>
          <w:p w14:paraId="015D91E6" w14:textId="77777777" w:rsidR="00A6537F" w:rsidRPr="003F6F2A" w:rsidRDefault="00A6537F" w:rsidP="004D6B23">
            <w:pPr>
              <w:rPr>
                <w:rFonts w:ascii="Tahoma" w:hAnsi="Tahoma" w:cs="Tahoma"/>
                <w:color w:val="000000"/>
              </w:rPr>
            </w:pPr>
            <w:r w:rsidRPr="003F6F2A">
              <w:rPr>
                <w:rFonts w:ascii="Tahoma" w:hAnsi="Tahoma" w:cs="Tahoma"/>
                <w:color w:val="000000"/>
              </w:rPr>
              <w:t>Pessoa Jurídica de direito privado (não enquadrada nos itens acima)</w:t>
            </w:r>
          </w:p>
        </w:tc>
        <w:tc>
          <w:tcPr>
            <w:tcW w:w="1418" w:type="dxa"/>
            <w:tcBorders>
              <w:top w:val="nil"/>
              <w:left w:val="nil"/>
              <w:bottom w:val="single" w:sz="4" w:space="0" w:color="auto"/>
              <w:right w:val="single" w:sz="4" w:space="0" w:color="auto"/>
            </w:tcBorders>
            <w:vAlign w:val="center"/>
            <w:hideMark/>
          </w:tcPr>
          <w:p w14:paraId="7DB2DB2D"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tcBorders>
              <w:top w:val="nil"/>
              <w:left w:val="nil"/>
              <w:bottom w:val="single" w:sz="4" w:space="0" w:color="auto"/>
              <w:right w:val="single" w:sz="4" w:space="0" w:color="auto"/>
            </w:tcBorders>
            <w:vAlign w:val="center"/>
            <w:hideMark/>
          </w:tcPr>
          <w:p w14:paraId="518F3726" w14:textId="77777777" w:rsidR="00A6537F" w:rsidRPr="003F6F2A" w:rsidRDefault="00A6537F" w:rsidP="004D6B23">
            <w:pPr>
              <w:jc w:val="center"/>
              <w:rPr>
                <w:rFonts w:ascii="Tahoma" w:hAnsi="Tahoma" w:cs="Tahoma"/>
                <w:b/>
                <w:color w:val="000000"/>
              </w:rPr>
            </w:pPr>
            <w:r w:rsidRPr="003F6F2A">
              <w:rPr>
                <w:rFonts w:ascii="Tahoma" w:hAnsi="Tahoma" w:cs="Tahoma"/>
                <w:b/>
                <w:color w:val="000000"/>
              </w:rPr>
              <w:t>Até 100%</w:t>
            </w:r>
          </w:p>
        </w:tc>
      </w:tr>
      <w:tr w:rsidR="00A6537F" w:rsidRPr="003F6F2A" w14:paraId="0C249637" w14:textId="77777777" w:rsidTr="004D6B23">
        <w:trPr>
          <w:trHeight w:val="283"/>
        </w:trPr>
        <w:tc>
          <w:tcPr>
            <w:tcW w:w="6304" w:type="dxa"/>
            <w:tcBorders>
              <w:top w:val="single" w:sz="4" w:space="0" w:color="auto"/>
              <w:left w:val="single" w:sz="4" w:space="0" w:color="auto"/>
              <w:bottom w:val="single" w:sz="4" w:space="0" w:color="auto"/>
              <w:right w:val="single" w:sz="4" w:space="0" w:color="auto"/>
            </w:tcBorders>
            <w:vAlign w:val="center"/>
            <w:hideMark/>
          </w:tcPr>
          <w:p w14:paraId="7E49885A" w14:textId="77777777" w:rsidR="00A6537F" w:rsidRPr="003F6F2A" w:rsidRDefault="00A6537F" w:rsidP="004D6B23">
            <w:pPr>
              <w:rPr>
                <w:rFonts w:ascii="Tahoma" w:hAnsi="Tahoma" w:cs="Tahoma"/>
                <w:color w:val="000000"/>
              </w:rPr>
            </w:pPr>
            <w:r w:rsidRPr="003F6F2A">
              <w:rPr>
                <w:rFonts w:ascii="Tahoma" w:hAnsi="Tahoma" w:cs="Tahoma"/>
                <w:color w:val="000000"/>
              </w:rPr>
              <w:t>União Federal</w:t>
            </w:r>
          </w:p>
        </w:tc>
        <w:tc>
          <w:tcPr>
            <w:tcW w:w="1418" w:type="dxa"/>
            <w:tcBorders>
              <w:top w:val="single" w:sz="4" w:space="0" w:color="auto"/>
              <w:left w:val="nil"/>
              <w:bottom w:val="single" w:sz="4" w:space="0" w:color="auto"/>
              <w:right w:val="single" w:sz="4" w:space="0" w:color="auto"/>
            </w:tcBorders>
            <w:vAlign w:val="center"/>
            <w:hideMark/>
          </w:tcPr>
          <w:p w14:paraId="6600EDE3"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tcBorders>
              <w:top w:val="single" w:sz="4" w:space="0" w:color="auto"/>
              <w:left w:val="nil"/>
              <w:bottom w:val="single" w:sz="4" w:space="0" w:color="auto"/>
              <w:right w:val="single" w:sz="4" w:space="0" w:color="auto"/>
            </w:tcBorders>
            <w:vAlign w:val="center"/>
            <w:hideMark/>
          </w:tcPr>
          <w:p w14:paraId="4CB30DC8" w14:textId="77777777" w:rsidR="00A6537F" w:rsidRPr="003F6F2A" w:rsidRDefault="00A6537F" w:rsidP="004D6B23">
            <w:pPr>
              <w:jc w:val="center"/>
              <w:rPr>
                <w:rFonts w:ascii="Tahoma" w:hAnsi="Tahoma" w:cs="Tahoma"/>
                <w:b/>
                <w:color w:val="000000"/>
              </w:rPr>
            </w:pPr>
            <w:r w:rsidRPr="003F6F2A">
              <w:rPr>
                <w:rFonts w:ascii="Tahoma" w:hAnsi="Tahoma" w:cs="Tahoma"/>
                <w:b/>
                <w:color w:val="000000"/>
              </w:rPr>
              <w:t>Até 100%</w:t>
            </w:r>
          </w:p>
        </w:tc>
      </w:tr>
      <w:tr w:rsidR="00A6537F" w:rsidRPr="003F6F2A" w14:paraId="0198FCF5" w14:textId="77777777" w:rsidTr="004D6B23">
        <w:trPr>
          <w:trHeight w:val="283"/>
        </w:trPr>
        <w:tc>
          <w:tcPr>
            <w:tcW w:w="9923" w:type="dxa"/>
            <w:gridSpan w:val="3"/>
            <w:tcBorders>
              <w:top w:val="single" w:sz="4" w:space="0" w:color="auto"/>
              <w:left w:val="single" w:sz="4" w:space="0" w:color="auto"/>
              <w:bottom w:val="single" w:sz="4" w:space="0" w:color="auto"/>
              <w:right w:val="single" w:sz="4" w:space="0" w:color="auto"/>
            </w:tcBorders>
            <w:vAlign w:val="center"/>
            <w:hideMark/>
          </w:tcPr>
          <w:p w14:paraId="72A36650" w14:textId="77777777" w:rsidR="00A6537F" w:rsidRPr="003F6F2A" w:rsidRDefault="00A6537F" w:rsidP="004D6B23">
            <w:pPr>
              <w:jc w:val="both"/>
              <w:rPr>
                <w:rFonts w:ascii="Tahoma" w:hAnsi="Tahoma" w:cs="Tahoma"/>
                <w:b/>
                <w:color w:val="000000"/>
              </w:rPr>
            </w:pPr>
            <w:r w:rsidRPr="003F6F2A">
              <w:rPr>
                <w:rFonts w:ascii="Tahoma" w:hAnsi="Tahoma" w:cs="Tahoma"/>
                <w:b/>
                <w:color w:val="000000"/>
              </w:rPr>
              <w:t>Os limites por emissor acima não se aplicam aos emissores dos ativos financeiros de renda variável, podendo o investimento do FUNDO em ativos financeiros de tais emissores estar exposto, direta ou indiretamente, a significativa concentração, com os riscos daí decorrentes. Estes limites também não se aplicam ao investimento do FUNDO em Fundos Investidos classificados como Renda Fixa – Dívida Externa.</w:t>
            </w:r>
          </w:p>
        </w:tc>
      </w:tr>
      <w:tr w:rsidR="00A6537F" w:rsidRPr="003F6F2A" w14:paraId="0C52B12D" w14:textId="77777777" w:rsidTr="004D6B23">
        <w:trPr>
          <w:trHeight w:val="283"/>
        </w:trPr>
        <w:tc>
          <w:tcPr>
            <w:tcW w:w="630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652CFA13"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 xml:space="preserve">CRÉDITO PRIVADO </w:t>
            </w:r>
          </w:p>
        </w:tc>
        <w:tc>
          <w:tcPr>
            <w:tcW w:w="1418"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09829827"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Permitido / Vedado</w:t>
            </w:r>
          </w:p>
        </w:tc>
        <w:tc>
          <w:tcPr>
            <w:tcW w:w="2201"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213C8A9"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Limite aplicável</w:t>
            </w:r>
          </w:p>
          <w:p w14:paraId="7C05F9F2" w14:textId="77777777" w:rsidR="00A6537F" w:rsidRPr="003F6F2A" w:rsidRDefault="00A6537F" w:rsidP="004D6B23">
            <w:pPr>
              <w:jc w:val="center"/>
              <w:rPr>
                <w:rFonts w:ascii="Tahoma" w:hAnsi="Tahoma" w:cs="Tahoma"/>
              </w:rPr>
            </w:pPr>
            <w:r w:rsidRPr="003F6F2A">
              <w:rPr>
                <w:rFonts w:ascii="Tahoma" w:hAnsi="Tahoma" w:cs="Tahoma"/>
                <w:b/>
                <w:bCs/>
                <w:color w:val="000000"/>
              </w:rPr>
              <w:t>(% do PL)</w:t>
            </w:r>
          </w:p>
        </w:tc>
      </w:tr>
      <w:tr w:rsidR="00A6537F" w:rsidRPr="003F6F2A" w14:paraId="3FCBA548" w14:textId="77777777" w:rsidTr="004D6B23">
        <w:trPr>
          <w:trHeight w:val="283"/>
        </w:trPr>
        <w:tc>
          <w:tcPr>
            <w:tcW w:w="6304" w:type="dxa"/>
            <w:tcBorders>
              <w:top w:val="single" w:sz="4" w:space="0" w:color="auto"/>
              <w:left w:val="single" w:sz="4" w:space="0" w:color="auto"/>
              <w:bottom w:val="single" w:sz="4" w:space="0" w:color="auto"/>
              <w:right w:val="single" w:sz="4" w:space="0" w:color="auto"/>
            </w:tcBorders>
            <w:vAlign w:val="center"/>
            <w:hideMark/>
          </w:tcPr>
          <w:p w14:paraId="5B63D35A" w14:textId="77777777" w:rsidR="00A6537F" w:rsidRPr="003F6F2A" w:rsidRDefault="00A6537F" w:rsidP="004D6B23">
            <w:pPr>
              <w:jc w:val="both"/>
              <w:rPr>
                <w:rFonts w:ascii="Tahoma" w:hAnsi="Tahoma" w:cs="Tahoma"/>
                <w:color w:val="000000"/>
              </w:rPr>
            </w:pPr>
            <w:r w:rsidRPr="003F6F2A">
              <w:rPr>
                <w:rFonts w:ascii="Tahoma" w:hAnsi="Tahoma" w:cs="Tahoma"/>
                <w:color w:val="000000"/>
              </w:rPr>
              <w:t>Ativos de crédito privado e/ou títulos públicos que não da União, considerando-se a consolidação dos investimentos do FUNDO e dos Fundos Investidos</w:t>
            </w:r>
          </w:p>
        </w:tc>
        <w:tc>
          <w:tcPr>
            <w:tcW w:w="1418" w:type="dxa"/>
            <w:tcBorders>
              <w:top w:val="single" w:sz="4" w:space="0" w:color="auto"/>
              <w:left w:val="nil"/>
              <w:bottom w:val="single" w:sz="4" w:space="0" w:color="auto"/>
              <w:right w:val="single" w:sz="4" w:space="0" w:color="auto"/>
            </w:tcBorders>
            <w:vAlign w:val="center"/>
            <w:hideMark/>
          </w:tcPr>
          <w:p w14:paraId="1FB012E4"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tcBorders>
              <w:top w:val="single" w:sz="4" w:space="0" w:color="auto"/>
              <w:left w:val="nil"/>
              <w:bottom w:val="single" w:sz="4" w:space="0" w:color="auto"/>
              <w:right w:val="single" w:sz="4" w:space="0" w:color="auto"/>
            </w:tcBorders>
            <w:vAlign w:val="center"/>
            <w:hideMark/>
          </w:tcPr>
          <w:p w14:paraId="40D17D95" w14:textId="77777777" w:rsidR="00A6537F" w:rsidRPr="003F6F2A" w:rsidRDefault="00A6537F" w:rsidP="004D6B23">
            <w:pPr>
              <w:jc w:val="center"/>
              <w:rPr>
                <w:rFonts w:ascii="Tahoma" w:hAnsi="Tahoma" w:cs="Tahoma"/>
                <w:b/>
                <w:color w:val="000000"/>
              </w:rPr>
            </w:pPr>
            <w:r w:rsidRPr="003F6F2A">
              <w:rPr>
                <w:rFonts w:ascii="Tahoma" w:hAnsi="Tahoma" w:cs="Tahoma"/>
                <w:b/>
                <w:color w:val="000000"/>
              </w:rPr>
              <w:t>Até 100%</w:t>
            </w:r>
          </w:p>
        </w:tc>
      </w:tr>
      <w:tr w:rsidR="00A6537F" w:rsidRPr="003F6F2A" w14:paraId="7CB42EB5" w14:textId="77777777" w:rsidTr="004D6B23">
        <w:trPr>
          <w:trHeight w:val="283"/>
        </w:trPr>
        <w:tc>
          <w:tcPr>
            <w:tcW w:w="9923" w:type="dxa"/>
            <w:gridSpan w:val="3"/>
            <w:tcBorders>
              <w:top w:val="single" w:sz="4" w:space="0" w:color="auto"/>
              <w:left w:val="single" w:sz="4" w:space="0" w:color="auto"/>
              <w:bottom w:val="single" w:sz="4" w:space="0" w:color="auto"/>
              <w:right w:val="single" w:sz="4" w:space="0" w:color="auto"/>
            </w:tcBorders>
            <w:vAlign w:val="center"/>
            <w:hideMark/>
          </w:tcPr>
          <w:p w14:paraId="02908112" w14:textId="77777777" w:rsidR="00A6537F" w:rsidRPr="003F6F2A" w:rsidRDefault="00A6537F" w:rsidP="004D6B23">
            <w:pPr>
              <w:jc w:val="both"/>
              <w:rPr>
                <w:rFonts w:ascii="Tahoma" w:hAnsi="Tahoma" w:cs="Tahoma"/>
                <w:b/>
                <w:color w:val="000000"/>
                <w:highlight w:val="yellow"/>
              </w:rPr>
            </w:pPr>
            <w:r w:rsidRPr="003F6F2A">
              <w:rPr>
                <w:rFonts w:ascii="Tahoma" w:hAnsi="Tahoma" w:cs="Tahoma"/>
                <w:b/>
                <w:color w:val="000000"/>
              </w:rPr>
              <w:lastRenderedPageBreak/>
              <w:t>O limite de crédito privado estabelecido neste quadro prevalece sobre os limites do quadro Limites por Ativo com relação aos ativos de crédito privado</w:t>
            </w:r>
            <w:r w:rsidRPr="003F6F2A">
              <w:rPr>
                <w:rFonts w:ascii="Tahoma" w:hAnsi="Tahoma" w:cs="Tahoma"/>
              </w:rPr>
              <w:t xml:space="preserve"> </w:t>
            </w:r>
            <w:r w:rsidRPr="003F6F2A">
              <w:rPr>
                <w:rFonts w:ascii="Tahoma" w:hAnsi="Tahoma" w:cs="Tahoma"/>
                <w:b/>
                <w:color w:val="000000"/>
              </w:rPr>
              <w:t>quando os limites indicados no referido quadro forem maiores do que o limite aqui previsto.</w:t>
            </w:r>
          </w:p>
        </w:tc>
      </w:tr>
      <w:tr w:rsidR="00A6537F" w:rsidRPr="003F6F2A" w14:paraId="12704A51" w14:textId="77777777" w:rsidTr="004D6B23">
        <w:trPr>
          <w:trHeight w:val="283"/>
        </w:trPr>
        <w:tc>
          <w:tcPr>
            <w:tcW w:w="630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770C52D"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 xml:space="preserve">DERIVATIVOS </w:t>
            </w:r>
          </w:p>
        </w:tc>
        <w:tc>
          <w:tcPr>
            <w:tcW w:w="1418"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2C491DA6"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Permitido / Vedado</w:t>
            </w:r>
          </w:p>
        </w:tc>
        <w:tc>
          <w:tcPr>
            <w:tcW w:w="2201"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C033C07"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Limite aplicável</w:t>
            </w:r>
          </w:p>
          <w:p w14:paraId="7322A065"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 do PL)</w:t>
            </w:r>
          </w:p>
        </w:tc>
      </w:tr>
      <w:tr w:rsidR="00A6537F" w:rsidRPr="003F6F2A" w14:paraId="36D6B855" w14:textId="77777777" w:rsidTr="004D6B23">
        <w:trPr>
          <w:trHeight w:val="283"/>
        </w:trPr>
        <w:tc>
          <w:tcPr>
            <w:tcW w:w="6304" w:type="dxa"/>
            <w:tcBorders>
              <w:top w:val="single" w:sz="4" w:space="0" w:color="auto"/>
              <w:left w:val="single" w:sz="4" w:space="0" w:color="auto"/>
              <w:bottom w:val="single" w:sz="4" w:space="0" w:color="auto"/>
              <w:right w:val="single" w:sz="4" w:space="0" w:color="auto"/>
            </w:tcBorders>
            <w:noWrap/>
            <w:vAlign w:val="center"/>
            <w:hideMark/>
          </w:tcPr>
          <w:p w14:paraId="78DFB035" w14:textId="77777777" w:rsidR="00A6537F" w:rsidRPr="003F6F2A" w:rsidRDefault="00A6537F" w:rsidP="004D6B23">
            <w:pPr>
              <w:rPr>
                <w:rFonts w:ascii="Tahoma" w:hAnsi="Tahoma" w:cs="Tahoma"/>
                <w:color w:val="000000"/>
              </w:rPr>
            </w:pPr>
            <w:r w:rsidRPr="003F6F2A">
              <w:rPr>
                <w:rFonts w:ascii="Tahoma" w:hAnsi="Tahoma" w:cs="Tahoma"/>
                <w:color w:val="000000"/>
              </w:rPr>
              <w:t>Proteção da carteira (</w:t>
            </w:r>
            <w:r w:rsidRPr="003F6F2A">
              <w:rPr>
                <w:rFonts w:ascii="Tahoma" w:hAnsi="Tahoma" w:cs="Tahoma"/>
                <w:i/>
                <w:color w:val="000000"/>
              </w:rPr>
              <w:t>hedge</w:t>
            </w:r>
            <w:r w:rsidRPr="003F6F2A">
              <w:rPr>
                <w:rFonts w:ascii="Tahoma" w:hAnsi="Tahoma" w:cs="Tahoma"/>
                <w:color w:val="000000"/>
              </w:rPr>
              <w:t>)</w:t>
            </w:r>
          </w:p>
        </w:tc>
        <w:tc>
          <w:tcPr>
            <w:tcW w:w="1418" w:type="dxa"/>
            <w:tcBorders>
              <w:top w:val="single" w:sz="4" w:space="0" w:color="auto"/>
              <w:left w:val="nil"/>
              <w:bottom w:val="single" w:sz="4" w:space="0" w:color="auto"/>
              <w:right w:val="single" w:sz="4" w:space="0" w:color="auto"/>
            </w:tcBorders>
            <w:vAlign w:val="center"/>
            <w:hideMark/>
          </w:tcPr>
          <w:p w14:paraId="3877D698"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tcBorders>
              <w:top w:val="single" w:sz="4" w:space="0" w:color="auto"/>
              <w:left w:val="nil"/>
              <w:bottom w:val="single" w:sz="4" w:space="0" w:color="auto"/>
              <w:right w:val="single" w:sz="4" w:space="0" w:color="auto"/>
            </w:tcBorders>
            <w:noWrap/>
            <w:vAlign w:val="center"/>
            <w:hideMark/>
          </w:tcPr>
          <w:p w14:paraId="68704A13" w14:textId="77777777" w:rsidR="00A6537F" w:rsidRPr="003F6F2A" w:rsidRDefault="00A6537F" w:rsidP="004D6B23">
            <w:pPr>
              <w:jc w:val="center"/>
              <w:rPr>
                <w:rFonts w:ascii="Tahoma" w:hAnsi="Tahoma" w:cs="Tahoma"/>
                <w:b/>
                <w:color w:val="000000"/>
              </w:rPr>
            </w:pPr>
            <w:r w:rsidRPr="003F6F2A">
              <w:rPr>
                <w:rFonts w:ascii="Tahoma" w:hAnsi="Tahoma" w:cs="Tahoma"/>
                <w:b/>
                <w:color w:val="000000"/>
              </w:rPr>
              <w:t>Até 100%</w:t>
            </w:r>
          </w:p>
        </w:tc>
      </w:tr>
      <w:tr w:rsidR="00A6537F" w:rsidRPr="003F6F2A" w14:paraId="4E8BCC16" w14:textId="77777777" w:rsidTr="004D6B23">
        <w:trPr>
          <w:trHeight w:val="283"/>
        </w:trPr>
        <w:tc>
          <w:tcPr>
            <w:tcW w:w="6304" w:type="dxa"/>
            <w:tcBorders>
              <w:top w:val="nil"/>
              <w:left w:val="single" w:sz="4" w:space="0" w:color="auto"/>
              <w:bottom w:val="single" w:sz="4" w:space="0" w:color="auto"/>
              <w:right w:val="single" w:sz="4" w:space="0" w:color="auto"/>
            </w:tcBorders>
            <w:noWrap/>
            <w:vAlign w:val="center"/>
            <w:hideMark/>
          </w:tcPr>
          <w:p w14:paraId="666A7143" w14:textId="77777777" w:rsidR="00A6537F" w:rsidRPr="003F6F2A" w:rsidRDefault="00A6537F" w:rsidP="004D6B23">
            <w:pPr>
              <w:rPr>
                <w:rFonts w:ascii="Tahoma" w:hAnsi="Tahoma" w:cs="Tahoma"/>
                <w:color w:val="000000"/>
              </w:rPr>
            </w:pPr>
            <w:r w:rsidRPr="003F6F2A">
              <w:rPr>
                <w:rFonts w:ascii="Tahoma" w:hAnsi="Tahoma" w:cs="Tahoma"/>
                <w:color w:val="000000"/>
              </w:rPr>
              <w:t>Assunção de risco</w:t>
            </w:r>
          </w:p>
        </w:tc>
        <w:tc>
          <w:tcPr>
            <w:tcW w:w="1418" w:type="dxa"/>
            <w:tcBorders>
              <w:top w:val="nil"/>
              <w:left w:val="nil"/>
              <w:bottom w:val="single" w:sz="4" w:space="0" w:color="auto"/>
              <w:right w:val="single" w:sz="4" w:space="0" w:color="auto"/>
            </w:tcBorders>
            <w:vAlign w:val="center"/>
            <w:hideMark/>
          </w:tcPr>
          <w:p w14:paraId="1C88161F"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tcBorders>
              <w:top w:val="nil"/>
              <w:left w:val="nil"/>
              <w:bottom w:val="single" w:sz="4" w:space="0" w:color="auto"/>
              <w:right w:val="single" w:sz="4" w:space="0" w:color="auto"/>
            </w:tcBorders>
            <w:noWrap/>
            <w:vAlign w:val="center"/>
            <w:hideMark/>
          </w:tcPr>
          <w:p w14:paraId="2BC563A0" w14:textId="77777777" w:rsidR="00A6537F" w:rsidRPr="003F6F2A" w:rsidRDefault="00A6537F" w:rsidP="004D6B23">
            <w:pPr>
              <w:jc w:val="center"/>
              <w:rPr>
                <w:rFonts w:ascii="Tahoma" w:hAnsi="Tahoma" w:cs="Tahoma"/>
                <w:b/>
                <w:color w:val="000000"/>
              </w:rPr>
            </w:pPr>
            <w:r w:rsidRPr="003F6F2A">
              <w:rPr>
                <w:rFonts w:ascii="Tahoma" w:hAnsi="Tahoma" w:cs="Tahoma"/>
                <w:b/>
                <w:color w:val="000000"/>
              </w:rPr>
              <w:t>Até 100%</w:t>
            </w:r>
          </w:p>
        </w:tc>
      </w:tr>
      <w:tr w:rsidR="00A6537F" w:rsidRPr="003F6F2A" w14:paraId="64EB01F5" w14:textId="77777777" w:rsidTr="004D6B23">
        <w:trPr>
          <w:trHeight w:val="283"/>
        </w:trPr>
        <w:tc>
          <w:tcPr>
            <w:tcW w:w="6304" w:type="dxa"/>
            <w:tcBorders>
              <w:top w:val="single" w:sz="4" w:space="0" w:color="auto"/>
              <w:left w:val="single" w:sz="4" w:space="0" w:color="auto"/>
              <w:bottom w:val="single" w:sz="4" w:space="0" w:color="auto"/>
              <w:right w:val="single" w:sz="4" w:space="0" w:color="auto"/>
            </w:tcBorders>
            <w:noWrap/>
            <w:vAlign w:val="center"/>
            <w:hideMark/>
          </w:tcPr>
          <w:p w14:paraId="64215576" w14:textId="77777777" w:rsidR="00A6537F" w:rsidRPr="003F6F2A" w:rsidRDefault="00A6537F" w:rsidP="004D6B23">
            <w:pPr>
              <w:rPr>
                <w:rFonts w:ascii="Tahoma" w:hAnsi="Tahoma" w:cs="Tahoma"/>
              </w:rPr>
            </w:pPr>
            <w:r w:rsidRPr="003F6F2A">
              <w:rPr>
                <w:rFonts w:ascii="Tahoma" w:hAnsi="Tahoma" w:cs="Tahoma"/>
              </w:rPr>
              <w:t>Alavancagem</w:t>
            </w:r>
          </w:p>
        </w:tc>
        <w:tc>
          <w:tcPr>
            <w:tcW w:w="1418" w:type="dxa"/>
            <w:tcBorders>
              <w:top w:val="single" w:sz="4" w:space="0" w:color="auto"/>
              <w:left w:val="nil"/>
              <w:bottom w:val="single" w:sz="4" w:space="0" w:color="auto"/>
              <w:right w:val="single" w:sz="4" w:space="0" w:color="auto"/>
            </w:tcBorders>
            <w:vAlign w:val="center"/>
            <w:hideMark/>
          </w:tcPr>
          <w:p w14:paraId="6DD8782A" w14:textId="77777777" w:rsidR="00A6537F" w:rsidRPr="003F6F2A" w:rsidRDefault="00A6537F" w:rsidP="004D6B23">
            <w:pPr>
              <w:jc w:val="center"/>
              <w:rPr>
                <w:rFonts w:ascii="Tahoma" w:hAnsi="Tahoma" w:cs="Tahoma"/>
              </w:rPr>
            </w:pPr>
            <w:r w:rsidRPr="003F6F2A">
              <w:rPr>
                <w:rFonts w:ascii="Tahoma" w:hAnsi="Tahoma" w:cs="Tahoma"/>
              </w:rPr>
              <w:t>Permitido</w:t>
            </w:r>
          </w:p>
        </w:tc>
        <w:tc>
          <w:tcPr>
            <w:tcW w:w="2201" w:type="dxa"/>
            <w:tcBorders>
              <w:top w:val="single" w:sz="4" w:space="0" w:color="auto"/>
              <w:left w:val="nil"/>
              <w:bottom w:val="single" w:sz="4" w:space="0" w:color="auto"/>
              <w:right w:val="single" w:sz="4" w:space="0" w:color="auto"/>
            </w:tcBorders>
            <w:noWrap/>
            <w:vAlign w:val="center"/>
            <w:hideMark/>
          </w:tcPr>
          <w:p w14:paraId="2486DD78" w14:textId="77777777" w:rsidR="00A6537F" w:rsidRPr="003F6F2A" w:rsidRDefault="00A6537F" w:rsidP="004D6B23">
            <w:pPr>
              <w:jc w:val="center"/>
              <w:rPr>
                <w:rFonts w:ascii="Tahoma" w:hAnsi="Tahoma" w:cs="Tahoma"/>
              </w:rPr>
            </w:pPr>
            <w:r w:rsidRPr="003F6F2A">
              <w:rPr>
                <w:rFonts w:ascii="Tahoma" w:hAnsi="Tahoma" w:cs="Tahoma"/>
                <w:b/>
              </w:rPr>
              <w:t>Sem limite máximo definido</w:t>
            </w:r>
          </w:p>
        </w:tc>
      </w:tr>
      <w:tr w:rsidR="00A6537F" w:rsidRPr="003F6F2A" w14:paraId="5C075551" w14:textId="77777777" w:rsidTr="004D6B23">
        <w:trPr>
          <w:trHeight w:val="283"/>
        </w:trPr>
        <w:tc>
          <w:tcPr>
            <w:tcW w:w="630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26B70B24"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 xml:space="preserve">INVESTIMENTO NO EXTERIOR </w:t>
            </w:r>
          </w:p>
        </w:tc>
        <w:tc>
          <w:tcPr>
            <w:tcW w:w="1418"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57333693"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Permitido / Vedado</w:t>
            </w:r>
          </w:p>
        </w:tc>
        <w:tc>
          <w:tcPr>
            <w:tcW w:w="2201"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62C17EB7"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Limite aplicável</w:t>
            </w:r>
          </w:p>
          <w:p w14:paraId="3427201A" w14:textId="77777777" w:rsidR="00A6537F" w:rsidRPr="003F6F2A" w:rsidRDefault="00A6537F" w:rsidP="004D6B23">
            <w:pPr>
              <w:jc w:val="center"/>
              <w:rPr>
                <w:rFonts w:ascii="Tahoma" w:hAnsi="Tahoma" w:cs="Tahoma"/>
              </w:rPr>
            </w:pPr>
            <w:r w:rsidRPr="003F6F2A">
              <w:rPr>
                <w:rFonts w:ascii="Tahoma" w:hAnsi="Tahoma" w:cs="Tahoma"/>
                <w:b/>
                <w:bCs/>
                <w:color w:val="000000"/>
              </w:rPr>
              <w:t>(% do PL)</w:t>
            </w:r>
          </w:p>
        </w:tc>
      </w:tr>
      <w:tr w:rsidR="00A6537F" w:rsidRPr="003F6F2A" w14:paraId="2DBF9438" w14:textId="77777777" w:rsidTr="004D6B23">
        <w:trPr>
          <w:trHeight w:val="283"/>
        </w:trPr>
        <w:tc>
          <w:tcPr>
            <w:tcW w:w="6304" w:type="dxa"/>
            <w:tcBorders>
              <w:top w:val="single" w:sz="4" w:space="0" w:color="auto"/>
              <w:left w:val="single" w:sz="4" w:space="0" w:color="auto"/>
              <w:bottom w:val="single" w:sz="4" w:space="0" w:color="auto"/>
              <w:right w:val="single" w:sz="4" w:space="0" w:color="auto"/>
            </w:tcBorders>
            <w:vAlign w:val="bottom"/>
            <w:hideMark/>
          </w:tcPr>
          <w:p w14:paraId="2060F665" w14:textId="77777777" w:rsidR="00A6537F" w:rsidRPr="003F6F2A" w:rsidRDefault="00A6537F" w:rsidP="004D6B23">
            <w:pPr>
              <w:jc w:val="both"/>
              <w:rPr>
                <w:rFonts w:ascii="Tahoma" w:hAnsi="Tahoma" w:cs="Tahoma"/>
                <w:color w:val="000000"/>
              </w:rPr>
            </w:pPr>
            <w:r w:rsidRPr="003F6F2A">
              <w:rPr>
                <w:rFonts w:ascii="Tahoma" w:hAnsi="Tahoma" w:cs="Tahoma"/>
                <w:color w:val="000000"/>
              </w:rPr>
              <w:t xml:space="preserve">Ativos financeiros negociados no exterior que tenham a mesma natureza econômica dos ativos financeiros no Brasil e/ou </w:t>
            </w:r>
            <w:proofErr w:type="spellStart"/>
            <w:r w:rsidRPr="003F6F2A">
              <w:rPr>
                <w:rFonts w:ascii="Tahoma" w:hAnsi="Tahoma" w:cs="Tahoma"/>
                <w:color w:val="000000"/>
              </w:rPr>
              <w:t>Brazilian</w:t>
            </w:r>
            <w:proofErr w:type="spellEnd"/>
            <w:r w:rsidRPr="003F6F2A">
              <w:rPr>
                <w:rFonts w:ascii="Tahoma" w:hAnsi="Tahoma" w:cs="Tahoma"/>
                <w:color w:val="000000"/>
              </w:rPr>
              <w:t xml:space="preserve"> Depositary </w:t>
            </w:r>
            <w:proofErr w:type="spellStart"/>
            <w:r w:rsidRPr="003F6F2A">
              <w:rPr>
                <w:rFonts w:ascii="Tahoma" w:hAnsi="Tahoma" w:cs="Tahoma"/>
                <w:color w:val="000000"/>
              </w:rPr>
              <w:t>Receipt</w:t>
            </w:r>
            <w:proofErr w:type="spellEnd"/>
            <w:r w:rsidRPr="003F6F2A">
              <w:rPr>
                <w:rFonts w:ascii="Tahoma" w:hAnsi="Tahoma" w:cs="Tahoma"/>
                <w:color w:val="000000"/>
              </w:rPr>
              <w:t xml:space="preserve"> - Nível I (exceto no caso de fundos de investimento que adotem o sufixo Ações – BDR-Nível I)</w:t>
            </w:r>
            <w:r w:rsidRPr="003F6F2A">
              <w:rPr>
                <w:rFonts w:ascii="Tahoma" w:hAnsi="Tahoma" w:cs="Tahoma"/>
              </w:rPr>
              <w:t>, considerando-se a consolidação dos investimentos do FUNDO e dos Fundos Investidos</w:t>
            </w:r>
          </w:p>
        </w:tc>
        <w:tc>
          <w:tcPr>
            <w:tcW w:w="1418" w:type="dxa"/>
            <w:tcBorders>
              <w:top w:val="single" w:sz="4" w:space="0" w:color="auto"/>
              <w:left w:val="nil"/>
              <w:bottom w:val="single" w:sz="4" w:space="0" w:color="auto"/>
              <w:right w:val="single" w:sz="4" w:space="0" w:color="auto"/>
            </w:tcBorders>
            <w:vAlign w:val="center"/>
            <w:hideMark/>
          </w:tcPr>
          <w:p w14:paraId="42D93EBB"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201" w:type="dxa"/>
            <w:tcBorders>
              <w:top w:val="single" w:sz="4" w:space="0" w:color="auto"/>
              <w:left w:val="nil"/>
              <w:bottom w:val="single" w:sz="4" w:space="0" w:color="auto"/>
              <w:right w:val="single" w:sz="4" w:space="0" w:color="auto"/>
            </w:tcBorders>
            <w:noWrap/>
            <w:vAlign w:val="center"/>
            <w:hideMark/>
          </w:tcPr>
          <w:p w14:paraId="2348750F" w14:textId="77777777" w:rsidR="00A6537F" w:rsidRPr="003F6F2A" w:rsidRDefault="00A6537F" w:rsidP="004D6B23">
            <w:pPr>
              <w:jc w:val="center"/>
              <w:rPr>
                <w:rFonts w:ascii="Tahoma" w:hAnsi="Tahoma" w:cs="Tahoma"/>
                <w:b/>
                <w:color w:val="000000"/>
              </w:rPr>
            </w:pPr>
            <w:r w:rsidRPr="003F6F2A">
              <w:rPr>
                <w:rFonts w:ascii="Tahoma" w:hAnsi="Tahoma" w:cs="Tahoma"/>
                <w:b/>
              </w:rPr>
              <w:t>Até 40%</w:t>
            </w:r>
          </w:p>
        </w:tc>
      </w:tr>
      <w:tr w:rsidR="00A6537F" w:rsidRPr="003F6F2A" w14:paraId="611BD1D4" w14:textId="77777777" w:rsidTr="004D6B23">
        <w:trPr>
          <w:trHeight w:val="283"/>
        </w:trPr>
        <w:tc>
          <w:tcPr>
            <w:tcW w:w="9923" w:type="dxa"/>
            <w:gridSpan w:val="3"/>
            <w:tcBorders>
              <w:top w:val="single" w:sz="4" w:space="0" w:color="auto"/>
              <w:left w:val="single" w:sz="4" w:space="0" w:color="auto"/>
              <w:bottom w:val="single" w:sz="4" w:space="0" w:color="auto"/>
              <w:right w:val="single" w:sz="4" w:space="0" w:color="auto"/>
            </w:tcBorders>
            <w:vAlign w:val="bottom"/>
            <w:hideMark/>
          </w:tcPr>
          <w:p w14:paraId="29A60508" w14:textId="77777777" w:rsidR="00A6537F" w:rsidRPr="003F6F2A" w:rsidRDefault="00A6537F" w:rsidP="004D6B23">
            <w:pPr>
              <w:jc w:val="both"/>
              <w:rPr>
                <w:rFonts w:ascii="Tahoma" w:hAnsi="Tahoma" w:cs="Tahoma"/>
                <w:b/>
                <w:color w:val="000000"/>
                <w:highlight w:val="yellow"/>
              </w:rPr>
            </w:pPr>
            <w:r w:rsidRPr="003F6F2A">
              <w:rPr>
                <w:rFonts w:ascii="Tahoma" w:hAnsi="Tahoma" w:cs="Tahoma"/>
                <w:b/>
                <w:color w:val="000000"/>
              </w:rPr>
              <w:t>As aplicações pelo FUNDO e pelos Fundos Investidos em ativos financeiros no exterior não são cumulativamente consideradas no cálculo dos correspondentes limites de concentração por emissor e por modalidade de ativo financeiro aplicáveis aos ativos domésticos.</w:t>
            </w:r>
          </w:p>
        </w:tc>
      </w:tr>
    </w:tbl>
    <w:p w14:paraId="034DAEA0" w14:textId="77777777" w:rsidR="00A6537F" w:rsidRPr="003F6F2A" w:rsidRDefault="00A6537F" w:rsidP="00A6537F">
      <w:pPr>
        <w:rPr>
          <w:rFonts w:ascii="Tahoma" w:hAnsi="Tahoma" w:cs="Tahoma"/>
        </w:rPr>
      </w:pPr>
    </w:p>
    <w:p w14:paraId="5630E639" w14:textId="77777777" w:rsidR="00A6537F" w:rsidRPr="003F6F2A" w:rsidRDefault="00A6537F" w:rsidP="00A6537F">
      <w:pPr>
        <w:jc w:val="center"/>
        <w:rPr>
          <w:rFonts w:ascii="Tahoma" w:hAnsi="Tahoma" w:cs="Tahoma"/>
        </w:rPr>
      </w:pPr>
      <w:r w:rsidRPr="003F6F2A">
        <w:rPr>
          <w:rFonts w:ascii="Tahoma" w:hAnsi="Tahoma" w:cs="Tahoma"/>
          <w:b/>
        </w:rPr>
        <w:t>DAS OPERAÇÕES COM O ADMINISTRADOR, GESTOR E LIGADAS PELO FUNDO E/OU PELOS FUNDOS INVESTIDOS</w:t>
      </w:r>
    </w:p>
    <w:p w14:paraId="2CFCF818" w14:textId="77777777" w:rsidR="00A6537F" w:rsidRPr="003F6F2A" w:rsidRDefault="00A6537F" w:rsidP="00A6537F">
      <w:pPr>
        <w:jc w:val="both"/>
        <w:rPr>
          <w:rFonts w:ascii="Tahoma" w:hAnsi="Tahoma" w:cs="Tahoma"/>
        </w:rPr>
      </w:pPr>
    </w:p>
    <w:tbl>
      <w:tblPr>
        <w:tblW w:w="9980" w:type="dxa"/>
        <w:tblInd w:w="65" w:type="dxa"/>
        <w:tblLayout w:type="fixed"/>
        <w:tblCellMar>
          <w:left w:w="70" w:type="dxa"/>
          <w:right w:w="70" w:type="dxa"/>
        </w:tblCellMar>
        <w:tblLook w:val="04A0" w:firstRow="1" w:lastRow="0" w:firstColumn="1" w:lastColumn="0" w:noHBand="0" w:noVBand="1"/>
      </w:tblPr>
      <w:tblGrid>
        <w:gridCol w:w="6434"/>
        <w:gridCol w:w="1446"/>
        <w:gridCol w:w="2100"/>
      </w:tblGrid>
      <w:tr w:rsidR="00A6537F" w:rsidRPr="003F6F2A" w14:paraId="69D0A1A0" w14:textId="77777777" w:rsidTr="004D6B23">
        <w:trPr>
          <w:trHeight w:val="287"/>
        </w:trPr>
        <w:tc>
          <w:tcPr>
            <w:tcW w:w="643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7FC683F6"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 xml:space="preserve">OPERAÇÕES COM O ADMINISTRADOR, GESTOR E LIGADAS </w:t>
            </w:r>
          </w:p>
        </w:tc>
        <w:tc>
          <w:tcPr>
            <w:tcW w:w="1446"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7DC16D00"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Permitido / Vedado</w:t>
            </w:r>
          </w:p>
        </w:tc>
        <w:tc>
          <w:tcPr>
            <w:tcW w:w="2100"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007F83ED" w14:textId="77777777" w:rsidR="00A6537F" w:rsidRPr="003F6F2A" w:rsidRDefault="00A6537F" w:rsidP="004D6B23">
            <w:pPr>
              <w:jc w:val="center"/>
              <w:rPr>
                <w:rFonts w:ascii="Tahoma" w:hAnsi="Tahoma" w:cs="Tahoma"/>
                <w:b/>
                <w:bCs/>
                <w:color w:val="000000"/>
              </w:rPr>
            </w:pPr>
            <w:r w:rsidRPr="003F6F2A">
              <w:rPr>
                <w:rFonts w:ascii="Tahoma" w:hAnsi="Tahoma" w:cs="Tahoma"/>
                <w:b/>
                <w:bCs/>
                <w:color w:val="000000"/>
              </w:rPr>
              <w:t>Limite aplicável</w:t>
            </w:r>
          </w:p>
          <w:p w14:paraId="36F4D65E" w14:textId="77777777" w:rsidR="00A6537F" w:rsidRPr="003F6F2A" w:rsidRDefault="00A6537F" w:rsidP="004D6B23">
            <w:pPr>
              <w:jc w:val="center"/>
              <w:rPr>
                <w:rFonts w:ascii="Tahoma" w:hAnsi="Tahoma" w:cs="Tahoma"/>
              </w:rPr>
            </w:pPr>
            <w:r w:rsidRPr="003F6F2A">
              <w:rPr>
                <w:rFonts w:ascii="Tahoma" w:hAnsi="Tahoma" w:cs="Tahoma"/>
                <w:b/>
                <w:bCs/>
                <w:color w:val="000000"/>
              </w:rPr>
              <w:t>(% do PL)</w:t>
            </w:r>
          </w:p>
        </w:tc>
      </w:tr>
      <w:tr w:rsidR="00A6537F" w:rsidRPr="003F6F2A" w14:paraId="22C44464" w14:textId="77777777" w:rsidTr="004D6B23">
        <w:trPr>
          <w:trHeight w:val="287"/>
        </w:trPr>
        <w:tc>
          <w:tcPr>
            <w:tcW w:w="6434" w:type="dxa"/>
            <w:tcBorders>
              <w:top w:val="single" w:sz="4" w:space="0" w:color="auto"/>
              <w:left w:val="single" w:sz="4" w:space="0" w:color="auto"/>
              <w:bottom w:val="single" w:sz="4" w:space="0" w:color="auto"/>
              <w:right w:val="single" w:sz="4" w:space="0" w:color="auto"/>
            </w:tcBorders>
            <w:vAlign w:val="center"/>
            <w:hideMark/>
          </w:tcPr>
          <w:p w14:paraId="03D55564" w14:textId="77777777" w:rsidR="00A6537F" w:rsidRPr="003F6F2A" w:rsidRDefault="00A6537F" w:rsidP="004D6B23">
            <w:pPr>
              <w:jc w:val="both"/>
              <w:rPr>
                <w:rFonts w:ascii="Tahoma" w:hAnsi="Tahoma" w:cs="Tahoma"/>
              </w:rPr>
            </w:pPr>
            <w:r w:rsidRPr="003F6F2A">
              <w:rPr>
                <w:rFonts w:ascii="Tahoma" w:hAnsi="Tahoma" w:cs="Tahoma"/>
                <w:color w:val="000000"/>
              </w:rPr>
              <w:t xml:space="preserve">Títulos ou valores mobiliários de emissão do ADMINISTRADOR, do GESTOR ou de empresas a eles ligadas, </w:t>
            </w:r>
            <w:r w:rsidRPr="003F6F2A">
              <w:rPr>
                <w:rFonts w:ascii="Tahoma" w:hAnsi="Tahoma" w:cs="Tahoma"/>
              </w:rPr>
              <w:t>considerando-se a consolidação dos investimentos do FUNDO e dos Fundos Investidos, sendo vedada a aquisição de ações do ADMINISTRADOR,</w:t>
            </w:r>
            <w:r w:rsidRPr="003F6F2A">
              <w:rPr>
                <w:rFonts w:ascii="Tahoma" w:hAnsi="Tahoma" w:cs="Tahoma"/>
                <w:color w:val="000000"/>
              </w:rPr>
              <w:t xml:space="preserve"> </w:t>
            </w:r>
            <w:r w:rsidRPr="003F6F2A">
              <w:rPr>
                <w:rFonts w:ascii="Tahoma" w:hAnsi="Tahoma" w:cs="Tahoma"/>
              </w:rPr>
              <w:t>exceto nas hipóteses em que o FUNDO e/ou os Fundos Investidos busquem reproduzir índice de mercado do qual estas ações façam parte, exclusivamente na proporção desta participação</w:t>
            </w:r>
          </w:p>
        </w:tc>
        <w:tc>
          <w:tcPr>
            <w:tcW w:w="1446" w:type="dxa"/>
            <w:tcBorders>
              <w:top w:val="single" w:sz="4" w:space="0" w:color="auto"/>
              <w:left w:val="nil"/>
              <w:bottom w:val="single" w:sz="4" w:space="0" w:color="auto"/>
              <w:right w:val="single" w:sz="4" w:space="0" w:color="auto"/>
            </w:tcBorders>
            <w:vAlign w:val="center"/>
            <w:hideMark/>
          </w:tcPr>
          <w:p w14:paraId="2A397DC6" w14:textId="77777777" w:rsidR="00A6537F" w:rsidRPr="003F6F2A" w:rsidRDefault="00A6537F" w:rsidP="004D6B23">
            <w:pPr>
              <w:jc w:val="center"/>
              <w:rPr>
                <w:rFonts w:ascii="Tahoma" w:hAnsi="Tahoma" w:cs="Tahoma"/>
                <w:color w:val="000000"/>
                <w:highlight w:val="yellow"/>
              </w:rPr>
            </w:pPr>
            <w:r w:rsidRPr="003F6F2A">
              <w:rPr>
                <w:rFonts w:ascii="Tahoma" w:hAnsi="Tahoma" w:cs="Tahoma"/>
                <w:color w:val="000000"/>
              </w:rPr>
              <w:t>Permitido</w:t>
            </w:r>
          </w:p>
        </w:tc>
        <w:tc>
          <w:tcPr>
            <w:tcW w:w="2100" w:type="dxa"/>
            <w:tcBorders>
              <w:top w:val="single" w:sz="4" w:space="0" w:color="auto"/>
              <w:left w:val="nil"/>
              <w:bottom w:val="single" w:sz="4" w:space="0" w:color="auto"/>
              <w:right w:val="single" w:sz="4" w:space="0" w:color="auto"/>
            </w:tcBorders>
            <w:noWrap/>
            <w:vAlign w:val="center"/>
            <w:hideMark/>
          </w:tcPr>
          <w:p w14:paraId="7A9AE15A" w14:textId="77777777" w:rsidR="00A6537F" w:rsidRPr="003F6F2A" w:rsidRDefault="00A6537F" w:rsidP="004D6B23">
            <w:pPr>
              <w:jc w:val="center"/>
              <w:rPr>
                <w:rFonts w:ascii="Tahoma" w:hAnsi="Tahoma" w:cs="Tahoma"/>
                <w:b/>
                <w:color w:val="000000"/>
              </w:rPr>
            </w:pPr>
            <w:r w:rsidRPr="003F6F2A">
              <w:rPr>
                <w:rFonts w:ascii="Tahoma" w:hAnsi="Tahoma" w:cs="Tahoma"/>
                <w:b/>
                <w:color w:val="000000"/>
              </w:rPr>
              <w:t>Até 100%</w:t>
            </w:r>
          </w:p>
        </w:tc>
      </w:tr>
      <w:tr w:rsidR="00A6537F" w:rsidRPr="003F6F2A" w14:paraId="58D53568" w14:textId="77777777" w:rsidTr="004D6B23">
        <w:trPr>
          <w:trHeight w:val="287"/>
        </w:trPr>
        <w:tc>
          <w:tcPr>
            <w:tcW w:w="6434" w:type="dxa"/>
            <w:tcBorders>
              <w:top w:val="nil"/>
              <w:left w:val="single" w:sz="4" w:space="0" w:color="auto"/>
              <w:bottom w:val="single" w:sz="4" w:space="0" w:color="auto"/>
              <w:right w:val="single" w:sz="4" w:space="0" w:color="auto"/>
            </w:tcBorders>
            <w:vAlign w:val="center"/>
            <w:hideMark/>
          </w:tcPr>
          <w:p w14:paraId="5E806C32" w14:textId="77777777" w:rsidR="00A6537F" w:rsidRPr="003F6F2A" w:rsidRDefault="00A6537F" w:rsidP="004D6B23">
            <w:pPr>
              <w:jc w:val="both"/>
              <w:rPr>
                <w:rFonts w:ascii="Tahoma" w:hAnsi="Tahoma" w:cs="Tahoma"/>
                <w:color w:val="000000"/>
              </w:rPr>
            </w:pPr>
            <w:r w:rsidRPr="003F6F2A">
              <w:rPr>
                <w:rFonts w:ascii="Tahoma" w:hAnsi="Tahoma" w:cs="Tahoma"/>
                <w:color w:val="000000"/>
              </w:rPr>
              <w:t>Cotas de fundos de investimento administrados pelo ADMINISTRADOR, GESTOR ou empresas a eles ligadas</w:t>
            </w:r>
          </w:p>
        </w:tc>
        <w:tc>
          <w:tcPr>
            <w:tcW w:w="1446" w:type="dxa"/>
            <w:tcBorders>
              <w:top w:val="nil"/>
              <w:left w:val="nil"/>
              <w:bottom w:val="single" w:sz="4" w:space="0" w:color="auto"/>
              <w:right w:val="single" w:sz="4" w:space="0" w:color="auto"/>
            </w:tcBorders>
            <w:vAlign w:val="center"/>
            <w:hideMark/>
          </w:tcPr>
          <w:p w14:paraId="7FC39905" w14:textId="77777777" w:rsidR="00A6537F" w:rsidRPr="003F6F2A" w:rsidRDefault="00A6537F" w:rsidP="004D6B23">
            <w:pPr>
              <w:jc w:val="center"/>
              <w:rPr>
                <w:rFonts w:ascii="Tahoma" w:hAnsi="Tahoma" w:cs="Tahoma"/>
                <w:color w:val="000000"/>
              </w:rPr>
            </w:pPr>
            <w:r w:rsidRPr="003F6F2A">
              <w:rPr>
                <w:rFonts w:ascii="Tahoma" w:hAnsi="Tahoma" w:cs="Tahoma"/>
                <w:color w:val="000000"/>
              </w:rPr>
              <w:t>Permitido</w:t>
            </w:r>
          </w:p>
        </w:tc>
        <w:tc>
          <w:tcPr>
            <w:tcW w:w="2100" w:type="dxa"/>
            <w:tcBorders>
              <w:top w:val="nil"/>
              <w:left w:val="nil"/>
              <w:bottom w:val="single" w:sz="4" w:space="0" w:color="auto"/>
              <w:right w:val="single" w:sz="4" w:space="0" w:color="auto"/>
            </w:tcBorders>
            <w:noWrap/>
            <w:vAlign w:val="center"/>
            <w:hideMark/>
          </w:tcPr>
          <w:p w14:paraId="0DD25360" w14:textId="77777777" w:rsidR="00A6537F" w:rsidRPr="003F6F2A" w:rsidRDefault="00A6537F" w:rsidP="004D6B23">
            <w:pPr>
              <w:jc w:val="center"/>
              <w:rPr>
                <w:rFonts w:ascii="Tahoma" w:hAnsi="Tahoma" w:cs="Tahoma"/>
                <w:b/>
                <w:color w:val="000000"/>
              </w:rPr>
            </w:pPr>
            <w:r w:rsidRPr="003F6F2A">
              <w:rPr>
                <w:rFonts w:ascii="Tahoma" w:hAnsi="Tahoma" w:cs="Tahoma"/>
                <w:b/>
                <w:color w:val="000000"/>
              </w:rPr>
              <w:t>Até 100%</w:t>
            </w:r>
          </w:p>
        </w:tc>
      </w:tr>
      <w:tr w:rsidR="00A6537F" w:rsidRPr="003F6F2A" w14:paraId="7BC16E0F" w14:textId="77777777" w:rsidTr="004D6B23">
        <w:trPr>
          <w:trHeight w:val="287"/>
        </w:trPr>
        <w:tc>
          <w:tcPr>
            <w:tcW w:w="6434" w:type="dxa"/>
            <w:tcBorders>
              <w:top w:val="nil"/>
              <w:left w:val="single" w:sz="4" w:space="0" w:color="auto"/>
              <w:bottom w:val="single" w:sz="4" w:space="0" w:color="auto"/>
              <w:right w:val="single" w:sz="4" w:space="0" w:color="auto"/>
            </w:tcBorders>
            <w:vAlign w:val="center"/>
            <w:hideMark/>
          </w:tcPr>
          <w:p w14:paraId="066EC514" w14:textId="77777777" w:rsidR="00A6537F" w:rsidRPr="003F6F2A" w:rsidRDefault="00A6537F" w:rsidP="004D6B23">
            <w:pPr>
              <w:jc w:val="both"/>
              <w:rPr>
                <w:rFonts w:ascii="Tahoma" w:hAnsi="Tahoma" w:cs="Tahoma"/>
                <w:color w:val="000000"/>
              </w:rPr>
            </w:pPr>
            <w:r w:rsidRPr="003F6F2A">
              <w:rPr>
                <w:rFonts w:ascii="Tahoma" w:hAnsi="Tahoma" w:cs="Tahoma"/>
                <w:color w:val="000000"/>
              </w:rPr>
              <w:t>Operações tendo como contraparte o ADMINISTRADOR, o GESTOR e empresas a eles ligadas, bem como fundos de investimento, clubes de investimento e/ou carteiras administradas pelo ADMINISTRADOR, pelo GESTOR ou por empresas a eles ligadas</w:t>
            </w:r>
          </w:p>
        </w:tc>
        <w:tc>
          <w:tcPr>
            <w:tcW w:w="1446" w:type="dxa"/>
            <w:tcBorders>
              <w:top w:val="nil"/>
              <w:left w:val="nil"/>
              <w:bottom w:val="single" w:sz="4" w:space="0" w:color="auto"/>
              <w:right w:val="single" w:sz="4" w:space="0" w:color="auto"/>
            </w:tcBorders>
            <w:vAlign w:val="center"/>
            <w:hideMark/>
          </w:tcPr>
          <w:p w14:paraId="628B5220" w14:textId="77777777" w:rsidR="00A6537F" w:rsidRPr="003F6F2A" w:rsidRDefault="00A6537F" w:rsidP="004D6B23">
            <w:pPr>
              <w:jc w:val="center"/>
              <w:rPr>
                <w:rFonts w:ascii="Tahoma" w:hAnsi="Tahoma" w:cs="Tahoma"/>
                <w:color w:val="000000"/>
                <w:highlight w:val="yellow"/>
              </w:rPr>
            </w:pPr>
            <w:r w:rsidRPr="003F6F2A">
              <w:rPr>
                <w:rFonts w:ascii="Tahoma" w:hAnsi="Tahoma" w:cs="Tahoma"/>
                <w:color w:val="000000"/>
              </w:rPr>
              <w:t>Permitido</w:t>
            </w:r>
          </w:p>
        </w:tc>
        <w:tc>
          <w:tcPr>
            <w:tcW w:w="2100" w:type="dxa"/>
            <w:tcBorders>
              <w:top w:val="nil"/>
              <w:left w:val="nil"/>
              <w:bottom w:val="single" w:sz="4" w:space="0" w:color="auto"/>
              <w:right w:val="single" w:sz="4" w:space="0" w:color="auto"/>
            </w:tcBorders>
            <w:noWrap/>
            <w:vAlign w:val="center"/>
            <w:hideMark/>
          </w:tcPr>
          <w:p w14:paraId="15DA88DE" w14:textId="77777777" w:rsidR="00A6537F" w:rsidRPr="003F6F2A" w:rsidRDefault="00A6537F" w:rsidP="004D6B23">
            <w:pPr>
              <w:jc w:val="center"/>
              <w:rPr>
                <w:rFonts w:ascii="Tahoma" w:hAnsi="Tahoma" w:cs="Tahoma"/>
                <w:b/>
                <w:color w:val="000000"/>
                <w:highlight w:val="yellow"/>
              </w:rPr>
            </w:pPr>
            <w:r w:rsidRPr="003F6F2A">
              <w:rPr>
                <w:rFonts w:ascii="Tahoma" w:hAnsi="Tahoma" w:cs="Tahoma"/>
                <w:b/>
                <w:color w:val="000000"/>
              </w:rPr>
              <w:t>Até 100%</w:t>
            </w:r>
          </w:p>
        </w:tc>
      </w:tr>
    </w:tbl>
    <w:p w14:paraId="46A8253E" w14:textId="77777777" w:rsidR="00A6537F" w:rsidRPr="00BA75B3" w:rsidRDefault="00A6537F" w:rsidP="00A6537F">
      <w:pPr>
        <w:jc w:val="both"/>
        <w:rPr>
          <w:rFonts w:ascii="Tahoma" w:hAnsi="Tahoma" w:cs="Tahoma"/>
        </w:rPr>
      </w:pPr>
    </w:p>
    <w:p w14:paraId="3BA995AA" w14:textId="77777777" w:rsidR="00A6537F" w:rsidRPr="00BA75B3" w:rsidRDefault="00A6537F" w:rsidP="00A6537F">
      <w:pPr>
        <w:jc w:val="both"/>
        <w:rPr>
          <w:rFonts w:ascii="Tahoma" w:hAnsi="Tahoma" w:cs="Tahoma"/>
        </w:rPr>
      </w:pPr>
      <w:r w:rsidRPr="00BA75B3">
        <w:rPr>
          <w:rFonts w:ascii="Tahoma" w:hAnsi="Tahoma" w:cs="Tahoma"/>
        </w:rPr>
        <w:t>3.3. Os limites indicados nos quadros acima serão considerados em conjunto e cumulativamente.</w:t>
      </w:r>
    </w:p>
    <w:p w14:paraId="73DF61F0" w14:textId="77777777" w:rsidR="00A6537F" w:rsidRPr="00BA75B3" w:rsidRDefault="00A6537F" w:rsidP="00A6537F">
      <w:pPr>
        <w:jc w:val="both"/>
        <w:rPr>
          <w:rFonts w:ascii="Tahoma" w:hAnsi="Tahoma" w:cs="Tahoma"/>
        </w:rPr>
      </w:pPr>
    </w:p>
    <w:p w14:paraId="5BBD2374" w14:textId="77777777" w:rsidR="00A6537F" w:rsidRPr="00BA75B3" w:rsidRDefault="00A6537F" w:rsidP="00A6537F">
      <w:pPr>
        <w:jc w:val="both"/>
        <w:rPr>
          <w:rFonts w:ascii="Tahoma" w:hAnsi="Tahoma" w:cs="Tahoma"/>
        </w:rPr>
      </w:pPr>
      <w:r w:rsidRPr="00BA75B3">
        <w:rPr>
          <w:rFonts w:ascii="Tahoma" w:hAnsi="Tahoma" w:cs="Tahoma"/>
        </w:rPr>
        <w:t>3.4.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02060F4F" w14:textId="77777777" w:rsidR="00A6537F" w:rsidRPr="00BA75B3" w:rsidRDefault="00A6537F" w:rsidP="00A6537F">
      <w:pPr>
        <w:jc w:val="both"/>
        <w:rPr>
          <w:rFonts w:ascii="Tahoma" w:hAnsi="Tahoma" w:cs="Tahoma"/>
        </w:rPr>
      </w:pPr>
    </w:p>
    <w:p w14:paraId="3D85E7F9" w14:textId="77777777" w:rsidR="00A6537F" w:rsidRPr="00BA75B3" w:rsidRDefault="00A6537F" w:rsidP="00A6537F">
      <w:pPr>
        <w:jc w:val="both"/>
        <w:rPr>
          <w:rFonts w:ascii="Tahoma" w:hAnsi="Tahoma" w:cs="Tahoma"/>
        </w:rPr>
      </w:pPr>
      <w:r w:rsidRPr="00BA75B3">
        <w:rPr>
          <w:rFonts w:ascii="Tahoma" w:hAnsi="Tahoma" w:cs="Tahoma"/>
        </w:rPr>
        <w:t>3.5. Observado o disposto nos quadros acima, cada Fundo Investido observará os limites por emissor e por modalidade de ativo previstos na regulamentação aplicável.</w:t>
      </w:r>
    </w:p>
    <w:p w14:paraId="5520FD9F" w14:textId="77777777" w:rsidR="00A6537F" w:rsidRPr="00BA75B3" w:rsidRDefault="00A6537F" w:rsidP="00A6537F">
      <w:pPr>
        <w:jc w:val="both"/>
        <w:rPr>
          <w:rFonts w:ascii="Tahoma" w:hAnsi="Tahoma" w:cs="Tahoma"/>
        </w:rPr>
      </w:pPr>
      <w:r w:rsidRPr="00BA75B3">
        <w:rPr>
          <w:rFonts w:ascii="Tahoma" w:hAnsi="Tahoma" w:cs="Tahoma"/>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6DAE9626" w14:textId="77777777" w:rsidR="00A6537F" w:rsidRPr="00BA75B3" w:rsidRDefault="00A6537F" w:rsidP="00A6537F">
      <w:pPr>
        <w:jc w:val="both"/>
        <w:rPr>
          <w:rFonts w:ascii="Tahoma" w:hAnsi="Tahoma" w:cs="Tahoma"/>
        </w:rPr>
      </w:pPr>
    </w:p>
    <w:p w14:paraId="5DC32464" w14:textId="77777777" w:rsidR="00A6537F" w:rsidRPr="00BA75B3" w:rsidRDefault="00A6537F" w:rsidP="00A6537F">
      <w:pPr>
        <w:jc w:val="both"/>
        <w:rPr>
          <w:rFonts w:ascii="Tahoma" w:hAnsi="Tahoma" w:cs="Tahoma"/>
        </w:rPr>
      </w:pPr>
      <w:r w:rsidRPr="00BA75B3">
        <w:rPr>
          <w:rFonts w:ascii="Tahoma" w:hAnsi="Tahoma" w:cs="Tahoma"/>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22580272" w14:textId="77777777" w:rsidR="00A6537F" w:rsidRPr="00BA75B3" w:rsidRDefault="00A6537F" w:rsidP="00A6537F">
      <w:pPr>
        <w:jc w:val="both"/>
        <w:rPr>
          <w:rFonts w:ascii="Tahoma" w:hAnsi="Tahoma" w:cs="Tahoma"/>
        </w:rPr>
      </w:pPr>
    </w:p>
    <w:p w14:paraId="25629B65" w14:textId="77777777" w:rsidR="00A6537F" w:rsidRPr="00BA75B3" w:rsidRDefault="00A6537F" w:rsidP="00A6537F">
      <w:pPr>
        <w:jc w:val="both"/>
        <w:rPr>
          <w:rFonts w:ascii="Tahoma" w:hAnsi="Tahoma" w:cs="Tahoma"/>
        </w:rPr>
      </w:pPr>
      <w:r w:rsidRPr="00BA75B3">
        <w:rPr>
          <w:rFonts w:ascii="Tahoma" w:hAnsi="Tahoma" w:cs="Tahoma"/>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52F02C36" w14:textId="77777777" w:rsidR="00A6537F" w:rsidRPr="00BA75B3" w:rsidRDefault="00A6537F" w:rsidP="00A6537F">
      <w:pPr>
        <w:jc w:val="both"/>
        <w:rPr>
          <w:rFonts w:ascii="Tahoma" w:hAnsi="Tahoma" w:cs="Tahoma"/>
        </w:rPr>
      </w:pPr>
    </w:p>
    <w:p w14:paraId="62DCE822" w14:textId="77777777" w:rsidR="00A6537F" w:rsidRPr="00BA75B3" w:rsidRDefault="00A6537F" w:rsidP="00A6537F">
      <w:pPr>
        <w:jc w:val="both"/>
        <w:rPr>
          <w:rFonts w:ascii="Tahoma" w:hAnsi="Tahoma" w:cs="Tahoma"/>
        </w:rPr>
      </w:pPr>
      <w:r w:rsidRPr="00BA75B3">
        <w:rPr>
          <w:rFonts w:ascii="Tahoma" w:hAnsi="Tahoma" w:cs="Tahoma"/>
        </w:rPr>
        <w:t>3.9. Ficam vedadas as aplicações pelo FUNDO em cotas de fundos de investimento que invistam diretamente no FUNDO.</w:t>
      </w:r>
    </w:p>
    <w:p w14:paraId="4FC25C5B" w14:textId="77777777" w:rsidR="00A6537F" w:rsidRPr="00BA75B3" w:rsidRDefault="00A6537F" w:rsidP="00A6537F">
      <w:pPr>
        <w:jc w:val="both"/>
        <w:rPr>
          <w:rFonts w:ascii="Tahoma" w:hAnsi="Tahoma" w:cs="Tahoma"/>
        </w:rPr>
      </w:pPr>
    </w:p>
    <w:p w14:paraId="6E5E007F" w14:textId="77777777" w:rsidR="00A6537F" w:rsidRPr="00BA75B3" w:rsidRDefault="00A6537F" w:rsidP="00A6537F">
      <w:pPr>
        <w:jc w:val="both"/>
        <w:rPr>
          <w:rFonts w:ascii="Tahoma" w:hAnsi="Tahoma" w:cs="Tahoma"/>
        </w:rPr>
      </w:pPr>
      <w:r w:rsidRPr="00BA75B3">
        <w:rPr>
          <w:rFonts w:ascii="Tahoma" w:hAnsi="Tahoma" w:cs="Tahoma"/>
        </w:rPr>
        <w:lastRenderedPageBreak/>
        <w:t xml:space="preserve">3.10. O ADMINISTRADOR, o GESTOR e qualquer empresa pertencente ao mesmo conglomerado financeiro, bem como diretores, gerentes e funcionários dessas empresas poderão ter posições </w:t>
      </w:r>
      <w:proofErr w:type="gramStart"/>
      <w:r w:rsidRPr="00BA75B3">
        <w:rPr>
          <w:rFonts w:ascii="Tahoma" w:hAnsi="Tahoma" w:cs="Tahoma"/>
        </w:rPr>
        <w:t>em, subscrever ou operar</w:t>
      </w:r>
      <w:proofErr w:type="gramEnd"/>
      <w:r w:rsidRPr="00BA75B3">
        <w:rPr>
          <w:rFonts w:ascii="Tahoma" w:hAnsi="Tahoma" w:cs="Tahoma"/>
        </w:rPr>
        <w:t xml:space="preserve"> com ativos financeiros que integrem ou venham a integrar a CARTEIRA do FUNDO e/ou a carteira dos Fundos Investidos.</w:t>
      </w:r>
    </w:p>
    <w:p w14:paraId="2746087E" w14:textId="77777777" w:rsidR="00A6537F" w:rsidRPr="00BA75B3" w:rsidRDefault="00A6537F" w:rsidP="00A6537F">
      <w:pPr>
        <w:jc w:val="both"/>
        <w:rPr>
          <w:rFonts w:ascii="Tahoma" w:hAnsi="Tahoma" w:cs="Tahoma"/>
        </w:rPr>
      </w:pPr>
    </w:p>
    <w:p w14:paraId="44C08318" w14:textId="77777777" w:rsidR="00A6537F" w:rsidRPr="00BA75B3" w:rsidRDefault="00A6537F" w:rsidP="00A6537F">
      <w:pPr>
        <w:tabs>
          <w:tab w:val="left" w:pos="426"/>
          <w:tab w:val="left" w:pos="1843"/>
        </w:tabs>
        <w:jc w:val="both"/>
        <w:rPr>
          <w:rFonts w:ascii="Tahoma" w:hAnsi="Tahoma" w:cs="Tahoma"/>
        </w:rPr>
      </w:pPr>
      <w:r w:rsidRPr="00BA75B3">
        <w:rPr>
          <w:rFonts w:ascii="Tahoma" w:hAnsi="Tahoma" w:cs="Tahoma"/>
        </w:rPr>
        <w:t xml:space="preserve">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 </w:t>
      </w:r>
    </w:p>
    <w:p w14:paraId="287207D6" w14:textId="77777777" w:rsidR="00A6537F" w:rsidRPr="00BA75B3" w:rsidRDefault="00A6537F" w:rsidP="00A6537F">
      <w:pPr>
        <w:tabs>
          <w:tab w:val="left" w:pos="426"/>
          <w:tab w:val="left" w:pos="1843"/>
        </w:tabs>
        <w:jc w:val="both"/>
        <w:rPr>
          <w:rFonts w:ascii="Tahoma" w:hAnsi="Tahoma" w:cs="Tahoma"/>
        </w:rPr>
      </w:pPr>
    </w:p>
    <w:p w14:paraId="39A36799" w14:textId="77777777" w:rsidR="00A6537F" w:rsidRPr="00BA75B3" w:rsidRDefault="00A6537F" w:rsidP="00A6537F">
      <w:pPr>
        <w:pBdr>
          <w:bottom w:val="single" w:sz="6" w:space="1" w:color="auto"/>
        </w:pBdr>
        <w:spacing w:line="280" w:lineRule="atLeast"/>
        <w:jc w:val="center"/>
        <w:rPr>
          <w:rFonts w:ascii="Tahoma" w:hAnsi="Tahoma" w:cs="Tahoma"/>
          <w:b/>
        </w:rPr>
      </w:pPr>
      <w:r w:rsidRPr="00BA75B3">
        <w:rPr>
          <w:rFonts w:ascii="Tahoma" w:hAnsi="Tahoma" w:cs="Tahoma"/>
          <w:b/>
        </w:rPr>
        <w:t xml:space="preserve">CLÁUSULA QUARTA –DOS RISCOS </w:t>
      </w:r>
    </w:p>
    <w:p w14:paraId="4CCA1DAA" w14:textId="77777777" w:rsidR="00A6537F" w:rsidRPr="00BA75B3" w:rsidRDefault="00A6537F" w:rsidP="00A6537F">
      <w:pPr>
        <w:spacing w:line="280" w:lineRule="atLeast"/>
        <w:jc w:val="both"/>
        <w:rPr>
          <w:rFonts w:ascii="Tahoma" w:hAnsi="Tahoma" w:cs="Tahoma"/>
        </w:rPr>
      </w:pPr>
    </w:p>
    <w:p w14:paraId="00E0EEBC" w14:textId="77777777" w:rsidR="00A6537F" w:rsidRPr="00BA75B3" w:rsidRDefault="00A6537F" w:rsidP="00A6537F">
      <w:pPr>
        <w:jc w:val="both"/>
        <w:rPr>
          <w:rFonts w:ascii="Tahoma" w:hAnsi="Tahoma" w:cs="Tahoma"/>
          <w:color w:val="000000"/>
        </w:rPr>
      </w:pPr>
      <w:r w:rsidRPr="00BA75B3">
        <w:rPr>
          <w:rFonts w:ascii="Tahoma" w:hAnsi="Tahoma" w:cs="Tahoma"/>
        </w:rPr>
        <w:t>4.1.</w:t>
      </w:r>
      <w:r w:rsidRPr="00BA75B3">
        <w:rPr>
          <w:rFonts w:ascii="Tahoma" w:hAnsi="Tahoma" w:cs="Tahoma"/>
        </w:rPr>
        <w:tab/>
      </w:r>
      <w:r w:rsidRPr="00BA75B3">
        <w:rPr>
          <w:rFonts w:ascii="Tahoma" w:hAnsi="Tahoma" w:cs="Tahoma"/>
          <w:color w:val="000000"/>
        </w:rPr>
        <w:t>O FUNDO e seus Cotistas estão sujeitos, principalmente, aos seguintes fatores risco:</w:t>
      </w:r>
    </w:p>
    <w:p w14:paraId="50334BF5" w14:textId="77777777" w:rsidR="00A6537F" w:rsidRPr="00BA75B3" w:rsidRDefault="00A6537F" w:rsidP="00A6537F">
      <w:pPr>
        <w:jc w:val="both"/>
        <w:rPr>
          <w:rFonts w:ascii="Tahoma" w:hAnsi="Tahoma" w:cs="Tahoma"/>
          <w:color w:val="000000"/>
        </w:rPr>
      </w:pPr>
    </w:p>
    <w:p w14:paraId="5AF5CF8B" w14:textId="77777777" w:rsidR="00A6537F" w:rsidRPr="00BA75B3" w:rsidRDefault="00A6537F" w:rsidP="00A6537F">
      <w:pPr>
        <w:jc w:val="both"/>
        <w:rPr>
          <w:rFonts w:ascii="Tahoma" w:hAnsi="Tahoma" w:cs="Tahoma"/>
          <w:b/>
        </w:rPr>
      </w:pPr>
      <w:r w:rsidRPr="00BA75B3">
        <w:rPr>
          <w:rFonts w:ascii="Tahoma" w:hAnsi="Tahoma" w:cs="Tahoma"/>
          <w:b/>
        </w:rPr>
        <w:t>Risco de Mercado:</w:t>
      </w:r>
      <w:r w:rsidRPr="00BA75B3">
        <w:rPr>
          <w:rFonts w:ascii="Tahoma" w:hAnsi="Tahoma" w:cs="Tahoma"/>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2327EF20" w14:textId="77777777" w:rsidR="00A6537F" w:rsidRPr="00BA75B3" w:rsidRDefault="00A6537F" w:rsidP="00A6537F">
      <w:pPr>
        <w:jc w:val="both"/>
        <w:rPr>
          <w:rFonts w:ascii="Tahoma" w:hAnsi="Tahoma" w:cs="Tahoma"/>
          <w:b/>
        </w:rPr>
      </w:pPr>
    </w:p>
    <w:p w14:paraId="4E0D5A1E" w14:textId="77777777" w:rsidR="00A6537F" w:rsidRPr="00BA75B3" w:rsidRDefault="00A6537F" w:rsidP="00A6537F">
      <w:pPr>
        <w:jc w:val="both"/>
        <w:rPr>
          <w:rFonts w:ascii="Tahoma" w:hAnsi="Tahoma" w:cs="Tahoma"/>
          <w:b/>
        </w:rPr>
      </w:pPr>
      <w:r w:rsidRPr="00BA75B3">
        <w:rPr>
          <w:rFonts w:ascii="Tahoma" w:hAnsi="Tahoma" w:cs="Tahoma"/>
          <w:b/>
        </w:rPr>
        <w:t>Risco de Crédito:</w:t>
      </w:r>
      <w:r w:rsidRPr="00BA75B3">
        <w:rPr>
          <w:rFonts w:ascii="Tahoma" w:hAnsi="Tahoma" w:cs="Tahoma"/>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71471347" w14:textId="77777777" w:rsidR="00A6537F" w:rsidRPr="00BA75B3" w:rsidRDefault="00A6537F" w:rsidP="00A6537F">
      <w:pPr>
        <w:jc w:val="both"/>
        <w:rPr>
          <w:rFonts w:ascii="Tahoma" w:hAnsi="Tahoma" w:cs="Tahoma"/>
          <w:b/>
        </w:rPr>
      </w:pPr>
    </w:p>
    <w:p w14:paraId="4EBB7797" w14:textId="77777777" w:rsidR="00A6537F" w:rsidRPr="00BA75B3" w:rsidRDefault="00A6537F" w:rsidP="00A6537F">
      <w:pPr>
        <w:jc w:val="both"/>
        <w:rPr>
          <w:rFonts w:ascii="Tahoma" w:hAnsi="Tahoma" w:cs="Tahoma"/>
          <w:b/>
        </w:rPr>
      </w:pPr>
      <w:r w:rsidRPr="00BA75B3">
        <w:rPr>
          <w:rFonts w:ascii="Tahoma" w:hAnsi="Tahoma" w:cs="Tahoma"/>
          <w:b/>
        </w:rPr>
        <w:t>Risco de Liquidez:</w:t>
      </w:r>
      <w:r w:rsidRPr="00BA75B3">
        <w:rPr>
          <w:rFonts w:ascii="Tahoma" w:hAnsi="Tahoma" w:cs="Tahoma"/>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08E7ABCF" w14:textId="77777777" w:rsidR="00A6537F" w:rsidRPr="00BA75B3" w:rsidRDefault="00A6537F" w:rsidP="00A6537F">
      <w:pPr>
        <w:jc w:val="both"/>
        <w:rPr>
          <w:rFonts w:ascii="Tahoma" w:hAnsi="Tahoma" w:cs="Tahoma"/>
          <w:b/>
        </w:rPr>
      </w:pPr>
    </w:p>
    <w:p w14:paraId="3AB6D068" w14:textId="77777777" w:rsidR="00A6537F" w:rsidRPr="00BA75B3" w:rsidRDefault="00A6537F" w:rsidP="00A6537F">
      <w:pPr>
        <w:jc w:val="both"/>
        <w:rPr>
          <w:rFonts w:ascii="Tahoma" w:hAnsi="Tahoma" w:cs="Tahoma"/>
          <w:b/>
        </w:rPr>
      </w:pPr>
      <w:r w:rsidRPr="00BA75B3">
        <w:rPr>
          <w:rFonts w:ascii="Tahoma" w:hAnsi="Tahoma" w:cs="Tahoma"/>
          <w:b/>
        </w:rPr>
        <w:t>Risco Decorrente da Precificação dos Ativos Financeiros:</w:t>
      </w:r>
      <w:r w:rsidRPr="00BA75B3">
        <w:rPr>
          <w:rFonts w:ascii="Tahoma" w:hAnsi="Tahoma" w:cs="Tahoma"/>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12660611" w14:textId="77777777" w:rsidR="00A6537F" w:rsidRPr="00BA75B3" w:rsidRDefault="00A6537F" w:rsidP="00A6537F">
      <w:pPr>
        <w:jc w:val="both"/>
        <w:rPr>
          <w:rFonts w:ascii="Tahoma" w:hAnsi="Tahoma" w:cs="Tahoma"/>
          <w:b/>
        </w:rPr>
      </w:pPr>
    </w:p>
    <w:p w14:paraId="6F037D4F" w14:textId="77777777" w:rsidR="00A6537F" w:rsidRPr="00BA75B3" w:rsidRDefault="00A6537F" w:rsidP="00A6537F">
      <w:pPr>
        <w:jc w:val="both"/>
        <w:rPr>
          <w:rFonts w:ascii="Tahoma" w:hAnsi="Tahoma" w:cs="Tahoma"/>
          <w:color w:val="000000"/>
        </w:rPr>
      </w:pPr>
      <w:r w:rsidRPr="00BA75B3">
        <w:rPr>
          <w:rFonts w:ascii="Tahoma" w:hAnsi="Tahoma" w:cs="Tahoma"/>
          <w:b/>
        </w:rPr>
        <w:t xml:space="preserve">Risco Relacionado aos Fundos Investidos: </w:t>
      </w:r>
      <w:r w:rsidRPr="00BA75B3">
        <w:rPr>
          <w:rFonts w:ascii="Tahoma" w:hAnsi="Tahoma" w:cs="Tahoma"/>
        </w:rPr>
        <w:t xml:space="preserve">o FUNDO, na qualidade de cotista dos Fundos Investidos, está sujeito a todos os riscos envolvidos nas aplicações realizadas por tais Fundos Investidos. O ADMINISTRADOR e o GESTOR </w:t>
      </w:r>
      <w:r w:rsidRPr="00BA75B3">
        <w:rPr>
          <w:rFonts w:ascii="Tahoma" w:hAnsi="Tahoma" w:cs="Tahoma"/>
          <w:color w:val="000000"/>
        </w:rPr>
        <w:t>não têm qualquer poder de decisão ou interferência na composição da carteira de investimento ou na definição de estratégias de gestão dos Fundos Investidos geridos por terceiros.</w:t>
      </w:r>
    </w:p>
    <w:p w14:paraId="73EB364F" w14:textId="77777777" w:rsidR="00A6537F" w:rsidRPr="00BA75B3" w:rsidRDefault="00A6537F" w:rsidP="00A6537F">
      <w:pPr>
        <w:jc w:val="both"/>
        <w:rPr>
          <w:rFonts w:ascii="Tahoma" w:hAnsi="Tahoma" w:cs="Tahoma"/>
          <w:color w:val="000000"/>
        </w:rPr>
      </w:pPr>
    </w:p>
    <w:p w14:paraId="218F6338" w14:textId="77777777" w:rsidR="00A6537F" w:rsidRPr="00BA75B3" w:rsidRDefault="00A6537F" w:rsidP="00A6537F">
      <w:pPr>
        <w:jc w:val="both"/>
        <w:rPr>
          <w:rFonts w:ascii="Tahoma" w:hAnsi="Tahoma" w:cs="Tahoma"/>
          <w:b/>
        </w:rPr>
      </w:pPr>
      <w:r w:rsidRPr="00BA75B3">
        <w:rPr>
          <w:rFonts w:ascii="Tahoma" w:hAnsi="Tahoma" w:cs="Tahoma"/>
          <w:b/>
          <w:color w:val="000000"/>
        </w:rPr>
        <w:t>Risco de Perdas Patrimoniais</w:t>
      </w:r>
      <w:r w:rsidRPr="00BA75B3">
        <w:rPr>
          <w:rFonts w:ascii="Tahoma" w:hAnsi="Tahoma" w:cs="Tahoma"/>
          <w:b/>
        </w:rPr>
        <w:t>:</w:t>
      </w:r>
      <w:r w:rsidRPr="00BA75B3">
        <w:rPr>
          <w:rFonts w:ascii="Tahoma" w:hAnsi="Tahoma" w:cs="Tahoma"/>
        </w:rPr>
        <w:t xml:space="preserve">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 </w:t>
      </w:r>
    </w:p>
    <w:p w14:paraId="14DE3230" w14:textId="77777777" w:rsidR="00A6537F" w:rsidRPr="00BA75B3" w:rsidRDefault="00A6537F" w:rsidP="00A6537F">
      <w:pPr>
        <w:jc w:val="both"/>
        <w:rPr>
          <w:rFonts w:ascii="Tahoma" w:hAnsi="Tahoma" w:cs="Tahoma"/>
          <w:b/>
        </w:rPr>
      </w:pPr>
    </w:p>
    <w:p w14:paraId="2B3822EC" w14:textId="77777777" w:rsidR="00A6537F" w:rsidRPr="00BA75B3" w:rsidRDefault="00A6537F" w:rsidP="00A6537F">
      <w:pPr>
        <w:jc w:val="both"/>
        <w:rPr>
          <w:rFonts w:ascii="Tahoma" w:hAnsi="Tahoma" w:cs="Tahoma"/>
          <w:b/>
        </w:rPr>
      </w:pPr>
      <w:r w:rsidRPr="00BA75B3">
        <w:rPr>
          <w:rFonts w:ascii="Tahoma" w:hAnsi="Tahoma" w:cs="Tahoma"/>
          <w:b/>
        </w:rPr>
        <w:t>Risco de Concentração:</w:t>
      </w:r>
      <w:r w:rsidRPr="00BA75B3">
        <w:rPr>
          <w:rFonts w:ascii="Tahoma" w:hAnsi="Tahoma" w:cs="Tahoma"/>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23A07627" w14:textId="77777777" w:rsidR="00A6537F" w:rsidRPr="00BA75B3" w:rsidRDefault="00A6537F" w:rsidP="00A6537F">
      <w:pPr>
        <w:jc w:val="both"/>
        <w:rPr>
          <w:rFonts w:ascii="Tahoma" w:hAnsi="Tahoma" w:cs="Tahoma"/>
          <w:b/>
        </w:rPr>
      </w:pPr>
    </w:p>
    <w:p w14:paraId="5DE17568" w14:textId="77777777" w:rsidR="00A6537F" w:rsidRPr="00BA75B3" w:rsidRDefault="00A6537F" w:rsidP="00A6537F">
      <w:pPr>
        <w:jc w:val="both"/>
        <w:rPr>
          <w:rFonts w:ascii="Tahoma" w:hAnsi="Tahoma" w:cs="Tahoma"/>
          <w:b/>
        </w:rPr>
      </w:pPr>
      <w:r w:rsidRPr="00BA75B3">
        <w:rPr>
          <w:rFonts w:ascii="Tahoma" w:hAnsi="Tahoma" w:cs="Tahoma"/>
          <w:b/>
        </w:rPr>
        <w:t>Risco Cambial:</w:t>
      </w:r>
      <w:r w:rsidRPr="00BA75B3">
        <w:rPr>
          <w:rFonts w:ascii="Tahoma" w:hAnsi="Tahoma" w:cs="Tahoma"/>
        </w:rPr>
        <w:t xml:space="preserve">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2D61FC4F" w14:textId="77777777" w:rsidR="00A6537F" w:rsidRPr="00BA75B3" w:rsidRDefault="00A6537F" w:rsidP="00A6537F">
      <w:pPr>
        <w:jc w:val="both"/>
        <w:rPr>
          <w:rFonts w:ascii="Tahoma" w:hAnsi="Tahoma" w:cs="Tahoma"/>
          <w:b/>
        </w:rPr>
      </w:pPr>
    </w:p>
    <w:p w14:paraId="23194143" w14:textId="77777777" w:rsidR="00A6537F" w:rsidRPr="00BA75B3" w:rsidRDefault="00A6537F" w:rsidP="00A6537F">
      <w:pPr>
        <w:jc w:val="both"/>
        <w:rPr>
          <w:rFonts w:ascii="Tahoma" w:hAnsi="Tahoma" w:cs="Tahoma"/>
          <w:b/>
        </w:rPr>
      </w:pPr>
      <w:r w:rsidRPr="00BA75B3">
        <w:rPr>
          <w:rFonts w:ascii="Tahoma" w:hAnsi="Tahoma" w:cs="Tahoma"/>
          <w:b/>
        </w:rPr>
        <w:t>Risco de Concentração em Créditos Privados:</w:t>
      </w:r>
      <w:r w:rsidRPr="00BA75B3">
        <w:rPr>
          <w:rFonts w:ascii="Tahoma" w:hAnsi="Tahoma" w:cs="Tahoma"/>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1AE963A9" w14:textId="77777777" w:rsidR="00A6537F" w:rsidRPr="00BA75B3" w:rsidRDefault="00A6537F" w:rsidP="00A6537F">
      <w:pPr>
        <w:jc w:val="both"/>
        <w:rPr>
          <w:rFonts w:ascii="Tahoma" w:hAnsi="Tahoma" w:cs="Tahoma"/>
          <w:b/>
        </w:rPr>
      </w:pPr>
    </w:p>
    <w:p w14:paraId="06A10657" w14:textId="77777777" w:rsidR="00A6537F" w:rsidRPr="00BA75B3" w:rsidRDefault="00A6537F" w:rsidP="00A6537F">
      <w:pPr>
        <w:jc w:val="both"/>
        <w:rPr>
          <w:rFonts w:ascii="Tahoma" w:hAnsi="Tahoma" w:cs="Tahoma"/>
          <w:b/>
        </w:rPr>
      </w:pPr>
      <w:r w:rsidRPr="00BA75B3">
        <w:rPr>
          <w:rFonts w:ascii="Tahoma" w:hAnsi="Tahoma" w:cs="Tahoma"/>
          <w:b/>
        </w:rPr>
        <w:lastRenderedPageBreak/>
        <w:t xml:space="preserve">Risco de Mercado Externo: </w:t>
      </w:r>
      <w:r w:rsidRPr="00BA75B3">
        <w:rPr>
          <w:rFonts w:ascii="Tahoma" w:hAnsi="Tahoma" w:cs="Tahoma"/>
        </w:rPr>
        <w:t>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6A7CF711" w14:textId="77777777" w:rsidR="00A6537F" w:rsidRPr="00BA75B3" w:rsidRDefault="00A6537F" w:rsidP="00A6537F">
      <w:pPr>
        <w:jc w:val="both"/>
        <w:rPr>
          <w:rFonts w:ascii="Tahoma" w:hAnsi="Tahoma" w:cs="Tahoma"/>
          <w:b/>
          <w:color w:val="000000"/>
        </w:rPr>
      </w:pPr>
    </w:p>
    <w:p w14:paraId="571F419C" w14:textId="77777777" w:rsidR="00A6537F" w:rsidRPr="00BA75B3" w:rsidRDefault="00A6537F" w:rsidP="00A6537F">
      <w:pPr>
        <w:jc w:val="both"/>
        <w:rPr>
          <w:rFonts w:ascii="Tahoma" w:hAnsi="Tahoma" w:cs="Tahoma"/>
          <w:b/>
        </w:rPr>
      </w:pPr>
      <w:r w:rsidRPr="00BA75B3">
        <w:rPr>
          <w:rFonts w:ascii="Tahoma" w:hAnsi="Tahoma" w:cs="Tahoma"/>
          <w:b/>
          <w:bCs/>
          <w:color w:val="000000"/>
        </w:rPr>
        <w:t xml:space="preserve">Risco do Tratamento Fiscal: </w:t>
      </w:r>
      <w:r w:rsidRPr="00BA75B3">
        <w:rPr>
          <w:rFonts w:ascii="Tahoma" w:hAnsi="Tahoma" w:cs="Tahoma"/>
          <w:bCs/>
          <w:iCs/>
          <w:color w:val="000000"/>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p>
    <w:p w14:paraId="6524CFDE" w14:textId="77777777" w:rsidR="00A6537F" w:rsidRPr="00BA75B3" w:rsidRDefault="00A6537F" w:rsidP="00A6537F">
      <w:pPr>
        <w:jc w:val="both"/>
        <w:rPr>
          <w:rFonts w:ascii="Tahoma" w:hAnsi="Tahoma" w:cs="Tahoma"/>
          <w:b/>
        </w:rPr>
      </w:pPr>
    </w:p>
    <w:p w14:paraId="50475B74" w14:textId="77777777" w:rsidR="00A6537F" w:rsidRPr="00BA75B3" w:rsidRDefault="00A6537F" w:rsidP="00A6537F">
      <w:pPr>
        <w:jc w:val="both"/>
        <w:rPr>
          <w:rFonts w:ascii="Tahoma" w:hAnsi="Tahoma" w:cs="Tahoma"/>
          <w:b/>
        </w:rPr>
      </w:pPr>
      <w:r w:rsidRPr="00BA75B3">
        <w:rPr>
          <w:rFonts w:ascii="Tahoma" w:hAnsi="Tahoma" w:cs="Tahoma"/>
          <w:b/>
        </w:rPr>
        <w:t xml:space="preserve">Risco Regulatório: </w:t>
      </w:r>
      <w:r w:rsidRPr="00BA75B3">
        <w:rPr>
          <w:rFonts w:ascii="Tahoma" w:hAnsi="Tahoma" w:cs="Tahoma"/>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5C8C48E1" w14:textId="77777777" w:rsidR="00A6537F" w:rsidRPr="00BA75B3" w:rsidRDefault="00A6537F" w:rsidP="00A6537F">
      <w:pPr>
        <w:jc w:val="both"/>
        <w:rPr>
          <w:rFonts w:ascii="Tahoma" w:hAnsi="Tahoma" w:cs="Tahoma"/>
          <w:b/>
        </w:rPr>
      </w:pPr>
    </w:p>
    <w:p w14:paraId="0CD4D47B" w14:textId="77777777" w:rsidR="00A6537F" w:rsidRPr="00BA75B3" w:rsidRDefault="00A6537F" w:rsidP="00A6537F">
      <w:pPr>
        <w:jc w:val="both"/>
        <w:rPr>
          <w:rFonts w:ascii="Tahoma" w:hAnsi="Tahoma" w:cs="Tahoma"/>
        </w:rPr>
      </w:pPr>
      <w:r w:rsidRPr="00BA75B3">
        <w:rPr>
          <w:rFonts w:ascii="Tahoma" w:hAnsi="Tahoma" w:cs="Tahoma"/>
        </w:rPr>
        <w:t xml:space="preserve">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w:t>
      </w:r>
      <w:r>
        <w:rPr>
          <w:rFonts w:ascii="Tahoma" w:hAnsi="Tahoma" w:cs="Tahoma"/>
        </w:rPr>
        <w:t>resgates</w:t>
      </w:r>
      <w:r w:rsidRPr="00BA75B3">
        <w:rPr>
          <w:rFonts w:ascii="Tahoma" w:hAnsi="Tahoma" w:cs="Tahoma"/>
        </w:rPr>
        <w:t xml:space="preserve"> excessiv</w:t>
      </w:r>
      <w:r>
        <w:rPr>
          <w:rFonts w:ascii="Tahoma" w:hAnsi="Tahoma" w:cs="Tahoma"/>
        </w:rPr>
        <w:t>o</w:t>
      </w:r>
      <w:r w:rsidRPr="00BA75B3">
        <w:rPr>
          <w:rFonts w:ascii="Tahoma" w:hAnsi="Tahoma" w:cs="Tahoma"/>
        </w:rPr>
        <w:t>s no FUNDO, poderá ocorrer redução no valor das cotas ou mesmo perda do capital investido pelos Cotistas.</w:t>
      </w:r>
    </w:p>
    <w:p w14:paraId="5BE82602" w14:textId="77777777" w:rsidR="00A6537F" w:rsidRPr="00BA75B3" w:rsidRDefault="00A6537F" w:rsidP="00A6537F">
      <w:pPr>
        <w:jc w:val="both"/>
        <w:rPr>
          <w:rFonts w:ascii="Tahoma" w:hAnsi="Tahoma" w:cs="Tahoma"/>
        </w:rPr>
      </w:pPr>
    </w:p>
    <w:p w14:paraId="740704D2" w14:textId="77777777" w:rsidR="00A6537F" w:rsidRPr="00BA75B3" w:rsidRDefault="00A6537F" w:rsidP="00A6537F">
      <w:pPr>
        <w:jc w:val="both"/>
        <w:rPr>
          <w:rFonts w:ascii="Tahoma" w:hAnsi="Tahoma" w:cs="Tahoma"/>
        </w:rPr>
      </w:pPr>
      <w:r w:rsidRPr="00BA75B3">
        <w:rPr>
          <w:rFonts w:ascii="Tahoma" w:hAnsi="Tahoma" w:cs="Tahoma"/>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4C50F449" w14:textId="77777777" w:rsidR="00A6537F" w:rsidRPr="00BA75B3" w:rsidRDefault="00A6537F" w:rsidP="00A6537F">
      <w:pPr>
        <w:jc w:val="both"/>
        <w:rPr>
          <w:rFonts w:ascii="Tahoma" w:hAnsi="Tahoma" w:cs="Tahoma"/>
        </w:rPr>
      </w:pPr>
    </w:p>
    <w:p w14:paraId="58B86212" w14:textId="77777777" w:rsidR="00A6537F" w:rsidRPr="00BA75B3" w:rsidRDefault="00A6537F" w:rsidP="00A6537F">
      <w:pPr>
        <w:jc w:val="both"/>
        <w:rPr>
          <w:rFonts w:ascii="Tahoma" w:hAnsi="Tahoma" w:cs="Tahoma"/>
        </w:rPr>
      </w:pPr>
      <w:r w:rsidRPr="00BA75B3">
        <w:rPr>
          <w:rFonts w:ascii="Tahoma" w:hAnsi="Tahoma" w:cs="Tahoma"/>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3497264E" w14:textId="77777777" w:rsidR="00A6537F" w:rsidRPr="00BA75B3" w:rsidRDefault="00A6537F" w:rsidP="00A6537F">
      <w:pPr>
        <w:spacing w:line="280" w:lineRule="atLeast"/>
        <w:jc w:val="both"/>
        <w:rPr>
          <w:rFonts w:ascii="Tahoma" w:hAnsi="Tahoma" w:cs="Tahoma"/>
        </w:rPr>
      </w:pPr>
    </w:p>
    <w:p w14:paraId="25A5490B" w14:textId="77777777" w:rsidR="00A6537F" w:rsidRPr="00BA75B3" w:rsidRDefault="00A6537F" w:rsidP="00A6537F">
      <w:pPr>
        <w:pBdr>
          <w:bottom w:val="single" w:sz="6" w:space="1" w:color="auto"/>
        </w:pBdr>
        <w:spacing w:line="280" w:lineRule="atLeast"/>
        <w:jc w:val="center"/>
        <w:rPr>
          <w:rFonts w:ascii="Tahoma" w:hAnsi="Tahoma" w:cs="Tahoma"/>
          <w:b/>
        </w:rPr>
      </w:pPr>
      <w:r w:rsidRPr="00BA75B3">
        <w:rPr>
          <w:rFonts w:ascii="Tahoma" w:hAnsi="Tahoma" w:cs="Tahoma"/>
          <w:b/>
        </w:rPr>
        <w:t>CLÁUSULA QUINTA – DA ADMINISTRAÇÃO E DOS PRESTADORES DE SERVIÇOS</w:t>
      </w:r>
    </w:p>
    <w:p w14:paraId="50EFE225" w14:textId="77777777" w:rsidR="00A6537F" w:rsidRPr="00BA75B3" w:rsidRDefault="00A6537F" w:rsidP="00A6537F">
      <w:pPr>
        <w:spacing w:line="280" w:lineRule="atLeast"/>
        <w:jc w:val="both"/>
        <w:rPr>
          <w:rFonts w:ascii="Tahoma" w:hAnsi="Tahoma" w:cs="Tahoma"/>
        </w:rPr>
      </w:pPr>
    </w:p>
    <w:p w14:paraId="1DC3734B" w14:textId="77777777" w:rsidR="00A6537F" w:rsidRPr="00F40688" w:rsidRDefault="00A6537F" w:rsidP="00A6537F">
      <w:pPr>
        <w:spacing w:line="280" w:lineRule="atLeast"/>
        <w:jc w:val="both"/>
        <w:rPr>
          <w:rFonts w:ascii="Tahoma" w:hAnsi="Tahoma" w:cs="Tahoma"/>
        </w:rPr>
      </w:pPr>
      <w:r w:rsidRPr="00BA75B3">
        <w:rPr>
          <w:rFonts w:ascii="Tahoma" w:hAnsi="Tahoma" w:cs="Tahoma"/>
        </w:rPr>
        <w:t xml:space="preserve">5.1. </w:t>
      </w:r>
      <w:r w:rsidRPr="00F40688">
        <w:rPr>
          <w:rFonts w:ascii="Tahoma" w:hAnsi="Tahoma" w:cs="Tahoma"/>
        </w:rPr>
        <w:t xml:space="preserve">O FUNDO é administrado e gerido pela </w:t>
      </w:r>
      <w:bookmarkStart w:id="2" w:name="_Hlk115709165"/>
      <w:r w:rsidRPr="00F40688">
        <w:rPr>
          <w:rFonts w:ascii="Tahoma" w:hAnsi="Tahoma" w:cs="Tahoma"/>
          <w:b/>
          <w:bCs/>
        </w:rPr>
        <w:t xml:space="preserve">SANTANDER DISTRIBUIDORA DE TÍTULOS E VALORES MOBILIÁRIOS S.A., </w:t>
      </w:r>
      <w:r w:rsidRPr="00F40688">
        <w:rPr>
          <w:rFonts w:ascii="Tahoma" w:hAnsi="Tahoma" w:cs="Tahoma"/>
        </w:rPr>
        <w:t xml:space="preserve">com sede na Rua João </w:t>
      </w:r>
      <w:proofErr w:type="spellStart"/>
      <w:r w:rsidRPr="00F40688">
        <w:rPr>
          <w:rFonts w:ascii="Tahoma" w:hAnsi="Tahoma" w:cs="Tahoma"/>
        </w:rPr>
        <w:t>Brícola</w:t>
      </w:r>
      <w:proofErr w:type="spellEnd"/>
      <w:r w:rsidRPr="00F40688">
        <w:rPr>
          <w:rFonts w:ascii="Tahoma" w:hAnsi="Tahoma" w:cs="Tahoma"/>
        </w:rPr>
        <w:t>, 24 – 16º e 17º andares – Centro Histórico, São Paulo/SP, inscrita no CNPJ sob nº 03.502.968/0001-04 e credenciada na CVM para a administração de carteiras conforme Ato Declaratório CVM nº 20006, de 28/07/2022 (“ADMINISTRADOR” e “GESTOR”).</w:t>
      </w:r>
      <w:bookmarkEnd w:id="2"/>
    </w:p>
    <w:p w14:paraId="6E2AD385" w14:textId="77777777" w:rsidR="00A6537F" w:rsidRPr="00BA75B3" w:rsidRDefault="00A6537F" w:rsidP="00A6537F">
      <w:pPr>
        <w:jc w:val="both"/>
        <w:rPr>
          <w:rFonts w:ascii="Tahoma" w:hAnsi="Tahoma" w:cs="Tahoma"/>
        </w:rPr>
      </w:pPr>
    </w:p>
    <w:p w14:paraId="7C0175E5" w14:textId="77777777" w:rsidR="00A6537F" w:rsidRPr="00BA75B3" w:rsidRDefault="00A6537F" w:rsidP="00A6537F">
      <w:pPr>
        <w:jc w:val="both"/>
        <w:rPr>
          <w:rFonts w:ascii="Tahoma" w:hAnsi="Tahoma" w:cs="Tahoma"/>
        </w:rPr>
      </w:pPr>
    </w:p>
    <w:p w14:paraId="5F14D7A3" w14:textId="77777777" w:rsidR="00A6537F" w:rsidRPr="00BA75B3" w:rsidRDefault="00A6537F" w:rsidP="00A6537F">
      <w:pPr>
        <w:spacing w:line="280" w:lineRule="atLeast"/>
        <w:jc w:val="both"/>
        <w:rPr>
          <w:rFonts w:ascii="Tahoma" w:hAnsi="Tahoma" w:cs="Tahoma"/>
        </w:rPr>
      </w:pPr>
      <w:r w:rsidRPr="00BA75B3">
        <w:rPr>
          <w:rFonts w:ascii="Tahoma" w:hAnsi="Tahoma" w:cs="Tahoma"/>
        </w:rPr>
        <w:t xml:space="preserve">5.2. Os serviços de custódia, tesouraria, controladoria e processamento dos Ativos Financeiros integrantes da Carteira do FUNDO serão realizados pela </w:t>
      </w:r>
      <w:r>
        <w:rPr>
          <w:rFonts w:ascii="Tahoma" w:hAnsi="Tahoma" w:cs="Tahoma"/>
          <w:b/>
        </w:rPr>
        <w:t>S3</w:t>
      </w:r>
      <w:r w:rsidRPr="00BA75B3">
        <w:rPr>
          <w:rFonts w:ascii="Tahoma" w:hAnsi="Tahoma" w:cs="Tahoma"/>
          <w:b/>
        </w:rPr>
        <w:t xml:space="preserve"> CACEIS BRASIL DISTRIBUIDORA DE TÍTULOS E VALORES MOBILIÁRIOS S.A.</w:t>
      </w:r>
      <w:r w:rsidRPr="00BA75B3">
        <w:rPr>
          <w:rFonts w:ascii="Tahoma" w:hAnsi="Tahoma" w:cs="Tahoma"/>
        </w:rPr>
        <w:t>, com sede na Rua Amador Bueno, nº 474, 1º andar, Bloco D, Santo Amaro, São Paulo/SP, inscrita no CNPJ nº 62.318.407/0001-19, e credenciado na CVM para exercer a custódia de valores mobiliários conforme Ato Declaratório CVM nº 12.676, de 07/11/2012 (“CUSTODIANTE”).</w:t>
      </w:r>
    </w:p>
    <w:p w14:paraId="3DA17563" w14:textId="77777777" w:rsidR="00A6537F" w:rsidRPr="00BA75B3" w:rsidRDefault="00A6537F" w:rsidP="00A6537F">
      <w:pPr>
        <w:spacing w:line="280" w:lineRule="atLeast"/>
        <w:jc w:val="both"/>
        <w:rPr>
          <w:rFonts w:ascii="Tahoma" w:hAnsi="Tahoma" w:cs="Tahoma"/>
        </w:rPr>
      </w:pPr>
    </w:p>
    <w:p w14:paraId="76212364" w14:textId="77777777" w:rsidR="00A6537F" w:rsidRPr="00BA75B3" w:rsidRDefault="00A6537F" w:rsidP="00A6537F">
      <w:pPr>
        <w:spacing w:line="280" w:lineRule="atLeast"/>
        <w:jc w:val="both"/>
        <w:rPr>
          <w:rFonts w:ascii="Tahoma" w:hAnsi="Tahoma" w:cs="Tahoma"/>
        </w:rPr>
      </w:pPr>
      <w:r w:rsidRPr="00BA75B3">
        <w:rPr>
          <w:rFonts w:ascii="Tahoma" w:hAnsi="Tahoma" w:cs="Tahoma"/>
        </w:rPr>
        <w:t xml:space="preserve">5.3. </w:t>
      </w:r>
      <w:r w:rsidRPr="0090684B">
        <w:rPr>
          <w:rFonts w:ascii="Tahoma" w:hAnsi="Tahoma" w:cs="Tahoma"/>
        </w:rPr>
        <w:t>As informações sobre os prestadores de serviços de distribuição das cotas do FUNDO e de controladoria e processamento do passivo do FUNDO (escrituração de cotas) ficarão disponíveis para consulta, no site da CVM.</w:t>
      </w:r>
    </w:p>
    <w:p w14:paraId="705797A8" w14:textId="77777777" w:rsidR="00A6537F" w:rsidRPr="00BA75B3" w:rsidRDefault="00A6537F" w:rsidP="00A6537F">
      <w:pPr>
        <w:spacing w:line="280" w:lineRule="atLeast"/>
        <w:jc w:val="both"/>
        <w:rPr>
          <w:rFonts w:ascii="Tahoma" w:hAnsi="Tahoma" w:cs="Tahoma"/>
        </w:rPr>
      </w:pPr>
    </w:p>
    <w:p w14:paraId="6B61EA43" w14:textId="77777777" w:rsidR="00A6537F" w:rsidRPr="00BA75B3" w:rsidRDefault="00A6537F" w:rsidP="00A6537F">
      <w:pPr>
        <w:spacing w:line="280" w:lineRule="atLeast"/>
        <w:jc w:val="both"/>
        <w:rPr>
          <w:rFonts w:ascii="Tahoma" w:hAnsi="Tahoma" w:cs="Tahoma"/>
        </w:rPr>
      </w:pPr>
      <w:r w:rsidRPr="00BA75B3">
        <w:rPr>
          <w:rFonts w:ascii="Tahoma" w:hAnsi="Tahoma" w:cs="Tahoma"/>
        </w:rPr>
        <w:t xml:space="preserve">5.4. O ADMINISTRADOR poderá contratar terceiros, em nome do FUNDO, para prestação de demais serviços. </w:t>
      </w:r>
    </w:p>
    <w:p w14:paraId="2664EB47" w14:textId="77777777" w:rsidR="00A6537F" w:rsidRPr="00BA75B3" w:rsidRDefault="00A6537F" w:rsidP="00A6537F">
      <w:pPr>
        <w:spacing w:line="280" w:lineRule="atLeast"/>
        <w:jc w:val="both"/>
        <w:rPr>
          <w:rFonts w:ascii="Tahoma" w:hAnsi="Tahoma" w:cs="Tahoma"/>
        </w:rPr>
      </w:pPr>
    </w:p>
    <w:p w14:paraId="08A2BBAB" w14:textId="77777777" w:rsidR="00A6537F" w:rsidRPr="00BA75B3" w:rsidRDefault="00A6537F" w:rsidP="00A6537F">
      <w:pPr>
        <w:pBdr>
          <w:bottom w:val="single" w:sz="6" w:space="1" w:color="auto"/>
        </w:pBdr>
        <w:spacing w:line="280" w:lineRule="atLeast"/>
        <w:jc w:val="center"/>
        <w:rPr>
          <w:rFonts w:ascii="Tahoma" w:hAnsi="Tahoma" w:cs="Tahoma"/>
          <w:b/>
        </w:rPr>
      </w:pPr>
      <w:r w:rsidRPr="00BA75B3">
        <w:rPr>
          <w:rFonts w:ascii="Tahoma" w:hAnsi="Tahoma" w:cs="Tahoma"/>
          <w:b/>
        </w:rPr>
        <w:t>CLÁUSULA SEXTA – DA REMUNERAÇÃO E DEMAIS ENCARGOS</w:t>
      </w:r>
    </w:p>
    <w:p w14:paraId="66063D6D" w14:textId="77777777" w:rsidR="00A6537F" w:rsidRPr="00BA75B3" w:rsidRDefault="00A6537F" w:rsidP="00A6537F">
      <w:pPr>
        <w:spacing w:line="280" w:lineRule="atLeast"/>
        <w:jc w:val="both"/>
        <w:rPr>
          <w:rFonts w:ascii="Tahoma" w:hAnsi="Tahoma" w:cs="Tahoma"/>
        </w:rPr>
      </w:pPr>
    </w:p>
    <w:p w14:paraId="186F622E" w14:textId="77777777" w:rsidR="00A6537F" w:rsidRPr="00BA75B3" w:rsidRDefault="00A6537F" w:rsidP="00A6537F">
      <w:pPr>
        <w:spacing w:line="280" w:lineRule="atLeast"/>
        <w:jc w:val="both"/>
        <w:rPr>
          <w:rFonts w:ascii="Tahoma" w:hAnsi="Tahoma" w:cs="Tahoma"/>
        </w:rPr>
      </w:pPr>
      <w:r w:rsidRPr="00BA75B3">
        <w:rPr>
          <w:rFonts w:ascii="Tahoma" w:hAnsi="Tahoma" w:cs="Tahoma"/>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0416418D" w14:textId="77777777" w:rsidR="00A6537F" w:rsidRPr="00BA75B3" w:rsidRDefault="00A6537F" w:rsidP="00A6537F">
      <w:pPr>
        <w:spacing w:line="280" w:lineRule="atLeast"/>
        <w:jc w:val="both"/>
        <w:rPr>
          <w:rFonts w:ascii="Tahoma" w:hAnsi="Tahoma" w:cs="Tahoma"/>
        </w:rPr>
      </w:pPr>
    </w:p>
    <w:p w14:paraId="64DD7298" w14:textId="77777777" w:rsidR="00A6537F" w:rsidRPr="00BA75B3" w:rsidRDefault="00A6537F" w:rsidP="00A6537F">
      <w:pPr>
        <w:spacing w:line="280" w:lineRule="atLeast"/>
        <w:jc w:val="both"/>
        <w:rPr>
          <w:rFonts w:ascii="Tahoma" w:hAnsi="Tahoma" w:cs="Tahoma"/>
        </w:rPr>
      </w:pPr>
      <w:r w:rsidRPr="00BA75B3">
        <w:rPr>
          <w:rFonts w:ascii="Tahoma" w:hAnsi="Tahoma" w:cs="Tahoma"/>
          <w:b/>
        </w:rPr>
        <w:t>Taxa de Administração Mínima</w:t>
      </w:r>
      <w:r w:rsidRPr="00BA75B3">
        <w:rPr>
          <w:rFonts w:ascii="Tahoma" w:hAnsi="Tahoma" w:cs="Tahoma"/>
        </w:rPr>
        <w:t xml:space="preserve">: Percentual indicado abaixo, calculado sobre o valor do patrimônio líquido do FUNDO. </w:t>
      </w:r>
    </w:p>
    <w:p w14:paraId="1E823026" w14:textId="77777777" w:rsidR="00A6537F" w:rsidRPr="00BA75B3" w:rsidRDefault="00A6537F" w:rsidP="00A6537F">
      <w:pPr>
        <w:spacing w:line="280" w:lineRule="atLeast"/>
        <w:jc w:val="both"/>
        <w:rPr>
          <w:rFonts w:ascii="Tahoma" w:hAnsi="Tahoma" w:cs="Tahoma"/>
        </w:rPr>
      </w:pPr>
    </w:p>
    <w:tbl>
      <w:tblPr>
        <w:tblW w:w="0" w:type="auto"/>
        <w:jc w:val="center"/>
        <w:tblCellMar>
          <w:left w:w="0" w:type="dxa"/>
          <w:right w:w="0" w:type="dxa"/>
        </w:tblCellMar>
        <w:tblLook w:val="04A0" w:firstRow="1" w:lastRow="0" w:firstColumn="1" w:lastColumn="0" w:noHBand="0" w:noVBand="1"/>
      </w:tblPr>
      <w:tblGrid>
        <w:gridCol w:w="5515"/>
        <w:gridCol w:w="2428"/>
      </w:tblGrid>
      <w:tr w:rsidR="00A6537F" w:rsidRPr="00BA75B3" w14:paraId="39473F43" w14:textId="77777777" w:rsidTr="004D6B23">
        <w:trPr>
          <w:trHeight w:val="20"/>
          <w:jc w:val="center"/>
        </w:trPr>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37DF01C" w14:textId="77777777" w:rsidR="00A6537F" w:rsidRPr="00BA75B3" w:rsidRDefault="00A6537F" w:rsidP="004D6B23">
            <w:pPr>
              <w:spacing w:line="280" w:lineRule="atLeast"/>
              <w:jc w:val="center"/>
              <w:rPr>
                <w:rFonts w:ascii="Tahoma" w:hAnsi="Tahoma" w:cs="Tahoma"/>
                <w:b/>
                <w:bCs/>
              </w:rPr>
            </w:pPr>
            <w:r w:rsidRPr="00BA75B3">
              <w:rPr>
                <w:rFonts w:ascii="Tahoma" w:hAnsi="Tahoma" w:cs="Tahoma"/>
                <w:b/>
                <w:bCs/>
              </w:rPr>
              <w:t>Total do Patrimônio Líquido do FUNDO</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1710E88" w14:textId="77777777" w:rsidR="00A6537F" w:rsidRPr="00BA75B3" w:rsidRDefault="00A6537F" w:rsidP="004D6B23">
            <w:pPr>
              <w:spacing w:line="280" w:lineRule="atLeast"/>
              <w:jc w:val="center"/>
              <w:rPr>
                <w:rFonts w:ascii="Tahoma" w:hAnsi="Tahoma" w:cs="Tahoma"/>
                <w:b/>
                <w:bCs/>
              </w:rPr>
            </w:pPr>
            <w:r w:rsidRPr="00BA75B3">
              <w:rPr>
                <w:rFonts w:ascii="Tahoma" w:hAnsi="Tahoma" w:cs="Tahoma"/>
                <w:b/>
                <w:bCs/>
              </w:rPr>
              <w:t xml:space="preserve">Taxa de Administração </w:t>
            </w:r>
          </w:p>
        </w:tc>
      </w:tr>
      <w:tr w:rsidR="00A6537F" w:rsidRPr="00BA75B3" w14:paraId="7F6CD93D" w14:textId="77777777" w:rsidTr="004D6B23">
        <w:trPr>
          <w:trHeight w:val="2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D52CE98" w14:textId="77777777" w:rsidR="00A6537F" w:rsidRPr="00BA75B3" w:rsidRDefault="00A6537F" w:rsidP="004D6B23">
            <w:pPr>
              <w:spacing w:line="280" w:lineRule="atLeast"/>
              <w:jc w:val="both"/>
              <w:rPr>
                <w:rFonts w:ascii="Tahoma" w:hAnsi="Tahoma" w:cs="Tahoma"/>
              </w:rPr>
            </w:pPr>
            <w:r w:rsidRPr="00BA75B3">
              <w:rPr>
                <w:rFonts w:ascii="Tahoma" w:hAnsi="Tahoma" w:cs="Tahoma"/>
              </w:rPr>
              <w:t>Até R$ 10.000.000,00 (inclusive)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6CCC9494" w14:textId="77777777" w:rsidR="00A6537F" w:rsidRPr="00BA75B3" w:rsidRDefault="00A6537F" w:rsidP="004D6B23">
            <w:pPr>
              <w:spacing w:line="280" w:lineRule="atLeast"/>
              <w:jc w:val="center"/>
              <w:rPr>
                <w:rFonts w:ascii="Tahoma" w:hAnsi="Tahoma" w:cs="Tahoma"/>
              </w:rPr>
            </w:pPr>
            <w:r w:rsidRPr="00BA75B3">
              <w:rPr>
                <w:rFonts w:ascii="Tahoma" w:hAnsi="Tahoma" w:cs="Tahoma"/>
              </w:rPr>
              <w:t>0,40% a.a.</w:t>
            </w:r>
          </w:p>
        </w:tc>
      </w:tr>
      <w:tr w:rsidR="00A6537F" w:rsidRPr="00BA75B3" w14:paraId="2DA99C4B" w14:textId="77777777" w:rsidTr="004D6B23">
        <w:trPr>
          <w:trHeight w:val="2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DD6F385" w14:textId="77777777" w:rsidR="00A6537F" w:rsidRPr="00BA75B3" w:rsidRDefault="00A6537F" w:rsidP="004D6B23">
            <w:pPr>
              <w:spacing w:line="280" w:lineRule="atLeast"/>
              <w:jc w:val="both"/>
              <w:rPr>
                <w:rFonts w:ascii="Tahoma" w:hAnsi="Tahoma" w:cs="Tahoma"/>
              </w:rPr>
            </w:pPr>
            <w:r w:rsidRPr="00BA75B3">
              <w:rPr>
                <w:rFonts w:ascii="Tahoma" w:hAnsi="Tahoma" w:cs="Tahoma"/>
              </w:rPr>
              <w:t>Acima de R$ 10.000.000,00 até R$ 20.000.000,00 (inclusive)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A49009F" w14:textId="77777777" w:rsidR="00A6537F" w:rsidRPr="00BA75B3" w:rsidRDefault="00A6537F" w:rsidP="004D6B23">
            <w:pPr>
              <w:spacing w:line="280" w:lineRule="atLeast"/>
              <w:jc w:val="center"/>
              <w:rPr>
                <w:rFonts w:ascii="Tahoma" w:hAnsi="Tahoma" w:cs="Tahoma"/>
              </w:rPr>
            </w:pPr>
            <w:r w:rsidRPr="00BA75B3">
              <w:rPr>
                <w:rFonts w:ascii="Tahoma" w:hAnsi="Tahoma" w:cs="Tahoma"/>
              </w:rPr>
              <w:t>0,30% a.a.</w:t>
            </w:r>
          </w:p>
        </w:tc>
      </w:tr>
      <w:tr w:rsidR="00A6537F" w:rsidRPr="00BA75B3" w14:paraId="1E2F90C5" w14:textId="77777777" w:rsidTr="004D6B23">
        <w:trPr>
          <w:trHeight w:val="2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EDDBC7D" w14:textId="77777777" w:rsidR="00A6537F" w:rsidRPr="00BA75B3" w:rsidRDefault="00A6537F" w:rsidP="004D6B23">
            <w:pPr>
              <w:spacing w:line="280" w:lineRule="atLeast"/>
              <w:jc w:val="both"/>
              <w:rPr>
                <w:rFonts w:ascii="Tahoma" w:hAnsi="Tahoma" w:cs="Tahoma"/>
              </w:rPr>
            </w:pPr>
            <w:r w:rsidRPr="00BA75B3">
              <w:rPr>
                <w:rFonts w:ascii="Tahoma" w:hAnsi="Tahoma" w:cs="Tahoma"/>
              </w:rPr>
              <w:t>Acima de R$ 20.000.000,00 até R$ 30.000.000,00 (inclusive)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7B95000B" w14:textId="77777777" w:rsidR="00A6537F" w:rsidRPr="00BA75B3" w:rsidRDefault="00A6537F" w:rsidP="004D6B23">
            <w:pPr>
              <w:spacing w:line="280" w:lineRule="atLeast"/>
              <w:jc w:val="center"/>
              <w:rPr>
                <w:rFonts w:ascii="Tahoma" w:hAnsi="Tahoma" w:cs="Tahoma"/>
              </w:rPr>
            </w:pPr>
            <w:r w:rsidRPr="00BA75B3">
              <w:rPr>
                <w:rFonts w:ascii="Tahoma" w:hAnsi="Tahoma" w:cs="Tahoma"/>
              </w:rPr>
              <w:t>0,25% a.a.</w:t>
            </w:r>
          </w:p>
        </w:tc>
      </w:tr>
      <w:tr w:rsidR="00A6537F" w:rsidRPr="00BA75B3" w14:paraId="4601227F" w14:textId="77777777" w:rsidTr="004D6B23">
        <w:trPr>
          <w:trHeight w:val="2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1D1A943" w14:textId="77777777" w:rsidR="00A6537F" w:rsidRPr="00BA75B3" w:rsidRDefault="00A6537F" w:rsidP="004D6B23">
            <w:pPr>
              <w:spacing w:line="280" w:lineRule="atLeast"/>
              <w:jc w:val="both"/>
              <w:rPr>
                <w:rFonts w:ascii="Tahoma" w:hAnsi="Tahoma" w:cs="Tahoma"/>
              </w:rPr>
            </w:pPr>
            <w:r w:rsidRPr="00BA75B3">
              <w:rPr>
                <w:rFonts w:ascii="Tahoma" w:hAnsi="Tahoma" w:cs="Tahoma"/>
              </w:rPr>
              <w:t>Acima de R$ 30.000.000,00 até R$ 50.000.000,00 (inclusive)</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03574510" w14:textId="77777777" w:rsidR="00A6537F" w:rsidRPr="00BA75B3" w:rsidRDefault="00A6537F" w:rsidP="004D6B23">
            <w:pPr>
              <w:spacing w:line="280" w:lineRule="atLeast"/>
              <w:jc w:val="center"/>
              <w:rPr>
                <w:rFonts w:ascii="Tahoma" w:hAnsi="Tahoma" w:cs="Tahoma"/>
              </w:rPr>
            </w:pPr>
            <w:r w:rsidRPr="00BA75B3">
              <w:rPr>
                <w:rFonts w:ascii="Tahoma" w:hAnsi="Tahoma" w:cs="Tahoma"/>
              </w:rPr>
              <w:t>0,20% a.a.</w:t>
            </w:r>
          </w:p>
        </w:tc>
      </w:tr>
      <w:tr w:rsidR="00A6537F" w:rsidRPr="00BA75B3" w14:paraId="193A49F6" w14:textId="77777777" w:rsidTr="004D6B23">
        <w:trPr>
          <w:trHeight w:val="2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4953801" w14:textId="77777777" w:rsidR="00A6537F" w:rsidRPr="00BA75B3" w:rsidRDefault="00A6537F" w:rsidP="004D6B23">
            <w:pPr>
              <w:spacing w:line="280" w:lineRule="atLeast"/>
              <w:jc w:val="both"/>
              <w:rPr>
                <w:rFonts w:ascii="Tahoma" w:hAnsi="Tahoma" w:cs="Tahoma"/>
              </w:rPr>
            </w:pPr>
            <w:r w:rsidRPr="00BA75B3">
              <w:rPr>
                <w:rFonts w:ascii="Tahoma" w:hAnsi="Tahoma" w:cs="Tahoma"/>
              </w:rPr>
              <w:t>Acima de R$ 50.000.000,00</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14:paraId="5B925E58" w14:textId="77777777" w:rsidR="00A6537F" w:rsidRPr="00BA75B3" w:rsidRDefault="00A6537F" w:rsidP="004D6B23">
            <w:pPr>
              <w:spacing w:line="280" w:lineRule="atLeast"/>
              <w:jc w:val="center"/>
              <w:rPr>
                <w:rFonts w:ascii="Tahoma" w:hAnsi="Tahoma" w:cs="Tahoma"/>
              </w:rPr>
            </w:pPr>
            <w:r w:rsidRPr="00BA75B3">
              <w:rPr>
                <w:rFonts w:ascii="Tahoma" w:hAnsi="Tahoma" w:cs="Tahoma"/>
              </w:rPr>
              <w:t>0,15% a.a.</w:t>
            </w:r>
          </w:p>
        </w:tc>
      </w:tr>
    </w:tbl>
    <w:p w14:paraId="6C341CBC" w14:textId="77777777" w:rsidR="00A6537F" w:rsidRPr="00BA75B3" w:rsidRDefault="00A6537F" w:rsidP="00A6537F">
      <w:pPr>
        <w:spacing w:line="280" w:lineRule="atLeast"/>
        <w:jc w:val="both"/>
        <w:rPr>
          <w:rFonts w:ascii="Tahoma" w:hAnsi="Tahoma" w:cs="Tahoma"/>
        </w:rPr>
      </w:pPr>
    </w:p>
    <w:p w14:paraId="263F453F" w14:textId="77777777" w:rsidR="00A6537F" w:rsidRPr="00BA75B3" w:rsidRDefault="00A6537F" w:rsidP="00A6537F">
      <w:pPr>
        <w:spacing w:line="280" w:lineRule="atLeast"/>
        <w:jc w:val="both"/>
        <w:rPr>
          <w:rFonts w:ascii="Tahoma" w:hAnsi="Tahoma" w:cs="Tahoma"/>
        </w:rPr>
      </w:pPr>
      <w:r w:rsidRPr="00BA75B3">
        <w:rPr>
          <w:rFonts w:ascii="Tahoma" w:hAnsi="Tahoma" w:cs="Tahoma"/>
          <w:b/>
          <w:bCs/>
        </w:rPr>
        <w:t>Taxa de Administração Máxima</w:t>
      </w:r>
      <w:r w:rsidRPr="00BA75B3">
        <w:rPr>
          <w:rFonts w:ascii="Tahoma" w:hAnsi="Tahoma" w:cs="Tahoma"/>
        </w:rPr>
        <w:t>: 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6450398E" w14:textId="77777777" w:rsidR="00A6537F" w:rsidRPr="00BA75B3" w:rsidRDefault="00A6537F" w:rsidP="00A6537F">
      <w:pPr>
        <w:spacing w:line="280" w:lineRule="atLeast"/>
        <w:jc w:val="both"/>
        <w:rPr>
          <w:rFonts w:ascii="Tahoma" w:hAnsi="Tahoma" w:cs="Tahoma"/>
        </w:rPr>
      </w:pPr>
    </w:p>
    <w:p w14:paraId="74BCFB36" w14:textId="77777777" w:rsidR="00A6537F" w:rsidRPr="00BA75B3" w:rsidRDefault="00A6537F" w:rsidP="00A6537F">
      <w:pPr>
        <w:spacing w:line="280" w:lineRule="atLeast"/>
        <w:jc w:val="both"/>
        <w:rPr>
          <w:rFonts w:ascii="Tahoma" w:hAnsi="Tahoma" w:cs="Tahoma"/>
        </w:rPr>
      </w:pPr>
      <w:r w:rsidRPr="00BA75B3">
        <w:rPr>
          <w:rFonts w:ascii="Tahoma" w:hAnsi="Tahoma" w:cs="Tahoma"/>
        </w:rPr>
        <w:t>6.1.1. A Taxa de Administração será calculada e provisionada por dia útil sobre o valor do patrimônio líquido do FUNDO do dia útil imediatamente anterior, mediante divisão da taxa anual por 252 dias, sendo paga mensalmente, até o 5º dia útil do mês subsequente.</w:t>
      </w:r>
    </w:p>
    <w:p w14:paraId="10FE45C6" w14:textId="77777777" w:rsidR="00A6537F" w:rsidRPr="00BA75B3" w:rsidRDefault="00A6537F" w:rsidP="00A6537F">
      <w:pPr>
        <w:spacing w:line="280" w:lineRule="atLeast"/>
        <w:jc w:val="both"/>
        <w:rPr>
          <w:rFonts w:ascii="Tahoma" w:hAnsi="Tahoma" w:cs="Tahoma"/>
        </w:rPr>
      </w:pPr>
    </w:p>
    <w:p w14:paraId="05C779DA" w14:textId="77777777" w:rsidR="00A6537F" w:rsidRPr="00BA75B3" w:rsidRDefault="00A6537F" w:rsidP="00A6537F">
      <w:pPr>
        <w:spacing w:line="280" w:lineRule="atLeast"/>
        <w:jc w:val="both"/>
        <w:rPr>
          <w:rFonts w:ascii="Tahoma" w:hAnsi="Tahoma" w:cs="Tahoma"/>
        </w:rPr>
      </w:pPr>
      <w:r w:rsidRPr="00BA75B3">
        <w:rPr>
          <w:rFonts w:ascii="Tahoma" w:hAnsi="Tahoma" w:cs="Tahoma"/>
        </w:rPr>
        <w:t>6.1.</w:t>
      </w:r>
      <w:r>
        <w:rPr>
          <w:rFonts w:ascii="Tahoma" w:hAnsi="Tahoma" w:cs="Tahoma"/>
        </w:rPr>
        <w:t>2</w:t>
      </w:r>
      <w:r w:rsidRPr="00BA75B3">
        <w:rPr>
          <w:rFonts w:ascii="Tahoma" w:hAnsi="Tahoma" w:cs="Tahoma"/>
        </w:rPr>
        <w:t>. O FUNDO poderá aplicar seus recursos em fundos de investimento que cobrem taxa de performance, ingresso e saída.</w:t>
      </w:r>
    </w:p>
    <w:p w14:paraId="509A4728" w14:textId="77777777" w:rsidR="00A6537F" w:rsidRPr="00BA75B3" w:rsidRDefault="00A6537F" w:rsidP="00A6537F">
      <w:pPr>
        <w:spacing w:line="280" w:lineRule="atLeast"/>
        <w:jc w:val="both"/>
        <w:rPr>
          <w:rFonts w:ascii="Tahoma" w:hAnsi="Tahoma" w:cs="Tahoma"/>
        </w:rPr>
      </w:pPr>
    </w:p>
    <w:p w14:paraId="49A8B4C1" w14:textId="77777777" w:rsidR="00A6537F" w:rsidRPr="00BA75B3" w:rsidRDefault="00A6537F" w:rsidP="00A6537F">
      <w:pPr>
        <w:spacing w:line="280" w:lineRule="atLeast"/>
        <w:jc w:val="both"/>
        <w:rPr>
          <w:rFonts w:ascii="Tahoma" w:hAnsi="Tahoma" w:cs="Tahoma"/>
        </w:rPr>
      </w:pPr>
      <w:r w:rsidRPr="00BA75B3">
        <w:rPr>
          <w:rFonts w:ascii="Tahoma" w:hAnsi="Tahoma" w:cs="Tahoma"/>
        </w:rPr>
        <w:t>6.2. A taxa máxima de custódia paga pelo FUNDO ao CUSTODIANTE será de 0,015% ao ano sobre o patrimônio líquido do FUNDO.</w:t>
      </w:r>
    </w:p>
    <w:p w14:paraId="682B272E" w14:textId="77777777" w:rsidR="00A6537F" w:rsidRPr="00BA75B3" w:rsidRDefault="00A6537F" w:rsidP="00A6537F">
      <w:pPr>
        <w:spacing w:line="280" w:lineRule="atLeast"/>
        <w:jc w:val="both"/>
        <w:rPr>
          <w:rFonts w:ascii="Tahoma" w:hAnsi="Tahoma" w:cs="Tahoma"/>
        </w:rPr>
      </w:pPr>
    </w:p>
    <w:p w14:paraId="5A8AEC19" w14:textId="77777777" w:rsidR="00A6537F" w:rsidRPr="00BA75B3" w:rsidRDefault="00A6537F" w:rsidP="00A6537F">
      <w:pPr>
        <w:spacing w:line="280" w:lineRule="atLeast"/>
        <w:jc w:val="both"/>
        <w:rPr>
          <w:rFonts w:ascii="Tahoma" w:hAnsi="Tahoma" w:cs="Tahoma"/>
        </w:rPr>
      </w:pPr>
      <w:r w:rsidRPr="00BA75B3">
        <w:rPr>
          <w:rFonts w:ascii="Tahoma" w:hAnsi="Tahoma" w:cs="Tahoma"/>
        </w:rPr>
        <w:t>6.3. Não haverá cobrança de taxa de performance no FUNDO.</w:t>
      </w:r>
    </w:p>
    <w:p w14:paraId="1E905380" w14:textId="77777777" w:rsidR="00A6537F" w:rsidRPr="00BA75B3" w:rsidRDefault="00A6537F" w:rsidP="00A6537F">
      <w:pPr>
        <w:spacing w:line="280" w:lineRule="atLeast"/>
        <w:jc w:val="both"/>
        <w:rPr>
          <w:rFonts w:ascii="Tahoma" w:hAnsi="Tahoma" w:cs="Tahoma"/>
        </w:rPr>
      </w:pPr>
    </w:p>
    <w:p w14:paraId="21E015DE" w14:textId="77777777" w:rsidR="00A6537F" w:rsidRDefault="00A6537F" w:rsidP="00A6537F">
      <w:pPr>
        <w:spacing w:line="280" w:lineRule="atLeast"/>
        <w:jc w:val="both"/>
        <w:rPr>
          <w:rFonts w:ascii="Tahoma" w:hAnsi="Tahoma" w:cs="Tahoma"/>
        </w:rPr>
      </w:pPr>
      <w:r w:rsidRPr="00BA75B3">
        <w:rPr>
          <w:rFonts w:ascii="Tahoma" w:hAnsi="Tahoma" w:cs="Tahoma"/>
        </w:rPr>
        <w:t>6.4.</w:t>
      </w:r>
      <w:r>
        <w:rPr>
          <w:rFonts w:ascii="Tahoma" w:hAnsi="Tahoma" w:cs="Tahoma"/>
        </w:rPr>
        <w:t xml:space="preserve"> </w:t>
      </w:r>
      <w:r w:rsidRPr="003E0143">
        <w:rPr>
          <w:rFonts w:ascii="Tahoma" w:hAnsi="Tahoma" w:cs="Tahoma"/>
        </w:rPr>
        <w:t xml:space="preserve">Não será cobrada dos </w:t>
      </w:r>
      <w:proofErr w:type="gramStart"/>
      <w:r w:rsidRPr="003E0143">
        <w:rPr>
          <w:rFonts w:ascii="Tahoma" w:hAnsi="Tahoma" w:cs="Tahoma"/>
        </w:rPr>
        <w:t>Cotistas taxa</w:t>
      </w:r>
      <w:proofErr w:type="gramEnd"/>
      <w:r w:rsidRPr="003E0143">
        <w:rPr>
          <w:rFonts w:ascii="Tahoma" w:hAnsi="Tahoma" w:cs="Tahoma"/>
        </w:rPr>
        <w:t xml:space="preserve"> de ingresso e de saída quando da realização de aplicação e resgate no FUNDO, respectivamente;</w:t>
      </w:r>
    </w:p>
    <w:p w14:paraId="2CB39A40" w14:textId="77777777" w:rsidR="00A6537F" w:rsidRDefault="00A6537F" w:rsidP="00A6537F">
      <w:pPr>
        <w:spacing w:line="280" w:lineRule="atLeast"/>
        <w:jc w:val="both"/>
        <w:rPr>
          <w:rFonts w:ascii="Tahoma" w:hAnsi="Tahoma" w:cs="Tahoma"/>
        </w:rPr>
      </w:pPr>
    </w:p>
    <w:p w14:paraId="0131505C" w14:textId="77777777" w:rsidR="00A6537F" w:rsidRPr="00BA75B3" w:rsidRDefault="00A6537F" w:rsidP="00A6537F">
      <w:pPr>
        <w:spacing w:line="280" w:lineRule="atLeast"/>
        <w:jc w:val="both"/>
        <w:rPr>
          <w:rFonts w:ascii="Tahoma" w:hAnsi="Tahoma" w:cs="Tahoma"/>
        </w:rPr>
      </w:pPr>
      <w:r>
        <w:rPr>
          <w:rFonts w:ascii="Tahoma" w:hAnsi="Tahoma" w:cs="Tahoma"/>
        </w:rPr>
        <w:t xml:space="preserve">6.5. </w:t>
      </w:r>
      <w:r w:rsidRPr="00BA75B3">
        <w:rPr>
          <w:rFonts w:ascii="Tahoma" w:hAnsi="Tahoma" w:cs="Tahoma"/>
        </w:rPr>
        <w:t>Além das Taxas de Administração e da Taxa de Performance, se houver,</w:t>
      </w:r>
      <w:r w:rsidRPr="00BA75B3">
        <w:rPr>
          <w:rStyle w:val="Refdenotaderodap"/>
          <w:rFonts w:ascii="Tahoma" w:hAnsi="Tahoma" w:cs="Tahoma"/>
        </w:rPr>
        <w:t xml:space="preserve"> </w:t>
      </w:r>
      <w:r w:rsidRPr="00BA75B3">
        <w:rPr>
          <w:rFonts w:ascii="Tahoma" w:hAnsi="Tahoma" w:cs="Tahoma"/>
        </w:rPr>
        <w:t>constituirão encargos que poderão ser debitados diretamente do FUNDO as seguintes despesas:</w:t>
      </w:r>
    </w:p>
    <w:p w14:paraId="5BE49B5B" w14:textId="77777777" w:rsidR="00A6537F" w:rsidRPr="00BA75B3" w:rsidRDefault="00A6537F" w:rsidP="00A6537F">
      <w:pPr>
        <w:spacing w:line="280" w:lineRule="atLeast"/>
        <w:jc w:val="both"/>
        <w:rPr>
          <w:rFonts w:ascii="Tahoma" w:hAnsi="Tahoma" w:cs="Tahoma"/>
        </w:rPr>
      </w:pPr>
    </w:p>
    <w:p w14:paraId="6C28EC44" w14:textId="77777777" w:rsidR="00A6537F" w:rsidRPr="00BA75B3" w:rsidRDefault="00A6537F" w:rsidP="00A6537F">
      <w:pPr>
        <w:pStyle w:val="NormalWeb"/>
        <w:spacing w:before="0" w:after="0" w:line="280" w:lineRule="atLeast"/>
        <w:jc w:val="both"/>
        <w:rPr>
          <w:rFonts w:ascii="Tahoma" w:hAnsi="Tahoma" w:cs="Tahoma"/>
          <w:sz w:val="22"/>
          <w:szCs w:val="22"/>
        </w:rPr>
      </w:pPr>
      <w:r w:rsidRPr="00BA75B3">
        <w:rPr>
          <w:rFonts w:ascii="Tahoma" w:hAnsi="Tahoma" w:cs="Tahoma"/>
          <w:sz w:val="22"/>
          <w:szCs w:val="22"/>
        </w:rPr>
        <w:t>(i) taxas, impostos ou contribuições federais, estaduais, municipais ou autárquicas, que recaiam ou venham a recair sobre os bens, direitos e obrigações do FUNDO;</w:t>
      </w:r>
    </w:p>
    <w:p w14:paraId="78FCDBD2" w14:textId="77777777" w:rsidR="00A6537F" w:rsidRPr="00BA75B3" w:rsidRDefault="00A6537F" w:rsidP="00A6537F">
      <w:pPr>
        <w:pStyle w:val="NormalWeb"/>
        <w:spacing w:before="0" w:after="0" w:line="280" w:lineRule="atLeast"/>
        <w:jc w:val="both"/>
        <w:rPr>
          <w:rFonts w:ascii="Tahoma" w:hAnsi="Tahoma" w:cs="Tahoma"/>
          <w:sz w:val="22"/>
          <w:szCs w:val="22"/>
        </w:rPr>
      </w:pPr>
    </w:p>
    <w:p w14:paraId="1789EF84" w14:textId="77777777" w:rsidR="00A6537F" w:rsidRPr="00BA75B3" w:rsidRDefault="00A6537F" w:rsidP="00A6537F">
      <w:pPr>
        <w:pStyle w:val="NormalWeb"/>
        <w:spacing w:before="0" w:after="0" w:line="280" w:lineRule="atLeast"/>
        <w:jc w:val="both"/>
        <w:rPr>
          <w:rFonts w:ascii="Tahoma" w:hAnsi="Tahoma" w:cs="Tahoma"/>
          <w:sz w:val="22"/>
          <w:szCs w:val="22"/>
        </w:rPr>
      </w:pPr>
      <w:r w:rsidRPr="00BA75B3">
        <w:rPr>
          <w:rFonts w:ascii="Tahoma" w:hAnsi="Tahoma" w:cs="Tahoma"/>
          <w:sz w:val="22"/>
          <w:szCs w:val="22"/>
        </w:rPr>
        <w:t>(</w:t>
      </w:r>
      <w:proofErr w:type="spellStart"/>
      <w:r w:rsidRPr="00BA75B3">
        <w:rPr>
          <w:rFonts w:ascii="Tahoma" w:hAnsi="Tahoma" w:cs="Tahoma"/>
          <w:sz w:val="22"/>
          <w:szCs w:val="22"/>
        </w:rPr>
        <w:t>ii</w:t>
      </w:r>
      <w:proofErr w:type="spellEnd"/>
      <w:r w:rsidRPr="00BA75B3">
        <w:rPr>
          <w:rFonts w:ascii="Tahoma" w:hAnsi="Tahoma" w:cs="Tahoma"/>
          <w:sz w:val="22"/>
          <w:szCs w:val="22"/>
        </w:rPr>
        <w:t>) despesas com o registro de documentos em cartório, impressão, expedição e publicação de relatórios e informações periódicas previstas na regulamentação em vigor;</w:t>
      </w:r>
    </w:p>
    <w:p w14:paraId="21B667E8" w14:textId="77777777" w:rsidR="00A6537F" w:rsidRPr="00BA75B3" w:rsidRDefault="00A6537F" w:rsidP="00A6537F">
      <w:pPr>
        <w:pStyle w:val="NormalWeb"/>
        <w:spacing w:before="0" w:after="0" w:line="280" w:lineRule="atLeast"/>
        <w:jc w:val="both"/>
        <w:rPr>
          <w:rFonts w:ascii="Tahoma" w:hAnsi="Tahoma" w:cs="Tahoma"/>
          <w:sz w:val="22"/>
          <w:szCs w:val="22"/>
          <w:highlight w:val="yellow"/>
        </w:rPr>
      </w:pPr>
    </w:p>
    <w:p w14:paraId="6DBCF7A9" w14:textId="77777777" w:rsidR="00A6537F" w:rsidRPr="00BA75B3" w:rsidRDefault="00A6537F" w:rsidP="00A6537F">
      <w:pPr>
        <w:pStyle w:val="NormalWeb"/>
        <w:spacing w:before="0" w:after="0" w:line="280" w:lineRule="atLeast"/>
        <w:jc w:val="both"/>
        <w:rPr>
          <w:rFonts w:ascii="Tahoma" w:hAnsi="Tahoma" w:cs="Tahoma"/>
          <w:sz w:val="22"/>
          <w:szCs w:val="22"/>
        </w:rPr>
      </w:pPr>
      <w:r w:rsidRPr="00BA75B3">
        <w:rPr>
          <w:rFonts w:ascii="Tahoma" w:hAnsi="Tahoma" w:cs="Tahoma"/>
          <w:sz w:val="22"/>
          <w:szCs w:val="22"/>
        </w:rPr>
        <w:t>(</w:t>
      </w:r>
      <w:proofErr w:type="spellStart"/>
      <w:r w:rsidRPr="00BA75B3">
        <w:rPr>
          <w:rFonts w:ascii="Tahoma" w:hAnsi="Tahoma" w:cs="Tahoma"/>
          <w:sz w:val="22"/>
          <w:szCs w:val="22"/>
        </w:rPr>
        <w:t>iii</w:t>
      </w:r>
      <w:proofErr w:type="spellEnd"/>
      <w:r w:rsidRPr="00BA75B3">
        <w:rPr>
          <w:rFonts w:ascii="Tahoma" w:hAnsi="Tahoma" w:cs="Tahoma"/>
          <w:sz w:val="22"/>
          <w:szCs w:val="22"/>
        </w:rPr>
        <w:t>) despesas com correspondência de interesse do FUNDO, inclusive comunicações aos Cotistas;</w:t>
      </w:r>
    </w:p>
    <w:p w14:paraId="0575FA12" w14:textId="77777777" w:rsidR="00A6537F" w:rsidRPr="00BA75B3" w:rsidRDefault="00A6537F" w:rsidP="00A6537F">
      <w:pPr>
        <w:pStyle w:val="NormalWeb"/>
        <w:spacing w:before="0" w:after="0" w:line="280" w:lineRule="atLeast"/>
        <w:jc w:val="both"/>
        <w:rPr>
          <w:rFonts w:ascii="Tahoma" w:hAnsi="Tahoma" w:cs="Tahoma"/>
          <w:sz w:val="22"/>
          <w:szCs w:val="22"/>
          <w:highlight w:val="yellow"/>
        </w:rPr>
      </w:pPr>
    </w:p>
    <w:p w14:paraId="1A0738C4" w14:textId="77777777" w:rsidR="00A6537F" w:rsidRPr="00BA75B3" w:rsidRDefault="00A6537F" w:rsidP="00A6537F">
      <w:pPr>
        <w:pStyle w:val="NormalWeb"/>
        <w:spacing w:before="0" w:after="0" w:line="280" w:lineRule="atLeast"/>
        <w:jc w:val="both"/>
        <w:rPr>
          <w:rFonts w:ascii="Tahoma" w:hAnsi="Tahoma" w:cs="Tahoma"/>
          <w:sz w:val="22"/>
          <w:szCs w:val="22"/>
        </w:rPr>
      </w:pPr>
      <w:r w:rsidRPr="00BA75B3">
        <w:rPr>
          <w:rFonts w:ascii="Tahoma" w:hAnsi="Tahoma" w:cs="Tahoma"/>
          <w:sz w:val="22"/>
          <w:szCs w:val="22"/>
        </w:rPr>
        <w:t>(</w:t>
      </w:r>
      <w:proofErr w:type="spellStart"/>
      <w:r w:rsidRPr="00BA75B3">
        <w:rPr>
          <w:rFonts w:ascii="Tahoma" w:hAnsi="Tahoma" w:cs="Tahoma"/>
          <w:sz w:val="22"/>
          <w:szCs w:val="22"/>
        </w:rPr>
        <w:t>iv</w:t>
      </w:r>
      <w:proofErr w:type="spellEnd"/>
      <w:r w:rsidRPr="00BA75B3">
        <w:rPr>
          <w:rFonts w:ascii="Tahoma" w:hAnsi="Tahoma" w:cs="Tahoma"/>
          <w:sz w:val="22"/>
          <w:szCs w:val="22"/>
        </w:rPr>
        <w:t>) honorários e despesas do auditor independente;</w:t>
      </w:r>
    </w:p>
    <w:p w14:paraId="221981D5" w14:textId="77777777" w:rsidR="00A6537F" w:rsidRPr="00BA75B3" w:rsidRDefault="00A6537F" w:rsidP="00A6537F">
      <w:pPr>
        <w:pStyle w:val="NormalWeb"/>
        <w:spacing w:before="0" w:after="0" w:line="280" w:lineRule="atLeast"/>
        <w:jc w:val="both"/>
        <w:rPr>
          <w:rFonts w:ascii="Tahoma" w:hAnsi="Tahoma" w:cs="Tahoma"/>
          <w:sz w:val="22"/>
          <w:szCs w:val="22"/>
          <w:highlight w:val="yellow"/>
        </w:rPr>
      </w:pPr>
    </w:p>
    <w:p w14:paraId="47969EEC" w14:textId="77777777" w:rsidR="00A6537F" w:rsidRPr="00BA75B3" w:rsidRDefault="00A6537F" w:rsidP="00A6537F">
      <w:pPr>
        <w:pStyle w:val="NormalWeb"/>
        <w:spacing w:before="0" w:after="0" w:line="280" w:lineRule="atLeast"/>
        <w:jc w:val="both"/>
        <w:rPr>
          <w:rFonts w:ascii="Tahoma" w:hAnsi="Tahoma" w:cs="Tahoma"/>
          <w:sz w:val="22"/>
          <w:szCs w:val="22"/>
        </w:rPr>
      </w:pPr>
      <w:r w:rsidRPr="00BA75B3">
        <w:rPr>
          <w:rFonts w:ascii="Tahoma" w:hAnsi="Tahoma" w:cs="Tahoma"/>
          <w:sz w:val="22"/>
          <w:szCs w:val="22"/>
        </w:rPr>
        <w:t xml:space="preserve">(v) emolumentos e comissões pagas por operações do FUNDO; </w:t>
      </w:r>
    </w:p>
    <w:p w14:paraId="785B95B4" w14:textId="77777777" w:rsidR="00A6537F" w:rsidRPr="00BA75B3" w:rsidRDefault="00A6537F" w:rsidP="00A6537F">
      <w:pPr>
        <w:pStyle w:val="NormalWeb"/>
        <w:spacing w:before="0" w:after="0" w:line="280" w:lineRule="atLeast"/>
        <w:jc w:val="both"/>
        <w:rPr>
          <w:rFonts w:ascii="Tahoma" w:hAnsi="Tahoma" w:cs="Tahoma"/>
          <w:sz w:val="22"/>
          <w:szCs w:val="22"/>
        </w:rPr>
      </w:pPr>
    </w:p>
    <w:p w14:paraId="6C8B0FA7" w14:textId="77777777" w:rsidR="00A6537F" w:rsidRPr="00BA75B3" w:rsidRDefault="00A6537F" w:rsidP="00A6537F">
      <w:pPr>
        <w:pStyle w:val="NormalWeb"/>
        <w:spacing w:before="0" w:after="0" w:line="280" w:lineRule="atLeast"/>
        <w:jc w:val="both"/>
        <w:rPr>
          <w:rFonts w:ascii="Tahoma" w:hAnsi="Tahoma" w:cs="Tahoma"/>
          <w:sz w:val="22"/>
          <w:szCs w:val="22"/>
        </w:rPr>
      </w:pPr>
      <w:r w:rsidRPr="00BA75B3">
        <w:rPr>
          <w:rFonts w:ascii="Tahoma" w:hAnsi="Tahoma" w:cs="Tahoma"/>
          <w:sz w:val="22"/>
          <w:szCs w:val="22"/>
        </w:rPr>
        <w:lastRenderedPageBreak/>
        <w:t>(vi) honorários de advogado, custas e despesas processuais correlatas, incorridas em razão de defesa dos interesses do FUNDO, em juízo ou fora dele, inclusive o valor da condenação imputada ao FUNDO, se for o caso;</w:t>
      </w:r>
    </w:p>
    <w:p w14:paraId="2DE45DD9" w14:textId="77777777" w:rsidR="00A6537F" w:rsidRPr="00BA75B3" w:rsidRDefault="00A6537F" w:rsidP="00A6537F">
      <w:pPr>
        <w:pStyle w:val="NormalWeb"/>
        <w:spacing w:before="0" w:after="0" w:line="280" w:lineRule="atLeast"/>
        <w:jc w:val="both"/>
        <w:rPr>
          <w:rFonts w:ascii="Tahoma" w:hAnsi="Tahoma" w:cs="Tahoma"/>
          <w:sz w:val="22"/>
          <w:szCs w:val="22"/>
          <w:highlight w:val="yellow"/>
        </w:rPr>
      </w:pPr>
    </w:p>
    <w:p w14:paraId="2CF12221" w14:textId="77777777" w:rsidR="00A6537F" w:rsidRPr="00BA75B3" w:rsidRDefault="00A6537F" w:rsidP="00A6537F">
      <w:pPr>
        <w:pStyle w:val="NormalWeb"/>
        <w:spacing w:before="0" w:after="0" w:line="280" w:lineRule="atLeast"/>
        <w:jc w:val="both"/>
        <w:rPr>
          <w:rFonts w:ascii="Tahoma" w:hAnsi="Tahoma" w:cs="Tahoma"/>
          <w:sz w:val="22"/>
          <w:szCs w:val="22"/>
        </w:rPr>
      </w:pPr>
      <w:r w:rsidRPr="00BA75B3">
        <w:rPr>
          <w:rFonts w:ascii="Tahoma" w:hAnsi="Tahoma" w:cs="Tahoma"/>
          <w:sz w:val="22"/>
          <w:szCs w:val="22"/>
        </w:rPr>
        <w:t>(</w:t>
      </w:r>
      <w:proofErr w:type="spellStart"/>
      <w:r w:rsidRPr="00BA75B3">
        <w:rPr>
          <w:rFonts w:ascii="Tahoma" w:hAnsi="Tahoma" w:cs="Tahoma"/>
          <w:sz w:val="22"/>
          <w:szCs w:val="22"/>
        </w:rPr>
        <w:t>vii</w:t>
      </w:r>
      <w:proofErr w:type="spellEnd"/>
      <w:r w:rsidRPr="00BA75B3">
        <w:rPr>
          <w:rFonts w:ascii="Tahoma" w:hAnsi="Tahoma" w:cs="Tahoma"/>
          <w:sz w:val="22"/>
          <w:szCs w:val="22"/>
        </w:rPr>
        <w:t>) parcela de prejuízos não coberta por apólices de seguro e não decorrente diretamente de culpa ou dolo dos prestadores dos serviços de administração no exercício de suas respectivas funções;</w:t>
      </w:r>
    </w:p>
    <w:p w14:paraId="39B70CBA" w14:textId="77777777" w:rsidR="00A6537F" w:rsidRPr="00BA75B3" w:rsidRDefault="00A6537F" w:rsidP="00A6537F">
      <w:pPr>
        <w:pStyle w:val="NormalWeb"/>
        <w:spacing w:before="0" w:after="0" w:line="280" w:lineRule="atLeast"/>
        <w:jc w:val="both"/>
        <w:rPr>
          <w:rFonts w:ascii="Tahoma" w:hAnsi="Tahoma" w:cs="Tahoma"/>
          <w:sz w:val="22"/>
          <w:szCs w:val="22"/>
          <w:highlight w:val="yellow"/>
        </w:rPr>
      </w:pPr>
    </w:p>
    <w:p w14:paraId="3E701303" w14:textId="77777777" w:rsidR="00A6537F" w:rsidRPr="00BA75B3" w:rsidRDefault="00A6537F" w:rsidP="00A6537F">
      <w:pPr>
        <w:pStyle w:val="NormalWeb"/>
        <w:spacing w:before="0" w:after="0" w:line="280" w:lineRule="atLeast"/>
        <w:jc w:val="both"/>
        <w:rPr>
          <w:rFonts w:ascii="Tahoma" w:hAnsi="Tahoma" w:cs="Tahoma"/>
          <w:sz w:val="22"/>
          <w:szCs w:val="22"/>
        </w:rPr>
      </w:pPr>
      <w:r w:rsidRPr="00BA75B3">
        <w:rPr>
          <w:rFonts w:ascii="Tahoma" w:hAnsi="Tahoma" w:cs="Tahoma"/>
          <w:sz w:val="22"/>
          <w:szCs w:val="22"/>
        </w:rPr>
        <w:t>(</w:t>
      </w:r>
      <w:proofErr w:type="spellStart"/>
      <w:r w:rsidRPr="00BA75B3">
        <w:rPr>
          <w:rFonts w:ascii="Tahoma" w:hAnsi="Tahoma" w:cs="Tahoma"/>
          <w:sz w:val="22"/>
          <w:szCs w:val="22"/>
        </w:rPr>
        <w:t>viii</w:t>
      </w:r>
      <w:proofErr w:type="spellEnd"/>
      <w:r w:rsidRPr="00BA75B3">
        <w:rPr>
          <w:rFonts w:ascii="Tahoma" w:hAnsi="Tahoma" w:cs="Tahoma"/>
          <w:sz w:val="22"/>
          <w:szCs w:val="22"/>
        </w:rPr>
        <w:t>) despesas relacionadas, direta ou indiretamente, ao exercício de direito de voto decorrente de Ativos Financeiros do FUNDO;</w:t>
      </w:r>
    </w:p>
    <w:p w14:paraId="6C9632F4" w14:textId="77777777" w:rsidR="00A6537F" w:rsidRPr="00BA75B3" w:rsidRDefault="00A6537F" w:rsidP="00A6537F">
      <w:pPr>
        <w:pStyle w:val="NormalWeb"/>
        <w:spacing w:before="0" w:after="0" w:line="280" w:lineRule="atLeast"/>
        <w:jc w:val="both"/>
        <w:rPr>
          <w:rFonts w:ascii="Tahoma" w:hAnsi="Tahoma" w:cs="Tahoma"/>
          <w:sz w:val="22"/>
          <w:szCs w:val="22"/>
        </w:rPr>
      </w:pPr>
    </w:p>
    <w:p w14:paraId="592DA4D0" w14:textId="77777777" w:rsidR="00A6537F" w:rsidRPr="00BA75B3" w:rsidRDefault="00A6537F" w:rsidP="00A6537F">
      <w:pPr>
        <w:pStyle w:val="NormalWeb"/>
        <w:spacing w:before="0" w:after="0" w:line="280" w:lineRule="atLeast"/>
        <w:jc w:val="both"/>
        <w:rPr>
          <w:rFonts w:ascii="Tahoma" w:hAnsi="Tahoma" w:cs="Tahoma"/>
          <w:sz w:val="22"/>
          <w:szCs w:val="22"/>
        </w:rPr>
      </w:pPr>
      <w:r w:rsidRPr="00BA75B3">
        <w:rPr>
          <w:rFonts w:ascii="Tahoma" w:hAnsi="Tahoma" w:cs="Tahoma"/>
          <w:sz w:val="22"/>
          <w:szCs w:val="22"/>
        </w:rPr>
        <w:t>(</w:t>
      </w:r>
      <w:proofErr w:type="spellStart"/>
      <w:r w:rsidRPr="00BA75B3">
        <w:rPr>
          <w:rFonts w:ascii="Tahoma" w:hAnsi="Tahoma" w:cs="Tahoma"/>
          <w:sz w:val="22"/>
          <w:szCs w:val="22"/>
        </w:rPr>
        <w:t>ix</w:t>
      </w:r>
      <w:proofErr w:type="spellEnd"/>
      <w:r w:rsidRPr="00BA75B3">
        <w:rPr>
          <w:rFonts w:ascii="Tahoma" w:hAnsi="Tahoma" w:cs="Tahoma"/>
          <w:sz w:val="22"/>
          <w:szCs w:val="22"/>
        </w:rPr>
        <w:t>) despesas com liquidação, registro e custódia de operações com títulos e valores mobiliários, Ativos Financeiros e modalidades operacionais;</w:t>
      </w:r>
    </w:p>
    <w:p w14:paraId="4718A83D" w14:textId="77777777" w:rsidR="00A6537F" w:rsidRPr="00BA75B3" w:rsidRDefault="00A6537F" w:rsidP="00A6537F">
      <w:pPr>
        <w:pStyle w:val="NormalWeb"/>
        <w:spacing w:before="0" w:after="0" w:line="280" w:lineRule="atLeast"/>
        <w:jc w:val="both"/>
        <w:rPr>
          <w:rFonts w:ascii="Tahoma" w:hAnsi="Tahoma" w:cs="Tahoma"/>
          <w:sz w:val="22"/>
          <w:szCs w:val="22"/>
        </w:rPr>
      </w:pPr>
    </w:p>
    <w:p w14:paraId="17FAFC7C" w14:textId="77777777" w:rsidR="00A6537F" w:rsidRPr="00BA75B3" w:rsidRDefault="00A6537F" w:rsidP="00A6537F">
      <w:pPr>
        <w:pStyle w:val="NormalWeb"/>
        <w:spacing w:before="0" w:after="0" w:line="280" w:lineRule="atLeast"/>
        <w:jc w:val="both"/>
        <w:rPr>
          <w:rFonts w:ascii="Tahoma" w:hAnsi="Tahoma" w:cs="Tahoma"/>
          <w:sz w:val="22"/>
          <w:szCs w:val="22"/>
        </w:rPr>
      </w:pPr>
      <w:r w:rsidRPr="00BA75B3">
        <w:rPr>
          <w:rFonts w:ascii="Tahoma" w:hAnsi="Tahoma" w:cs="Tahoma"/>
          <w:sz w:val="22"/>
          <w:szCs w:val="22"/>
        </w:rPr>
        <w:t>(x) despesas com fechamento de câmbio, vinculadas às suas operações ou com certificados ou recibos de depósito de valores mobiliários; e</w:t>
      </w:r>
    </w:p>
    <w:p w14:paraId="12B4F019" w14:textId="77777777" w:rsidR="00A6537F" w:rsidRPr="00BA75B3" w:rsidRDefault="00A6537F" w:rsidP="00A6537F">
      <w:pPr>
        <w:pStyle w:val="NormalWeb"/>
        <w:spacing w:before="0" w:after="0" w:line="280" w:lineRule="atLeast"/>
        <w:jc w:val="both"/>
        <w:rPr>
          <w:rFonts w:ascii="Tahoma" w:hAnsi="Tahoma" w:cs="Tahoma"/>
          <w:sz w:val="22"/>
          <w:szCs w:val="22"/>
        </w:rPr>
      </w:pPr>
    </w:p>
    <w:p w14:paraId="426BBAC3" w14:textId="77777777" w:rsidR="00A6537F" w:rsidRPr="00BA75B3" w:rsidRDefault="00A6537F" w:rsidP="00A6537F">
      <w:pPr>
        <w:pStyle w:val="NormalWeb"/>
        <w:spacing w:before="0" w:after="0" w:line="280" w:lineRule="atLeast"/>
        <w:jc w:val="both"/>
        <w:rPr>
          <w:rFonts w:ascii="Tahoma" w:hAnsi="Tahoma" w:cs="Tahoma"/>
          <w:sz w:val="22"/>
          <w:szCs w:val="22"/>
        </w:rPr>
      </w:pPr>
      <w:r w:rsidRPr="00BA75B3">
        <w:rPr>
          <w:rFonts w:ascii="Tahoma" w:hAnsi="Tahoma" w:cs="Tahoma"/>
          <w:sz w:val="22"/>
          <w:szCs w:val="22"/>
        </w:rPr>
        <w:t>(xi) os montantes devidos a fundos investidores na hipótese de acordo de remuneração com base na taxa de administração e/ou performance, observado o disposto na regulamentação vigente.</w:t>
      </w:r>
    </w:p>
    <w:p w14:paraId="39E88FD9" w14:textId="77777777" w:rsidR="00A6537F" w:rsidRPr="00BA75B3" w:rsidRDefault="00A6537F" w:rsidP="00A6537F">
      <w:pPr>
        <w:pStyle w:val="NormalWeb"/>
        <w:spacing w:before="0" w:after="0" w:line="280" w:lineRule="atLeast"/>
        <w:jc w:val="both"/>
        <w:rPr>
          <w:rFonts w:ascii="Tahoma" w:hAnsi="Tahoma" w:cs="Tahoma"/>
          <w:sz w:val="22"/>
          <w:szCs w:val="22"/>
        </w:rPr>
      </w:pPr>
    </w:p>
    <w:p w14:paraId="29E35CD6" w14:textId="77777777" w:rsidR="00A6537F" w:rsidRPr="00BA75B3" w:rsidRDefault="00A6537F" w:rsidP="00A6537F">
      <w:pPr>
        <w:spacing w:line="280" w:lineRule="atLeast"/>
        <w:jc w:val="both"/>
        <w:rPr>
          <w:rFonts w:ascii="Tahoma" w:hAnsi="Tahoma" w:cs="Tahoma"/>
        </w:rPr>
      </w:pPr>
      <w:r w:rsidRPr="00BA75B3">
        <w:rPr>
          <w:rFonts w:ascii="Tahoma" w:hAnsi="Tahoma" w:cs="Tahoma"/>
        </w:rPr>
        <w:t>6.</w:t>
      </w:r>
      <w:r>
        <w:rPr>
          <w:rFonts w:ascii="Tahoma" w:hAnsi="Tahoma" w:cs="Tahoma"/>
        </w:rPr>
        <w:t>6</w:t>
      </w:r>
      <w:r w:rsidRPr="00BA75B3">
        <w:rPr>
          <w:rFonts w:ascii="Tahoma" w:hAnsi="Tahoma" w:cs="Tahoma"/>
        </w:rPr>
        <w:t>.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w:t>
      </w:r>
    </w:p>
    <w:p w14:paraId="126D51E4" w14:textId="77777777" w:rsidR="00A6537F" w:rsidRPr="00BA75B3" w:rsidRDefault="00A6537F" w:rsidP="00A6537F">
      <w:pPr>
        <w:spacing w:line="280" w:lineRule="atLeast"/>
        <w:jc w:val="both"/>
        <w:rPr>
          <w:rFonts w:ascii="Tahoma" w:hAnsi="Tahoma" w:cs="Tahoma"/>
        </w:rPr>
      </w:pPr>
    </w:p>
    <w:p w14:paraId="06EB4AA2" w14:textId="77777777" w:rsidR="00A6537F" w:rsidRPr="00BA75B3" w:rsidRDefault="00A6537F" w:rsidP="00A6537F">
      <w:pPr>
        <w:pBdr>
          <w:bottom w:val="single" w:sz="6" w:space="1" w:color="auto"/>
        </w:pBdr>
        <w:spacing w:line="280" w:lineRule="atLeast"/>
        <w:jc w:val="center"/>
        <w:rPr>
          <w:rFonts w:ascii="Tahoma" w:hAnsi="Tahoma" w:cs="Tahoma"/>
          <w:b/>
        </w:rPr>
      </w:pPr>
      <w:r w:rsidRPr="00BA75B3">
        <w:rPr>
          <w:rFonts w:ascii="Tahoma" w:hAnsi="Tahoma" w:cs="Tahoma"/>
          <w:b/>
        </w:rPr>
        <w:t>CLÁUSULA SÉTIMA – DAS COTAS: DISTRIBUIÇÃO, EMISSÃO</w:t>
      </w:r>
      <w:r>
        <w:rPr>
          <w:rFonts w:ascii="Tahoma" w:hAnsi="Tahoma" w:cs="Tahoma"/>
          <w:b/>
        </w:rPr>
        <w:t xml:space="preserve"> </w:t>
      </w:r>
      <w:r w:rsidRPr="00BA75B3">
        <w:rPr>
          <w:rFonts w:ascii="Tahoma" w:hAnsi="Tahoma" w:cs="Tahoma"/>
          <w:b/>
        </w:rPr>
        <w:t xml:space="preserve">E RESGATE </w:t>
      </w:r>
    </w:p>
    <w:p w14:paraId="0B9AE22D" w14:textId="77777777" w:rsidR="00A6537F" w:rsidRPr="00BA75B3" w:rsidRDefault="00A6537F" w:rsidP="00A6537F">
      <w:pPr>
        <w:spacing w:line="280" w:lineRule="atLeast"/>
        <w:jc w:val="both"/>
        <w:rPr>
          <w:rFonts w:ascii="Tahoma" w:hAnsi="Tahoma" w:cs="Tahoma"/>
        </w:rPr>
      </w:pPr>
    </w:p>
    <w:p w14:paraId="4FE38A19" w14:textId="77777777" w:rsidR="00A6537F" w:rsidRPr="00BA75B3" w:rsidRDefault="00A6537F" w:rsidP="00A6537F">
      <w:pPr>
        <w:spacing w:line="280" w:lineRule="atLeast"/>
        <w:jc w:val="both"/>
        <w:rPr>
          <w:rFonts w:ascii="Tahoma" w:hAnsi="Tahoma" w:cs="Tahoma"/>
        </w:rPr>
      </w:pPr>
      <w:r w:rsidRPr="00BA75B3">
        <w:rPr>
          <w:rFonts w:ascii="Tahoma" w:hAnsi="Tahoma" w:cs="Tahoma"/>
        </w:rPr>
        <w:t>7.1. As cotas do FUNDO correspondem a frações ideais do seu patrimônio e são nominativas e escriturais.</w:t>
      </w:r>
    </w:p>
    <w:p w14:paraId="6735D24C" w14:textId="77777777" w:rsidR="00A6537F" w:rsidRPr="00BA75B3" w:rsidRDefault="00A6537F" w:rsidP="00A6537F">
      <w:pPr>
        <w:spacing w:line="280" w:lineRule="atLeast"/>
        <w:jc w:val="both"/>
        <w:rPr>
          <w:rFonts w:ascii="Tahoma" w:hAnsi="Tahoma" w:cs="Tahoma"/>
        </w:rPr>
      </w:pPr>
    </w:p>
    <w:p w14:paraId="16D1990F" w14:textId="77777777" w:rsidR="00A6537F" w:rsidRDefault="00A6537F" w:rsidP="00A6537F">
      <w:pPr>
        <w:spacing w:line="280" w:lineRule="atLeast"/>
        <w:jc w:val="both"/>
        <w:rPr>
          <w:rFonts w:ascii="Tahoma" w:hAnsi="Tahoma" w:cs="Tahoma"/>
        </w:rPr>
      </w:pPr>
      <w:r w:rsidRPr="00BA75B3">
        <w:rPr>
          <w:rFonts w:ascii="Tahoma" w:hAnsi="Tahoma" w:cs="Tahoma"/>
        </w:rPr>
        <w:t>7.1.1. As cotas do FUNDO terão seu valor calculado a cada dia útil, com base em avaliação patrimonial que considere os critérios de avaliação previstos na regulamentação em vigor.</w:t>
      </w:r>
    </w:p>
    <w:p w14:paraId="01E99A10" w14:textId="77777777" w:rsidR="00A6537F" w:rsidRPr="00BA75B3" w:rsidRDefault="00A6537F" w:rsidP="00A6537F">
      <w:pPr>
        <w:spacing w:line="280" w:lineRule="atLeast"/>
        <w:jc w:val="both"/>
        <w:rPr>
          <w:rFonts w:ascii="Tahoma" w:hAnsi="Tahoma" w:cs="Tahoma"/>
        </w:rPr>
      </w:pPr>
    </w:p>
    <w:p w14:paraId="79C80178" w14:textId="77777777" w:rsidR="00A6537F" w:rsidRPr="00BA75B3" w:rsidRDefault="00A6537F" w:rsidP="00A6537F">
      <w:pPr>
        <w:spacing w:line="280" w:lineRule="atLeast"/>
        <w:jc w:val="both"/>
        <w:rPr>
          <w:rFonts w:ascii="Tahoma" w:hAnsi="Tahoma" w:cs="Tahoma"/>
        </w:rPr>
      </w:pPr>
      <w:r w:rsidRPr="00BA75B3">
        <w:rPr>
          <w:rFonts w:ascii="Tahoma" w:hAnsi="Tahoma" w:cs="Tahoma"/>
        </w:rPr>
        <w:t xml:space="preserve">7.2. </w:t>
      </w:r>
      <w:r w:rsidRPr="003E0143">
        <w:rPr>
          <w:rFonts w:ascii="Tahoma" w:hAnsi="Tahoma" w:cs="Tahoma"/>
        </w:rPr>
        <w:t>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Pr>
          <w:rFonts w:ascii="Tahoma" w:hAnsi="Tahoma" w:cs="Tahoma"/>
        </w:rPr>
        <w:t>.</w:t>
      </w:r>
    </w:p>
    <w:p w14:paraId="08ED5881" w14:textId="77777777" w:rsidR="00A6537F" w:rsidRPr="00BA75B3" w:rsidRDefault="00A6537F" w:rsidP="00A6537F">
      <w:pPr>
        <w:spacing w:line="280" w:lineRule="atLeast"/>
        <w:jc w:val="both"/>
        <w:rPr>
          <w:rFonts w:ascii="Tahoma" w:hAnsi="Tahoma" w:cs="Tahoma"/>
        </w:rPr>
      </w:pPr>
    </w:p>
    <w:p w14:paraId="1468F34E" w14:textId="77777777" w:rsidR="00A6537F" w:rsidRDefault="00A6537F" w:rsidP="00A6537F">
      <w:pPr>
        <w:spacing w:line="280" w:lineRule="atLeast"/>
        <w:jc w:val="both"/>
        <w:rPr>
          <w:rFonts w:ascii="Tahoma" w:hAnsi="Tahoma" w:cs="Tahoma"/>
        </w:rPr>
      </w:pPr>
      <w:r w:rsidRPr="00BA75B3">
        <w:rPr>
          <w:rFonts w:ascii="Tahoma" w:hAnsi="Tahoma" w:cs="Tahoma"/>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p>
    <w:p w14:paraId="194AB1C8" w14:textId="77777777" w:rsidR="00A6537F" w:rsidRPr="00BA75B3" w:rsidRDefault="00A6537F" w:rsidP="00A6537F">
      <w:pPr>
        <w:spacing w:line="280" w:lineRule="atLeast"/>
        <w:jc w:val="both"/>
        <w:rPr>
          <w:rFonts w:ascii="Tahoma" w:hAnsi="Tahoma" w:cs="Tahoma"/>
        </w:rPr>
      </w:pPr>
    </w:p>
    <w:p w14:paraId="61931335" w14:textId="77777777" w:rsidR="00A6537F" w:rsidRPr="00BA75B3" w:rsidRDefault="00A6537F" w:rsidP="00A6537F">
      <w:pPr>
        <w:spacing w:line="280" w:lineRule="atLeast"/>
        <w:jc w:val="both"/>
        <w:rPr>
          <w:rFonts w:ascii="Tahoma" w:hAnsi="Tahoma" w:cs="Tahoma"/>
        </w:rPr>
      </w:pPr>
      <w:r w:rsidRPr="00BA75B3">
        <w:rPr>
          <w:rFonts w:ascii="Tahoma" w:hAnsi="Tahoma" w:cs="Tahoma"/>
        </w:rPr>
        <w:t>7.3.1. Considerando a atuação do FUNDO e/ou dos fundos de investimento em que o FUNDO aplica em mercados no exterior, o encerramento do dia poderá ser considerado como o horário de fechamento dos respectivos mercados nos quais atuem.</w:t>
      </w:r>
    </w:p>
    <w:p w14:paraId="6254B204" w14:textId="77777777" w:rsidR="00A6537F" w:rsidRPr="00BA75B3" w:rsidRDefault="00A6537F" w:rsidP="00A6537F">
      <w:pPr>
        <w:jc w:val="both"/>
        <w:rPr>
          <w:rFonts w:ascii="Tahoma" w:hAnsi="Tahoma" w:cs="Tahoma"/>
        </w:rPr>
      </w:pPr>
    </w:p>
    <w:p w14:paraId="663E3485" w14:textId="77777777" w:rsidR="00A6537F" w:rsidRPr="00BA75B3" w:rsidRDefault="00A6537F" w:rsidP="00A6537F">
      <w:pPr>
        <w:spacing w:line="280" w:lineRule="atLeast"/>
        <w:jc w:val="both"/>
        <w:rPr>
          <w:rFonts w:ascii="Tahoma" w:hAnsi="Tahoma" w:cs="Tahoma"/>
        </w:rPr>
      </w:pPr>
      <w:r w:rsidRPr="00BA75B3">
        <w:rPr>
          <w:rFonts w:ascii="Tahoma" w:hAnsi="Tahoma" w:cs="Tahoma"/>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7B71AFD3" w14:textId="77777777" w:rsidR="00A6537F" w:rsidRPr="00BA75B3" w:rsidRDefault="00A6537F" w:rsidP="00A6537F">
      <w:pPr>
        <w:spacing w:line="280" w:lineRule="atLeast"/>
        <w:jc w:val="both"/>
        <w:rPr>
          <w:rFonts w:ascii="Tahoma" w:hAnsi="Tahoma" w:cs="Tahoma"/>
        </w:rPr>
      </w:pPr>
    </w:p>
    <w:p w14:paraId="537325DE" w14:textId="77777777" w:rsidR="00A6537F" w:rsidRPr="00BA75B3" w:rsidRDefault="00A6537F" w:rsidP="00A6537F">
      <w:pPr>
        <w:spacing w:line="280" w:lineRule="atLeast"/>
        <w:jc w:val="both"/>
        <w:rPr>
          <w:rFonts w:ascii="Tahoma" w:hAnsi="Tahoma" w:cs="Tahoma"/>
        </w:rPr>
      </w:pPr>
      <w:r w:rsidRPr="00BA75B3">
        <w:rPr>
          <w:rFonts w:ascii="Tahoma" w:hAnsi="Tahoma" w:cs="Tahoma"/>
        </w:rPr>
        <w:t>7.5. A qualidade dos Cotistas caracteriza-se pela inscrição do nome do titular no registro de Cotistas do FUNDO.</w:t>
      </w:r>
    </w:p>
    <w:p w14:paraId="03808500" w14:textId="77777777" w:rsidR="00A6537F" w:rsidRPr="00BA75B3" w:rsidRDefault="00A6537F" w:rsidP="00A6537F">
      <w:pPr>
        <w:spacing w:line="280" w:lineRule="atLeast"/>
        <w:jc w:val="both"/>
        <w:rPr>
          <w:rFonts w:ascii="Tahoma" w:hAnsi="Tahoma" w:cs="Tahoma"/>
        </w:rPr>
      </w:pPr>
    </w:p>
    <w:p w14:paraId="747B122F" w14:textId="77777777" w:rsidR="00A6537F" w:rsidRPr="00BA75B3" w:rsidRDefault="00A6537F" w:rsidP="00A6537F">
      <w:pPr>
        <w:spacing w:line="280" w:lineRule="atLeast"/>
        <w:jc w:val="both"/>
        <w:rPr>
          <w:rFonts w:ascii="Tahoma" w:hAnsi="Tahoma" w:cs="Tahoma"/>
        </w:rPr>
      </w:pPr>
      <w:r w:rsidRPr="00BA75B3">
        <w:rPr>
          <w:rFonts w:ascii="Tahoma" w:hAnsi="Tahoma" w:cs="Tahoma"/>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30759654" w14:textId="77777777" w:rsidR="00A6537F" w:rsidRPr="00BA75B3" w:rsidRDefault="00A6537F" w:rsidP="00A6537F">
      <w:pPr>
        <w:spacing w:line="280" w:lineRule="atLeast"/>
        <w:jc w:val="both"/>
        <w:rPr>
          <w:rFonts w:ascii="Tahoma" w:hAnsi="Tahoma" w:cs="Tahoma"/>
        </w:rPr>
      </w:pPr>
    </w:p>
    <w:p w14:paraId="2A14D4BB" w14:textId="77777777" w:rsidR="00A6537F" w:rsidRPr="00BA75B3" w:rsidRDefault="00A6537F" w:rsidP="00A6537F">
      <w:pPr>
        <w:spacing w:line="280" w:lineRule="atLeast"/>
        <w:jc w:val="both"/>
        <w:rPr>
          <w:rFonts w:ascii="Tahoma" w:hAnsi="Tahoma" w:cs="Tahoma"/>
        </w:rPr>
      </w:pPr>
      <w:r w:rsidRPr="00BA75B3">
        <w:rPr>
          <w:rFonts w:ascii="Tahoma" w:hAnsi="Tahoma" w:cs="Tahoma"/>
        </w:rPr>
        <w:t>7.6. A adesão dos Cotistas aos termos deste Regulamento dar-se-á pela assinatura do Termo de Adesão e Ciência de Risco ou mediante manifestação de aceite por meio eletrônico, através do qual atestam que tiveram acesso ao Regulamento do FUNDO e que conhecem, entendem e aceitam os riscos nele descritos, aos quais os investimentos do FUNDO estão expostos em razão dos mercados de sua atuação.</w:t>
      </w:r>
    </w:p>
    <w:p w14:paraId="7C31D6F5" w14:textId="77777777" w:rsidR="00A6537F" w:rsidRPr="00BA75B3" w:rsidRDefault="00A6537F" w:rsidP="00A6537F">
      <w:pPr>
        <w:spacing w:line="280" w:lineRule="atLeast"/>
        <w:jc w:val="both"/>
        <w:rPr>
          <w:rFonts w:ascii="Tahoma" w:hAnsi="Tahoma" w:cs="Tahoma"/>
        </w:rPr>
      </w:pPr>
    </w:p>
    <w:p w14:paraId="1F106AB8" w14:textId="77777777" w:rsidR="00A6537F" w:rsidRPr="00BA75B3" w:rsidRDefault="00A6537F" w:rsidP="00A6537F">
      <w:pPr>
        <w:spacing w:line="280" w:lineRule="atLeast"/>
        <w:jc w:val="both"/>
        <w:rPr>
          <w:rFonts w:ascii="Tahoma" w:hAnsi="Tahoma" w:cs="Tahoma"/>
        </w:rPr>
      </w:pPr>
      <w:r w:rsidRPr="00BA75B3">
        <w:rPr>
          <w:rFonts w:ascii="Tahoma" w:hAnsi="Tahoma" w:cs="Tahoma"/>
        </w:rPr>
        <w:t xml:space="preserve">7.6.1. </w:t>
      </w:r>
      <w:r w:rsidRPr="003E0143">
        <w:rPr>
          <w:rFonts w:ascii="Tahoma" w:hAnsi="Tahoma" w:cs="Tahoma"/>
        </w:rPr>
        <w:t>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w:t>
      </w:r>
    </w:p>
    <w:p w14:paraId="53DAD61B" w14:textId="77777777" w:rsidR="00A6537F" w:rsidRPr="00BA75B3" w:rsidRDefault="00A6537F" w:rsidP="00A6537F">
      <w:pPr>
        <w:spacing w:line="280" w:lineRule="atLeast"/>
        <w:jc w:val="center"/>
        <w:rPr>
          <w:rFonts w:ascii="Tahoma" w:hAnsi="Tahoma" w:cs="Tahoma"/>
        </w:rPr>
      </w:pPr>
    </w:p>
    <w:p w14:paraId="0D54ABAB" w14:textId="77777777" w:rsidR="00A6537F" w:rsidRDefault="00A6537F" w:rsidP="00A6537F">
      <w:pPr>
        <w:spacing w:line="280" w:lineRule="atLeast"/>
        <w:jc w:val="both"/>
        <w:rPr>
          <w:rFonts w:ascii="Tahoma" w:hAnsi="Tahoma" w:cs="Tahoma"/>
        </w:rPr>
      </w:pPr>
      <w:r>
        <w:rPr>
          <w:rFonts w:ascii="Tahoma" w:hAnsi="Tahoma" w:cs="Tahoma"/>
        </w:rPr>
        <w:t xml:space="preserve">7.7. </w:t>
      </w:r>
      <w:r w:rsidRPr="003E0143">
        <w:rPr>
          <w:rFonts w:ascii="Tahoma" w:hAnsi="Tahoma" w:cs="Tahoma"/>
        </w:rPr>
        <w:t>O ADMINISTRADOR poderá suspender, a qualquer momento, novas aplicações no FUNDO, podendo tal suspensão aplicar-se apenas aos novos investidores.</w:t>
      </w:r>
    </w:p>
    <w:p w14:paraId="044A7B25" w14:textId="77777777" w:rsidR="00A6537F" w:rsidRDefault="00A6537F" w:rsidP="00A6537F">
      <w:pPr>
        <w:spacing w:line="280" w:lineRule="atLeast"/>
        <w:jc w:val="both"/>
        <w:rPr>
          <w:rFonts w:ascii="Tahoma" w:hAnsi="Tahoma" w:cs="Tahoma"/>
        </w:rPr>
      </w:pPr>
    </w:p>
    <w:p w14:paraId="3862DA83" w14:textId="77777777" w:rsidR="00A6537F" w:rsidRDefault="00A6537F" w:rsidP="00A6537F">
      <w:pPr>
        <w:spacing w:line="280" w:lineRule="atLeast"/>
        <w:jc w:val="both"/>
        <w:rPr>
          <w:rFonts w:ascii="Tahoma" w:hAnsi="Tahoma" w:cs="Tahoma"/>
        </w:rPr>
      </w:pPr>
      <w:r>
        <w:rPr>
          <w:rFonts w:ascii="Tahoma" w:hAnsi="Tahoma" w:cs="Tahoma"/>
        </w:rPr>
        <w:t xml:space="preserve">7.8. </w:t>
      </w:r>
      <w:r w:rsidRPr="003E0143">
        <w:rPr>
          <w:rFonts w:ascii="Tahoma" w:hAnsi="Tahoma" w:cs="Tahoma"/>
        </w:rPr>
        <w:t>A suspensão do recebimento de novas aplicações em um dia não impede a reabertura posterior do FUNDO para aplicações.</w:t>
      </w:r>
    </w:p>
    <w:p w14:paraId="4365A38A" w14:textId="77777777" w:rsidR="00A6537F" w:rsidRPr="00BA75B3" w:rsidRDefault="00A6537F" w:rsidP="00A6537F">
      <w:pPr>
        <w:spacing w:line="280" w:lineRule="atLeast"/>
        <w:jc w:val="both"/>
        <w:rPr>
          <w:rFonts w:ascii="Tahoma" w:hAnsi="Tahoma" w:cs="Tahoma"/>
        </w:rPr>
      </w:pPr>
    </w:p>
    <w:p w14:paraId="2D3FB7B5" w14:textId="77777777" w:rsidR="00A6537F" w:rsidRPr="00BA75B3" w:rsidRDefault="00A6537F" w:rsidP="00A6537F">
      <w:pPr>
        <w:spacing w:line="280" w:lineRule="atLeast"/>
        <w:jc w:val="both"/>
        <w:rPr>
          <w:rFonts w:ascii="Tahoma" w:hAnsi="Tahoma" w:cs="Tahoma"/>
        </w:rPr>
      </w:pPr>
      <w:r w:rsidRPr="00BA75B3">
        <w:rPr>
          <w:rFonts w:ascii="Tahoma" w:hAnsi="Tahoma" w:cs="Tahoma"/>
        </w:rPr>
        <w:t>7.</w:t>
      </w:r>
      <w:r>
        <w:rPr>
          <w:rFonts w:ascii="Tahoma" w:hAnsi="Tahoma" w:cs="Tahoma"/>
        </w:rPr>
        <w:t>9</w:t>
      </w:r>
      <w:r w:rsidRPr="00BA75B3">
        <w:rPr>
          <w:rFonts w:ascii="Tahoma" w:hAnsi="Tahoma" w:cs="Tahoma"/>
        </w:rPr>
        <w:t>. A aplicação</w:t>
      </w:r>
      <w:r>
        <w:rPr>
          <w:rFonts w:ascii="Tahoma" w:hAnsi="Tahoma" w:cs="Tahoma"/>
        </w:rPr>
        <w:t xml:space="preserve"> e</w:t>
      </w:r>
      <w:r w:rsidRPr="00BA75B3">
        <w:rPr>
          <w:rFonts w:ascii="Tahoma" w:hAnsi="Tahoma" w:cs="Tahoma"/>
        </w:rPr>
        <w:t xml:space="preserve"> o resgate de cotas do FUNDO podem ser efetuados em ordem de pagamento, débito e crédito em conta corrente ou por meio de sistemas de transferência eletrônica de recursos autorizados pelo Banco Central do Brasil (“BACEN”).</w:t>
      </w:r>
    </w:p>
    <w:p w14:paraId="007754AD" w14:textId="77777777" w:rsidR="00A6537F" w:rsidRPr="00BA75B3" w:rsidRDefault="00A6537F" w:rsidP="00A6537F">
      <w:pPr>
        <w:spacing w:line="280" w:lineRule="atLeast"/>
        <w:jc w:val="both"/>
        <w:rPr>
          <w:rFonts w:ascii="Tahoma" w:hAnsi="Tahoma" w:cs="Tahoma"/>
        </w:rPr>
      </w:pPr>
    </w:p>
    <w:p w14:paraId="7CF833FB" w14:textId="77777777" w:rsidR="00A6537F" w:rsidRPr="00BA75B3" w:rsidRDefault="00A6537F" w:rsidP="00A6537F">
      <w:pPr>
        <w:spacing w:line="280" w:lineRule="atLeast"/>
        <w:jc w:val="both"/>
        <w:rPr>
          <w:rFonts w:ascii="Tahoma" w:hAnsi="Tahoma" w:cs="Tahoma"/>
        </w:rPr>
      </w:pPr>
      <w:r w:rsidRPr="00BA75B3">
        <w:rPr>
          <w:rFonts w:ascii="Tahoma" w:hAnsi="Tahoma" w:cs="Tahoma"/>
          <w:snapToGrid w:val="0"/>
        </w:rPr>
        <w:t xml:space="preserve">7.10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BA75B3">
        <w:rPr>
          <w:rFonts w:ascii="Tahoma" w:hAnsi="Tahoma" w:cs="Tahoma"/>
        </w:rPr>
        <w:t>ADMINISTRADOR</w:t>
      </w:r>
      <w:r w:rsidRPr="00BA75B3">
        <w:rPr>
          <w:rFonts w:ascii="Tahoma" w:hAnsi="Tahoma" w:cs="Tahoma"/>
          <w:snapToGrid w:val="0"/>
        </w:rPr>
        <w:t>.</w:t>
      </w:r>
    </w:p>
    <w:p w14:paraId="58EF1ACC" w14:textId="77777777" w:rsidR="00A6537F" w:rsidRPr="00BA75B3" w:rsidRDefault="00A6537F" w:rsidP="00A6537F">
      <w:pPr>
        <w:spacing w:line="280" w:lineRule="atLeast"/>
        <w:jc w:val="both"/>
        <w:rPr>
          <w:rFonts w:ascii="Tahoma" w:hAnsi="Tahoma" w:cs="Tahoma"/>
        </w:rPr>
      </w:pPr>
    </w:p>
    <w:p w14:paraId="67E3D7CD" w14:textId="77777777" w:rsidR="00A6537F" w:rsidRPr="00BA75B3" w:rsidRDefault="00A6537F" w:rsidP="00A6537F">
      <w:pPr>
        <w:spacing w:line="280" w:lineRule="atLeast"/>
        <w:jc w:val="both"/>
        <w:rPr>
          <w:rFonts w:ascii="Tahoma" w:hAnsi="Tahoma" w:cs="Tahoma"/>
        </w:rPr>
      </w:pPr>
      <w:r w:rsidRPr="00BA75B3">
        <w:rPr>
          <w:rFonts w:ascii="Tahoma" w:hAnsi="Tahoma" w:cs="Tahoma"/>
        </w:rPr>
        <w:t>7.10</w:t>
      </w:r>
      <w:r>
        <w:rPr>
          <w:rFonts w:ascii="Tahoma" w:hAnsi="Tahoma" w:cs="Tahoma"/>
        </w:rPr>
        <w:t>.1</w:t>
      </w:r>
      <w:r w:rsidRPr="00BA75B3">
        <w:rPr>
          <w:rFonts w:ascii="Tahoma" w:hAnsi="Tahoma" w:cs="Tahoma"/>
        </w:rPr>
        <w:t xml:space="preserve"> A integralização e o resgate das cotas do FUNDO poderão ser realizados em moeda corrente nacional ou em Ativos Financeiros, a critério do ADMINISTRADOR e do GESTOR e observado o disposto no item 7.11 abaixo.</w:t>
      </w:r>
    </w:p>
    <w:p w14:paraId="2ADACF8E" w14:textId="77777777" w:rsidR="00A6537F" w:rsidRPr="00BA75B3" w:rsidRDefault="00A6537F" w:rsidP="00A6537F">
      <w:pPr>
        <w:spacing w:line="280" w:lineRule="atLeast"/>
        <w:jc w:val="both"/>
        <w:rPr>
          <w:rFonts w:ascii="Tahoma" w:hAnsi="Tahoma" w:cs="Tahoma"/>
        </w:rPr>
      </w:pPr>
    </w:p>
    <w:p w14:paraId="27594CA2" w14:textId="77777777" w:rsidR="00A6537F" w:rsidRPr="00BA75B3" w:rsidRDefault="00A6537F" w:rsidP="00A6537F">
      <w:pPr>
        <w:spacing w:line="280" w:lineRule="atLeast"/>
        <w:jc w:val="both"/>
        <w:rPr>
          <w:rFonts w:ascii="Tahoma" w:hAnsi="Tahoma" w:cs="Tahoma"/>
        </w:rPr>
      </w:pPr>
      <w:r w:rsidRPr="00BA75B3">
        <w:rPr>
          <w:rFonts w:ascii="Tahoma" w:hAnsi="Tahoma" w:cs="Tahoma"/>
        </w:rPr>
        <w:t xml:space="preserve">7.11. </w:t>
      </w:r>
      <w:r w:rsidRPr="003E0143">
        <w:rPr>
          <w:rFonts w:ascii="Tahoma" w:hAnsi="Tahoma" w:cs="Tahoma"/>
        </w:rPr>
        <w:t>A integralização e o resgate das cotas poderão ser efetuados</w:t>
      </w:r>
      <w:r w:rsidRPr="004917E4">
        <w:rPr>
          <w:rFonts w:ascii="Tahoma" w:hAnsi="Tahoma" w:cs="Tahoma"/>
        </w:rPr>
        <w:t xml:space="preserve"> </w:t>
      </w:r>
      <w:r w:rsidRPr="00BA75B3">
        <w:rPr>
          <w:rFonts w:ascii="Tahoma" w:hAnsi="Tahoma" w:cs="Tahoma"/>
        </w:rPr>
        <w:t>diretamente com Ativos Financeiros, desde que sejam observadas as seguintes condições:</w:t>
      </w:r>
    </w:p>
    <w:p w14:paraId="27DDB8B9" w14:textId="77777777" w:rsidR="00A6537F" w:rsidRPr="00BA75B3" w:rsidRDefault="00A6537F" w:rsidP="00A6537F">
      <w:pPr>
        <w:spacing w:line="280" w:lineRule="atLeast"/>
        <w:jc w:val="both"/>
        <w:rPr>
          <w:rFonts w:ascii="Tahoma" w:hAnsi="Tahoma" w:cs="Tahoma"/>
        </w:rPr>
      </w:pPr>
    </w:p>
    <w:p w14:paraId="00044AD5" w14:textId="77777777" w:rsidR="00A6537F" w:rsidRPr="00BA75B3" w:rsidRDefault="00A6537F" w:rsidP="00A6537F">
      <w:pPr>
        <w:pStyle w:val="PargrafodaLista"/>
        <w:numPr>
          <w:ilvl w:val="0"/>
          <w:numId w:val="49"/>
        </w:numPr>
        <w:spacing w:line="280" w:lineRule="atLeast"/>
        <w:ind w:left="0" w:firstLine="0"/>
        <w:contextualSpacing/>
        <w:jc w:val="both"/>
        <w:rPr>
          <w:rFonts w:ascii="Tahoma" w:hAnsi="Tahoma" w:cs="Tahoma"/>
          <w:sz w:val="22"/>
          <w:szCs w:val="22"/>
          <w:lang w:val="pt-BR"/>
        </w:rPr>
      </w:pPr>
      <w:r w:rsidRPr="00BA75B3">
        <w:rPr>
          <w:rFonts w:ascii="Tahoma" w:hAnsi="Tahoma" w:cs="Tahoma"/>
          <w:sz w:val="22"/>
          <w:szCs w:val="22"/>
          <w:lang w:val="pt-BR"/>
        </w:rPr>
        <w:t>os Ativos Financeiros sejam previamente analisados e aprovados pelo GESTOR;</w:t>
      </w:r>
    </w:p>
    <w:p w14:paraId="3FB774A4" w14:textId="77777777" w:rsidR="00A6537F" w:rsidRPr="00BA75B3" w:rsidRDefault="00A6537F" w:rsidP="00A6537F">
      <w:pPr>
        <w:pStyle w:val="PargrafodaLista"/>
        <w:spacing w:line="280" w:lineRule="atLeast"/>
        <w:ind w:left="1065"/>
        <w:jc w:val="both"/>
        <w:rPr>
          <w:rFonts w:ascii="Tahoma" w:hAnsi="Tahoma" w:cs="Tahoma"/>
          <w:sz w:val="22"/>
          <w:szCs w:val="22"/>
          <w:lang w:val="pt-BR"/>
        </w:rPr>
      </w:pPr>
    </w:p>
    <w:p w14:paraId="7C02984F" w14:textId="77777777" w:rsidR="00A6537F" w:rsidRDefault="00A6537F" w:rsidP="00A6537F">
      <w:pPr>
        <w:pStyle w:val="PargrafodaLista"/>
        <w:numPr>
          <w:ilvl w:val="0"/>
          <w:numId w:val="49"/>
        </w:numPr>
        <w:spacing w:line="280" w:lineRule="atLeast"/>
        <w:ind w:left="0" w:firstLine="0"/>
        <w:contextualSpacing/>
        <w:jc w:val="both"/>
        <w:rPr>
          <w:rFonts w:ascii="Tahoma" w:hAnsi="Tahoma" w:cs="Tahoma"/>
          <w:sz w:val="22"/>
          <w:szCs w:val="22"/>
          <w:lang w:val="pt-BR"/>
        </w:rPr>
      </w:pPr>
      <w:r w:rsidRPr="003E0143">
        <w:rPr>
          <w:rFonts w:ascii="Tahoma" w:hAnsi="Tahoma" w:cs="Tahoma"/>
          <w:sz w:val="22"/>
          <w:szCs w:val="22"/>
          <w:lang w:val="pt-BR"/>
        </w:rPr>
        <w:t>na integralização de cotas</w:t>
      </w:r>
      <w:r w:rsidRPr="00BA75B3">
        <w:rPr>
          <w:rFonts w:ascii="Tahoma" w:hAnsi="Tahoma" w:cs="Tahoma"/>
          <w:sz w:val="22"/>
          <w:szCs w:val="22"/>
          <w:lang w:val="pt-BR"/>
        </w:rPr>
        <w:t>: (i) estar livres de qualquer ônus e/ou gravame, podendo ser livremente negociados; (</w:t>
      </w:r>
      <w:proofErr w:type="spellStart"/>
      <w:r w:rsidRPr="00BA75B3">
        <w:rPr>
          <w:rFonts w:ascii="Tahoma" w:hAnsi="Tahoma" w:cs="Tahoma"/>
          <w:sz w:val="22"/>
          <w:szCs w:val="22"/>
          <w:lang w:val="pt-BR"/>
        </w:rPr>
        <w:t>ii</w:t>
      </w:r>
      <w:proofErr w:type="spellEnd"/>
      <w:r w:rsidRPr="00BA75B3">
        <w:rPr>
          <w:rFonts w:ascii="Tahoma" w:hAnsi="Tahoma" w:cs="Tahoma"/>
          <w:sz w:val="22"/>
          <w:szCs w:val="22"/>
          <w:lang w:val="pt-BR"/>
        </w:rPr>
        <w:t>) ter como titular e/ou comitente o próprio cotista; (</w:t>
      </w:r>
      <w:proofErr w:type="spellStart"/>
      <w:r w:rsidRPr="00BA75B3">
        <w:rPr>
          <w:rFonts w:ascii="Tahoma" w:hAnsi="Tahoma" w:cs="Tahoma"/>
          <w:sz w:val="22"/>
          <w:szCs w:val="22"/>
          <w:lang w:val="pt-BR"/>
        </w:rPr>
        <w:t>iii</w:t>
      </w:r>
      <w:proofErr w:type="spellEnd"/>
      <w:r w:rsidRPr="00BA75B3">
        <w:rPr>
          <w:rFonts w:ascii="Tahoma" w:hAnsi="Tahoma" w:cs="Tahoma"/>
          <w:sz w:val="22"/>
          <w:szCs w:val="22"/>
          <w:lang w:val="pt-BR"/>
        </w:rPr>
        <w:t xml:space="preserve">) atender aos valores mínimos para aplicação, </w:t>
      </w:r>
      <w:r w:rsidRPr="003E0143">
        <w:rPr>
          <w:rFonts w:ascii="Tahoma" w:hAnsi="Tahoma" w:cs="Tahoma"/>
          <w:sz w:val="22"/>
          <w:szCs w:val="22"/>
          <w:lang w:val="pt-BR"/>
        </w:rPr>
        <w:t>se houver</w:t>
      </w:r>
      <w:r w:rsidRPr="00BA75B3">
        <w:rPr>
          <w:rFonts w:ascii="Tahoma" w:hAnsi="Tahoma" w:cs="Tahoma"/>
          <w:sz w:val="22"/>
          <w:szCs w:val="22"/>
          <w:lang w:val="pt-BR"/>
        </w:rPr>
        <w:t>; (</w:t>
      </w:r>
      <w:proofErr w:type="spellStart"/>
      <w:r w:rsidRPr="00BA75B3">
        <w:rPr>
          <w:rFonts w:ascii="Tahoma" w:hAnsi="Tahoma" w:cs="Tahoma"/>
          <w:sz w:val="22"/>
          <w:szCs w:val="22"/>
          <w:lang w:val="pt-BR"/>
        </w:rPr>
        <w:t>iv</w:t>
      </w:r>
      <w:proofErr w:type="spellEnd"/>
      <w:r w:rsidRPr="00BA75B3">
        <w:rPr>
          <w:rFonts w:ascii="Tahoma" w:hAnsi="Tahoma" w:cs="Tahoma"/>
          <w:sz w:val="22"/>
          <w:szCs w:val="22"/>
          <w:lang w:val="pt-BR"/>
        </w:rPr>
        <w:t>)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w:t>
      </w:r>
      <w:r>
        <w:rPr>
          <w:rFonts w:ascii="Tahoma" w:hAnsi="Tahoma" w:cs="Tahoma"/>
          <w:sz w:val="22"/>
          <w:szCs w:val="22"/>
          <w:lang w:val="pt-BR"/>
        </w:rPr>
        <w:t>;</w:t>
      </w:r>
    </w:p>
    <w:p w14:paraId="0A9A0983" w14:textId="77777777" w:rsidR="00A6537F" w:rsidRDefault="00A6537F" w:rsidP="00A6537F">
      <w:pPr>
        <w:pStyle w:val="PargrafodaLista"/>
        <w:spacing w:line="280" w:lineRule="atLeast"/>
        <w:ind w:left="0"/>
        <w:contextualSpacing/>
        <w:rPr>
          <w:rFonts w:ascii="Tahoma" w:hAnsi="Tahoma" w:cs="Tahoma"/>
          <w:sz w:val="22"/>
          <w:szCs w:val="22"/>
          <w:lang w:val="pt-BR"/>
        </w:rPr>
      </w:pPr>
    </w:p>
    <w:p w14:paraId="526B8EFA" w14:textId="77777777" w:rsidR="00A6537F" w:rsidRPr="00BA75B3" w:rsidRDefault="00A6537F" w:rsidP="00A6537F">
      <w:pPr>
        <w:pStyle w:val="PargrafodaLista"/>
        <w:numPr>
          <w:ilvl w:val="0"/>
          <w:numId w:val="49"/>
        </w:numPr>
        <w:spacing w:line="280" w:lineRule="atLeast"/>
        <w:ind w:left="0" w:firstLine="0"/>
        <w:contextualSpacing/>
        <w:jc w:val="both"/>
        <w:rPr>
          <w:rFonts w:ascii="Tahoma" w:hAnsi="Tahoma" w:cs="Tahoma"/>
          <w:sz w:val="22"/>
          <w:szCs w:val="22"/>
          <w:lang w:val="pt-BR"/>
        </w:rPr>
      </w:pPr>
      <w:r>
        <w:rPr>
          <w:rFonts w:ascii="Tahoma" w:hAnsi="Tahoma" w:cs="Tahoma"/>
          <w:sz w:val="22"/>
          <w:szCs w:val="22"/>
          <w:lang w:val="pt-BR"/>
        </w:rPr>
        <w:t>n</w:t>
      </w:r>
      <w:r w:rsidRPr="003E0143">
        <w:rPr>
          <w:rFonts w:ascii="Tahoma" w:hAnsi="Tahoma" w:cs="Tahoma"/>
          <w:sz w:val="22"/>
          <w:szCs w:val="22"/>
          <w:lang w:val="pt-BR"/>
        </w:rPr>
        <w:t>o resgate de cotas, os ativos financeiros a serem utilizados para pagamento aos Cotistas, devem: (i) estar livres de qualquer ônus e/ou gravame, podendo ser livremente negociados; (</w:t>
      </w:r>
      <w:proofErr w:type="spellStart"/>
      <w:r w:rsidRPr="003E0143">
        <w:rPr>
          <w:rFonts w:ascii="Tahoma" w:hAnsi="Tahoma" w:cs="Tahoma"/>
          <w:sz w:val="22"/>
          <w:szCs w:val="22"/>
          <w:lang w:val="pt-BR"/>
        </w:rPr>
        <w:t>ii</w:t>
      </w:r>
      <w:proofErr w:type="spellEnd"/>
      <w:r w:rsidRPr="003E0143">
        <w:rPr>
          <w:rFonts w:ascii="Tahoma" w:hAnsi="Tahoma" w:cs="Tahoma"/>
          <w:sz w:val="22"/>
          <w:szCs w:val="22"/>
          <w:lang w:val="pt-BR"/>
        </w:rPr>
        <w:t>) ter como titular e/ou comitente o próprio FUNDO; (</w:t>
      </w:r>
      <w:proofErr w:type="spellStart"/>
      <w:r w:rsidRPr="003E0143">
        <w:rPr>
          <w:rFonts w:ascii="Tahoma" w:hAnsi="Tahoma" w:cs="Tahoma"/>
          <w:sz w:val="22"/>
          <w:szCs w:val="22"/>
          <w:lang w:val="pt-BR"/>
        </w:rPr>
        <w:t>iii</w:t>
      </w:r>
      <w:proofErr w:type="spellEnd"/>
      <w:r w:rsidRPr="003E0143">
        <w:rPr>
          <w:rFonts w:ascii="Tahoma" w:hAnsi="Tahoma" w:cs="Tahoma"/>
          <w:sz w:val="22"/>
          <w:szCs w:val="22"/>
          <w:lang w:val="pt-BR"/>
        </w:rPr>
        <w:t>) atender aos valores mínimos para resgate, se houver; e (</w:t>
      </w:r>
      <w:proofErr w:type="spellStart"/>
      <w:r w:rsidRPr="003E0143">
        <w:rPr>
          <w:rFonts w:ascii="Tahoma" w:hAnsi="Tahoma" w:cs="Tahoma"/>
          <w:sz w:val="22"/>
          <w:szCs w:val="22"/>
          <w:lang w:val="pt-BR"/>
        </w:rPr>
        <w:t>iv</w:t>
      </w:r>
      <w:proofErr w:type="spellEnd"/>
      <w:r w:rsidRPr="003E0143">
        <w:rPr>
          <w:rFonts w:ascii="Tahoma" w:hAnsi="Tahoma" w:cs="Tahoma"/>
          <w:sz w:val="22"/>
          <w:szCs w:val="22"/>
          <w:lang w:val="pt-BR"/>
        </w:rPr>
        <w:t>) estar devidamente custodiados e registrados em sistema de registro e liquidação financeira de ativos autorizados pelo BACEN ou em instituições autorizadas à prestação de serviços de custódia pela CVM.</w:t>
      </w:r>
    </w:p>
    <w:p w14:paraId="0358E2FE" w14:textId="77777777" w:rsidR="00A6537F" w:rsidRPr="00BA75B3" w:rsidRDefault="00A6537F" w:rsidP="00A6537F">
      <w:pPr>
        <w:spacing w:line="280" w:lineRule="atLeast"/>
        <w:jc w:val="both"/>
        <w:rPr>
          <w:rFonts w:ascii="Tahoma" w:hAnsi="Tahoma" w:cs="Tahoma"/>
        </w:rPr>
      </w:pPr>
    </w:p>
    <w:p w14:paraId="0408D968" w14:textId="77777777" w:rsidR="00A6537F" w:rsidRPr="00BA75B3" w:rsidRDefault="00A6537F" w:rsidP="00A6537F">
      <w:pPr>
        <w:spacing w:line="280" w:lineRule="atLeast"/>
        <w:jc w:val="both"/>
        <w:rPr>
          <w:rFonts w:ascii="Tahoma" w:hAnsi="Tahoma" w:cs="Tahoma"/>
        </w:rPr>
      </w:pPr>
      <w:r w:rsidRPr="00BA75B3">
        <w:rPr>
          <w:rFonts w:ascii="Tahoma" w:hAnsi="Tahoma" w:cs="Tahoma"/>
        </w:rPr>
        <w:t xml:space="preserve">7.11.1. </w:t>
      </w:r>
      <w:r w:rsidRPr="003E0143">
        <w:rPr>
          <w:rFonts w:ascii="Tahoma" w:hAnsi="Tahoma" w:cs="Tahoma"/>
        </w:rPr>
        <w:t xml:space="preserve">Na integralização e no resgate </w:t>
      </w:r>
      <w:r>
        <w:rPr>
          <w:rFonts w:ascii="Tahoma" w:hAnsi="Tahoma" w:cs="Tahoma"/>
        </w:rPr>
        <w:t xml:space="preserve">de cotas </w:t>
      </w:r>
      <w:r w:rsidRPr="00BA75B3">
        <w:rPr>
          <w:rFonts w:ascii="Tahoma" w:hAnsi="Tahoma" w:cs="Tahoma"/>
        </w:rPr>
        <w:t>será utilizado o valor dos Ativos Financeiros precificados na Carteira do FUNDO segundo as regras e procedimentos estabelecidos no Manual de Marcação a Mercado adotado para o FUNDO.</w:t>
      </w:r>
    </w:p>
    <w:p w14:paraId="628927EC" w14:textId="77777777" w:rsidR="00A6537F" w:rsidRPr="00BA75B3" w:rsidRDefault="00A6537F" w:rsidP="00A6537F">
      <w:pPr>
        <w:spacing w:line="280" w:lineRule="atLeast"/>
        <w:jc w:val="both"/>
        <w:rPr>
          <w:rFonts w:ascii="Tahoma" w:hAnsi="Tahoma" w:cs="Tahoma"/>
          <w:highlight w:val="lightGray"/>
        </w:rPr>
      </w:pPr>
    </w:p>
    <w:p w14:paraId="42CD6AF7" w14:textId="77777777" w:rsidR="00A6537F" w:rsidRPr="00BA75B3" w:rsidRDefault="00A6537F" w:rsidP="00A6537F">
      <w:pPr>
        <w:spacing w:line="280" w:lineRule="atLeast"/>
        <w:jc w:val="both"/>
        <w:rPr>
          <w:rFonts w:ascii="Tahoma" w:hAnsi="Tahoma" w:cs="Tahoma"/>
        </w:rPr>
      </w:pPr>
      <w:r w:rsidRPr="00BA75B3">
        <w:rPr>
          <w:rFonts w:ascii="Tahoma" w:hAnsi="Tahoma" w:cs="Tahoma"/>
        </w:rPr>
        <w:t>7.11.</w:t>
      </w:r>
      <w:r>
        <w:rPr>
          <w:rFonts w:ascii="Tahoma" w:hAnsi="Tahoma" w:cs="Tahoma"/>
        </w:rPr>
        <w:t>2</w:t>
      </w:r>
      <w:r w:rsidRPr="00BA75B3">
        <w:rPr>
          <w:rFonts w:ascii="Tahoma" w:hAnsi="Tahoma" w:cs="Tahoma"/>
        </w:rPr>
        <w:t>. Na integralização e no resgate de cotas, com Ativos Financeiros deverão ser observadas as correspondentes obrigações fiscais relacionadas a tais eventos, estando, ADMINISTRADOR e os Cotistas, cientes, cada qual, de suas respectivas responsabilidades.</w:t>
      </w:r>
      <w:r w:rsidRPr="00BA75B3">
        <w:rPr>
          <w:rStyle w:val="Refdenotaderodap"/>
          <w:rFonts w:ascii="Tahoma" w:hAnsi="Tahoma" w:cs="Tahoma"/>
        </w:rPr>
        <w:t xml:space="preserve"> </w:t>
      </w:r>
    </w:p>
    <w:p w14:paraId="5D8D6497" w14:textId="77777777" w:rsidR="00A6537F" w:rsidRPr="00BA75B3" w:rsidRDefault="00A6537F" w:rsidP="00A6537F">
      <w:pPr>
        <w:spacing w:line="280" w:lineRule="atLeast"/>
        <w:jc w:val="both"/>
        <w:rPr>
          <w:rFonts w:ascii="Tahoma" w:hAnsi="Tahoma" w:cs="Tahoma"/>
        </w:rPr>
      </w:pPr>
    </w:p>
    <w:p w14:paraId="1458CD0D" w14:textId="77777777" w:rsidR="00A6537F" w:rsidRPr="00BA75B3" w:rsidRDefault="00A6537F" w:rsidP="00A6537F">
      <w:pPr>
        <w:spacing w:line="280" w:lineRule="atLeast"/>
        <w:jc w:val="both"/>
        <w:rPr>
          <w:rFonts w:ascii="Tahoma" w:hAnsi="Tahoma" w:cs="Tahoma"/>
        </w:rPr>
      </w:pPr>
      <w:r w:rsidRPr="00BA75B3">
        <w:rPr>
          <w:rFonts w:ascii="Tahoma" w:hAnsi="Tahoma" w:cs="Tahoma"/>
        </w:rPr>
        <w:lastRenderedPageBreak/>
        <w:t>7.12. Na emissão e resgate de cotas do FUNDO deverá ser observado o disposto no quadro abaixo:</w:t>
      </w:r>
    </w:p>
    <w:p w14:paraId="2DBF172F" w14:textId="77777777" w:rsidR="00A6537F" w:rsidRPr="00BA75B3" w:rsidRDefault="00A6537F" w:rsidP="00A6537F">
      <w:pPr>
        <w:spacing w:line="280" w:lineRule="atLeast"/>
        <w:jc w:val="both"/>
        <w:rPr>
          <w:rFonts w:ascii="Tahoma" w:hAnsi="Tahoma" w:cs="Tahom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2"/>
        <w:gridCol w:w="3919"/>
        <w:gridCol w:w="4166"/>
      </w:tblGrid>
      <w:tr w:rsidR="00A6537F" w:rsidRPr="00BA75B3" w14:paraId="7721543A" w14:textId="77777777" w:rsidTr="004D6B23">
        <w:trPr>
          <w:trHeight w:val="20"/>
          <w:jc w:val="center"/>
        </w:trPr>
        <w:tc>
          <w:tcPr>
            <w:tcW w:w="1134" w:type="pct"/>
            <w:vMerge w:val="restart"/>
            <w:tcBorders>
              <w:top w:val="single" w:sz="4" w:space="0" w:color="auto"/>
              <w:left w:val="single" w:sz="4" w:space="0" w:color="auto"/>
              <w:bottom w:val="single" w:sz="4" w:space="0" w:color="auto"/>
              <w:right w:val="single" w:sz="4" w:space="0" w:color="auto"/>
            </w:tcBorders>
            <w:vAlign w:val="center"/>
          </w:tcPr>
          <w:p w14:paraId="16E9270A" w14:textId="77777777" w:rsidR="00A6537F" w:rsidRPr="00BA75B3" w:rsidRDefault="00A6537F" w:rsidP="004D6B23">
            <w:pPr>
              <w:spacing w:line="280" w:lineRule="atLeast"/>
              <w:jc w:val="center"/>
              <w:rPr>
                <w:rFonts w:ascii="Tahoma" w:hAnsi="Tahoma" w:cs="Tahoma"/>
              </w:rPr>
            </w:pPr>
          </w:p>
          <w:p w14:paraId="098B709F" w14:textId="77777777" w:rsidR="00A6537F" w:rsidRPr="00BA75B3" w:rsidRDefault="00A6537F" w:rsidP="004D6B23">
            <w:pPr>
              <w:spacing w:line="280" w:lineRule="atLeast"/>
              <w:jc w:val="center"/>
              <w:rPr>
                <w:rFonts w:ascii="Tahoma" w:hAnsi="Tahoma" w:cs="Tahoma"/>
              </w:rPr>
            </w:pPr>
            <w:r w:rsidRPr="00BA75B3">
              <w:rPr>
                <w:rFonts w:ascii="Tahoma" w:hAnsi="Tahoma" w:cs="Tahoma"/>
              </w:rPr>
              <w:t>Aplicação</w:t>
            </w:r>
          </w:p>
        </w:tc>
        <w:tc>
          <w:tcPr>
            <w:tcW w:w="1874" w:type="pct"/>
            <w:tcBorders>
              <w:top w:val="single" w:sz="4" w:space="0" w:color="auto"/>
              <w:left w:val="single" w:sz="4" w:space="0" w:color="auto"/>
              <w:bottom w:val="single" w:sz="4" w:space="0" w:color="auto"/>
              <w:right w:val="single" w:sz="4" w:space="0" w:color="auto"/>
            </w:tcBorders>
            <w:shd w:val="clear" w:color="auto" w:fill="606060"/>
            <w:vAlign w:val="center"/>
            <w:hideMark/>
          </w:tcPr>
          <w:p w14:paraId="456C29E6" w14:textId="77777777" w:rsidR="00A6537F" w:rsidRPr="00BA75B3" w:rsidRDefault="00A6537F" w:rsidP="004D6B23">
            <w:pPr>
              <w:spacing w:line="280" w:lineRule="atLeast"/>
              <w:jc w:val="center"/>
              <w:rPr>
                <w:rFonts w:ascii="Tahoma" w:hAnsi="Tahoma" w:cs="Tahoma"/>
                <w:b/>
                <w:color w:val="FFFFFF"/>
              </w:rPr>
            </w:pPr>
            <w:r w:rsidRPr="00BA75B3">
              <w:rPr>
                <w:rFonts w:ascii="Tahoma" w:hAnsi="Tahoma" w:cs="Tahoma"/>
                <w:b/>
                <w:color w:val="FFFFFF"/>
              </w:rPr>
              <w:t>Disponibilidade dos Recursos</w:t>
            </w:r>
          </w:p>
        </w:tc>
        <w:tc>
          <w:tcPr>
            <w:tcW w:w="1992" w:type="pct"/>
            <w:tcBorders>
              <w:top w:val="single" w:sz="4" w:space="0" w:color="auto"/>
              <w:left w:val="single" w:sz="4" w:space="0" w:color="auto"/>
              <w:bottom w:val="single" w:sz="4" w:space="0" w:color="auto"/>
              <w:right w:val="single" w:sz="4" w:space="0" w:color="auto"/>
            </w:tcBorders>
            <w:shd w:val="clear" w:color="auto" w:fill="606060"/>
            <w:vAlign w:val="center"/>
            <w:hideMark/>
          </w:tcPr>
          <w:p w14:paraId="619047DA" w14:textId="77777777" w:rsidR="00A6537F" w:rsidRPr="00BA75B3" w:rsidRDefault="00A6537F" w:rsidP="004D6B23">
            <w:pPr>
              <w:spacing w:line="280" w:lineRule="atLeast"/>
              <w:jc w:val="center"/>
              <w:rPr>
                <w:rFonts w:ascii="Tahoma" w:hAnsi="Tahoma" w:cs="Tahoma"/>
                <w:b/>
                <w:color w:val="FFFFFF"/>
              </w:rPr>
            </w:pPr>
            <w:r w:rsidRPr="00BA75B3">
              <w:rPr>
                <w:rFonts w:ascii="Tahoma" w:hAnsi="Tahoma" w:cs="Tahoma"/>
                <w:b/>
                <w:color w:val="FFFFFF"/>
              </w:rPr>
              <w:t>Cota de conversão</w:t>
            </w:r>
          </w:p>
        </w:tc>
      </w:tr>
      <w:tr w:rsidR="00A6537F" w:rsidRPr="00BA75B3" w14:paraId="7620B471" w14:textId="77777777" w:rsidTr="004D6B23">
        <w:trPr>
          <w:trHeight w:val="20"/>
          <w:jc w:val="center"/>
        </w:trPr>
        <w:tc>
          <w:tcPr>
            <w:tcW w:w="1134" w:type="pct"/>
            <w:vMerge/>
            <w:tcBorders>
              <w:top w:val="single" w:sz="4" w:space="0" w:color="auto"/>
              <w:left w:val="single" w:sz="4" w:space="0" w:color="auto"/>
              <w:bottom w:val="single" w:sz="4" w:space="0" w:color="auto"/>
              <w:right w:val="single" w:sz="4" w:space="0" w:color="auto"/>
            </w:tcBorders>
            <w:vAlign w:val="center"/>
            <w:hideMark/>
          </w:tcPr>
          <w:p w14:paraId="54A933B3" w14:textId="77777777" w:rsidR="00A6537F" w:rsidRPr="00BA75B3" w:rsidRDefault="00A6537F" w:rsidP="004D6B23">
            <w:pPr>
              <w:rPr>
                <w:rFonts w:ascii="Tahoma" w:hAnsi="Tahoma" w:cs="Tahoma"/>
              </w:rPr>
            </w:pPr>
          </w:p>
        </w:tc>
        <w:tc>
          <w:tcPr>
            <w:tcW w:w="1874" w:type="pct"/>
            <w:tcBorders>
              <w:top w:val="single" w:sz="4" w:space="0" w:color="auto"/>
              <w:left w:val="single" w:sz="4" w:space="0" w:color="auto"/>
              <w:bottom w:val="single" w:sz="4" w:space="0" w:color="auto"/>
              <w:right w:val="single" w:sz="4" w:space="0" w:color="auto"/>
            </w:tcBorders>
            <w:vAlign w:val="center"/>
            <w:hideMark/>
          </w:tcPr>
          <w:p w14:paraId="7A3132F7" w14:textId="77777777" w:rsidR="00A6537F" w:rsidRPr="00BA75B3" w:rsidRDefault="00A6537F" w:rsidP="004D6B23">
            <w:pPr>
              <w:spacing w:line="280" w:lineRule="atLeast"/>
              <w:jc w:val="center"/>
              <w:rPr>
                <w:rFonts w:ascii="Tahoma" w:hAnsi="Tahoma" w:cs="Tahoma"/>
              </w:rPr>
            </w:pPr>
            <w:r w:rsidRPr="00BA75B3">
              <w:rPr>
                <w:rFonts w:ascii="Tahoma" w:hAnsi="Tahoma" w:cs="Tahoma"/>
              </w:rPr>
              <w:t>D+0</w:t>
            </w:r>
          </w:p>
          <w:p w14:paraId="4C7D1EDF" w14:textId="77777777" w:rsidR="00A6537F" w:rsidRPr="00BA75B3" w:rsidRDefault="00A6537F" w:rsidP="004D6B23">
            <w:pPr>
              <w:spacing w:line="280" w:lineRule="atLeast"/>
              <w:jc w:val="center"/>
              <w:rPr>
                <w:rFonts w:ascii="Tahoma" w:hAnsi="Tahoma" w:cs="Tahoma"/>
              </w:rPr>
            </w:pPr>
            <w:r w:rsidRPr="00BA75B3">
              <w:rPr>
                <w:rFonts w:ascii="Tahoma" w:hAnsi="Tahoma" w:cs="Tahoma"/>
              </w:rPr>
              <w:t xml:space="preserve">No dia da solicitação </w:t>
            </w:r>
          </w:p>
        </w:tc>
        <w:tc>
          <w:tcPr>
            <w:tcW w:w="1992" w:type="pct"/>
            <w:tcBorders>
              <w:top w:val="single" w:sz="4" w:space="0" w:color="auto"/>
              <w:left w:val="single" w:sz="4" w:space="0" w:color="auto"/>
              <w:bottom w:val="single" w:sz="4" w:space="0" w:color="auto"/>
              <w:right w:val="single" w:sz="4" w:space="0" w:color="auto"/>
            </w:tcBorders>
            <w:vAlign w:val="center"/>
            <w:hideMark/>
          </w:tcPr>
          <w:p w14:paraId="771635A3" w14:textId="77777777" w:rsidR="00A6537F" w:rsidRPr="00BA75B3" w:rsidRDefault="00A6537F" w:rsidP="004D6B23">
            <w:pPr>
              <w:spacing w:line="280" w:lineRule="atLeast"/>
              <w:jc w:val="center"/>
              <w:rPr>
                <w:rFonts w:ascii="Tahoma" w:hAnsi="Tahoma" w:cs="Tahoma"/>
              </w:rPr>
            </w:pPr>
            <w:r w:rsidRPr="00BA75B3">
              <w:rPr>
                <w:rFonts w:ascii="Tahoma" w:hAnsi="Tahoma" w:cs="Tahoma"/>
              </w:rPr>
              <w:t>D+0</w:t>
            </w:r>
          </w:p>
          <w:p w14:paraId="2A14AC3F" w14:textId="77777777" w:rsidR="00A6537F" w:rsidRPr="00BA75B3" w:rsidRDefault="00A6537F" w:rsidP="004D6B23">
            <w:pPr>
              <w:spacing w:line="280" w:lineRule="atLeast"/>
              <w:jc w:val="center"/>
              <w:rPr>
                <w:rFonts w:ascii="Tahoma" w:hAnsi="Tahoma" w:cs="Tahoma"/>
              </w:rPr>
            </w:pPr>
            <w:r w:rsidRPr="00BA75B3">
              <w:rPr>
                <w:rFonts w:ascii="Tahoma" w:hAnsi="Tahoma" w:cs="Tahoma"/>
              </w:rPr>
              <w:t>No dia da solicitação</w:t>
            </w:r>
          </w:p>
        </w:tc>
      </w:tr>
      <w:tr w:rsidR="00A6537F" w:rsidRPr="00BA75B3" w14:paraId="1D316270" w14:textId="77777777" w:rsidTr="004D6B23">
        <w:trPr>
          <w:trHeight w:val="20"/>
          <w:jc w:val="center"/>
        </w:trPr>
        <w:tc>
          <w:tcPr>
            <w:tcW w:w="1134" w:type="pct"/>
            <w:vMerge w:val="restart"/>
            <w:tcBorders>
              <w:top w:val="single" w:sz="4" w:space="0" w:color="auto"/>
              <w:left w:val="single" w:sz="4" w:space="0" w:color="auto"/>
              <w:bottom w:val="single" w:sz="4" w:space="0" w:color="auto"/>
              <w:right w:val="single" w:sz="4" w:space="0" w:color="auto"/>
            </w:tcBorders>
            <w:vAlign w:val="center"/>
          </w:tcPr>
          <w:p w14:paraId="5FB73ECC" w14:textId="77777777" w:rsidR="00A6537F" w:rsidRPr="00BA75B3" w:rsidRDefault="00A6537F" w:rsidP="004D6B23">
            <w:pPr>
              <w:spacing w:line="280" w:lineRule="atLeast"/>
              <w:jc w:val="center"/>
              <w:rPr>
                <w:rFonts w:ascii="Tahoma" w:hAnsi="Tahoma" w:cs="Tahoma"/>
              </w:rPr>
            </w:pPr>
          </w:p>
          <w:p w14:paraId="13F0F9BE" w14:textId="77777777" w:rsidR="00A6537F" w:rsidRPr="00BA75B3" w:rsidRDefault="00A6537F" w:rsidP="004D6B23">
            <w:pPr>
              <w:spacing w:line="280" w:lineRule="atLeast"/>
              <w:jc w:val="center"/>
              <w:rPr>
                <w:rFonts w:ascii="Tahoma" w:hAnsi="Tahoma" w:cs="Tahoma"/>
              </w:rPr>
            </w:pPr>
            <w:r w:rsidRPr="00BA75B3">
              <w:rPr>
                <w:rFonts w:ascii="Tahoma" w:hAnsi="Tahoma" w:cs="Tahoma"/>
              </w:rPr>
              <w:t>Resgate</w:t>
            </w:r>
          </w:p>
        </w:tc>
        <w:tc>
          <w:tcPr>
            <w:tcW w:w="1874" w:type="pct"/>
            <w:tcBorders>
              <w:top w:val="single" w:sz="4" w:space="0" w:color="auto"/>
              <w:left w:val="single" w:sz="4" w:space="0" w:color="auto"/>
              <w:bottom w:val="single" w:sz="4" w:space="0" w:color="auto"/>
              <w:right w:val="single" w:sz="4" w:space="0" w:color="auto"/>
            </w:tcBorders>
            <w:shd w:val="clear" w:color="auto" w:fill="606060"/>
            <w:vAlign w:val="center"/>
            <w:hideMark/>
          </w:tcPr>
          <w:p w14:paraId="1EA9BB80" w14:textId="77777777" w:rsidR="00A6537F" w:rsidRPr="00BA75B3" w:rsidRDefault="00A6537F" w:rsidP="004D6B23">
            <w:pPr>
              <w:spacing w:line="280" w:lineRule="atLeast"/>
              <w:jc w:val="center"/>
              <w:rPr>
                <w:rFonts w:ascii="Tahoma" w:hAnsi="Tahoma" w:cs="Tahoma"/>
                <w:b/>
                <w:color w:val="FFFFFF"/>
              </w:rPr>
            </w:pPr>
            <w:r w:rsidRPr="00BA75B3">
              <w:rPr>
                <w:rFonts w:ascii="Tahoma" w:hAnsi="Tahoma" w:cs="Tahoma"/>
                <w:b/>
                <w:color w:val="FFFFFF"/>
              </w:rPr>
              <w:t>Cota de Conversão</w:t>
            </w:r>
          </w:p>
        </w:tc>
        <w:tc>
          <w:tcPr>
            <w:tcW w:w="1992" w:type="pct"/>
            <w:tcBorders>
              <w:top w:val="single" w:sz="4" w:space="0" w:color="auto"/>
              <w:left w:val="single" w:sz="4" w:space="0" w:color="auto"/>
              <w:bottom w:val="single" w:sz="4" w:space="0" w:color="auto"/>
              <w:right w:val="single" w:sz="4" w:space="0" w:color="auto"/>
            </w:tcBorders>
            <w:shd w:val="clear" w:color="auto" w:fill="606060"/>
            <w:vAlign w:val="center"/>
            <w:hideMark/>
          </w:tcPr>
          <w:p w14:paraId="708AF04B" w14:textId="77777777" w:rsidR="00A6537F" w:rsidRPr="00BA75B3" w:rsidRDefault="00A6537F" w:rsidP="004D6B23">
            <w:pPr>
              <w:spacing w:line="280" w:lineRule="atLeast"/>
              <w:jc w:val="center"/>
              <w:rPr>
                <w:rFonts w:ascii="Tahoma" w:hAnsi="Tahoma" w:cs="Tahoma"/>
                <w:b/>
                <w:color w:val="FFFFFF"/>
              </w:rPr>
            </w:pPr>
            <w:r w:rsidRPr="00BA75B3">
              <w:rPr>
                <w:rFonts w:ascii="Tahoma" w:hAnsi="Tahoma" w:cs="Tahoma"/>
                <w:b/>
                <w:color w:val="FFFFFF"/>
              </w:rPr>
              <w:t>Pagamento / Crédito em Conta</w:t>
            </w:r>
          </w:p>
        </w:tc>
      </w:tr>
      <w:tr w:rsidR="00A6537F" w:rsidRPr="00BA75B3" w14:paraId="0268D1C6" w14:textId="77777777" w:rsidTr="004D6B23">
        <w:trPr>
          <w:trHeight w:val="20"/>
          <w:jc w:val="center"/>
        </w:trPr>
        <w:tc>
          <w:tcPr>
            <w:tcW w:w="1134" w:type="pct"/>
            <w:vMerge/>
            <w:tcBorders>
              <w:top w:val="single" w:sz="4" w:space="0" w:color="auto"/>
              <w:left w:val="single" w:sz="4" w:space="0" w:color="auto"/>
              <w:bottom w:val="single" w:sz="4" w:space="0" w:color="auto"/>
              <w:right w:val="single" w:sz="4" w:space="0" w:color="auto"/>
            </w:tcBorders>
            <w:vAlign w:val="center"/>
            <w:hideMark/>
          </w:tcPr>
          <w:p w14:paraId="0A9A1977" w14:textId="77777777" w:rsidR="00A6537F" w:rsidRPr="00BA75B3" w:rsidRDefault="00A6537F" w:rsidP="004D6B23">
            <w:pPr>
              <w:rPr>
                <w:rFonts w:ascii="Tahoma" w:hAnsi="Tahoma" w:cs="Tahoma"/>
              </w:rPr>
            </w:pPr>
          </w:p>
        </w:tc>
        <w:tc>
          <w:tcPr>
            <w:tcW w:w="1874" w:type="pct"/>
            <w:tcBorders>
              <w:top w:val="single" w:sz="4" w:space="0" w:color="auto"/>
              <w:left w:val="single" w:sz="4" w:space="0" w:color="auto"/>
              <w:bottom w:val="single" w:sz="4" w:space="0" w:color="auto"/>
              <w:right w:val="single" w:sz="4" w:space="0" w:color="auto"/>
            </w:tcBorders>
            <w:vAlign w:val="center"/>
            <w:hideMark/>
          </w:tcPr>
          <w:p w14:paraId="54CF953D" w14:textId="77777777" w:rsidR="00A6537F" w:rsidRPr="00BA75B3" w:rsidRDefault="00A6537F" w:rsidP="004D6B23">
            <w:pPr>
              <w:spacing w:line="280" w:lineRule="atLeast"/>
              <w:jc w:val="center"/>
              <w:rPr>
                <w:rFonts w:ascii="Tahoma" w:hAnsi="Tahoma" w:cs="Tahoma"/>
              </w:rPr>
            </w:pPr>
            <w:r w:rsidRPr="00BA75B3">
              <w:rPr>
                <w:rFonts w:ascii="Tahoma" w:hAnsi="Tahoma" w:cs="Tahoma"/>
              </w:rPr>
              <w:t>D+0</w:t>
            </w:r>
          </w:p>
          <w:p w14:paraId="3A9D290A" w14:textId="77777777" w:rsidR="00A6537F" w:rsidRPr="00BA75B3" w:rsidRDefault="00A6537F" w:rsidP="004D6B23">
            <w:pPr>
              <w:spacing w:line="280" w:lineRule="atLeast"/>
              <w:jc w:val="center"/>
              <w:rPr>
                <w:rFonts w:ascii="Tahoma" w:hAnsi="Tahoma" w:cs="Tahoma"/>
              </w:rPr>
            </w:pPr>
            <w:r w:rsidRPr="00BA75B3">
              <w:rPr>
                <w:rFonts w:ascii="Tahoma" w:hAnsi="Tahoma" w:cs="Tahoma"/>
              </w:rPr>
              <w:t>No dia da solicitação</w:t>
            </w:r>
          </w:p>
        </w:tc>
        <w:tc>
          <w:tcPr>
            <w:tcW w:w="1992" w:type="pct"/>
            <w:tcBorders>
              <w:top w:val="single" w:sz="4" w:space="0" w:color="auto"/>
              <w:left w:val="single" w:sz="4" w:space="0" w:color="auto"/>
              <w:bottom w:val="single" w:sz="4" w:space="0" w:color="auto"/>
              <w:right w:val="single" w:sz="4" w:space="0" w:color="auto"/>
            </w:tcBorders>
            <w:vAlign w:val="center"/>
            <w:hideMark/>
          </w:tcPr>
          <w:p w14:paraId="3A3C4358" w14:textId="77777777" w:rsidR="00A6537F" w:rsidRPr="00BA75B3" w:rsidRDefault="00A6537F" w:rsidP="004D6B23">
            <w:pPr>
              <w:spacing w:line="280" w:lineRule="atLeast"/>
              <w:jc w:val="center"/>
              <w:rPr>
                <w:rFonts w:ascii="Tahoma" w:hAnsi="Tahoma" w:cs="Tahoma"/>
              </w:rPr>
            </w:pPr>
            <w:r w:rsidRPr="00BA75B3">
              <w:rPr>
                <w:rFonts w:ascii="Tahoma" w:hAnsi="Tahoma" w:cs="Tahoma"/>
              </w:rPr>
              <w:t>D+ 1</w:t>
            </w:r>
          </w:p>
          <w:p w14:paraId="34F05139" w14:textId="77777777" w:rsidR="00A6537F" w:rsidRPr="00BA75B3" w:rsidRDefault="00A6537F" w:rsidP="004D6B23">
            <w:pPr>
              <w:spacing w:line="280" w:lineRule="atLeast"/>
              <w:jc w:val="center"/>
              <w:rPr>
                <w:rFonts w:ascii="Tahoma" w:hAnsi="Tahoma" w:cs="Tahoma"/>
              </w:rPr>
            </w:pPr>
            <w:r w:rsidRPr="00BA75B3">
              <w:rPr>
                <w:rFonts w:ascii="Tahoma" w:hAnsi="Tahoma" w:cs="Tahoma"/>
              </w:rPr>
              <w:t xml:space="preserve">No 1º dia útil seguinte ao da </w:t>
            </w:r>
            <w:r>
              <w:rPr>
                <w:rFonts w:ascii="Tahoma" w:hAnsi="Tahoma" w:cs="Tahoma"/>
              </w:rPr>
              <w:t>conversão de cotas</w:t>
            </w:r>
            <w:r w:rsidRPr="00BA75B3">
              <w:rPr>
                <w:rFonts w:ascii="Tahoma" w:hAnsi="Tahoma" w:cs="Tahoma"/>
              </w:rPr>
              <w:t xml:space="preserve"> </w:t>
            </w:r>
          </w:p>
        </w:tc>
      </w:tr>
    </w:tbl>
    <w:p w14:paraId="0A445926" w14:textId="77777777" w:rsidR="00A6537F" w:rsidRPr="00BA75B3" w:rsidRDefault="00A6537F" w:rsidP="00A6537F">
      <w:pPr>
        <w:spacing w:line="280" w:lineRule="atLeast"/>
        <w:jc w:val="both"/>
        <w:rPr>
          <w:rFonts w:ascii="Tahoma" w:hAnsi="Tahoma" w:cs="Tahoma"/>
        </w:rPr>
      </w:pPr>
    </w:p>
    <w:p w14:paraId="7B1CAD77" w14:textId="77777777" w:rsidR="00A6537F" w:rsidRPr="00BA75B3" w:rsidRDefault="00A6537F" w:rsidP="00A6537F">
      <w:pPr>
        <w:spacing w:line="280" w:lineRule="atLeast"/>
        <w:jc w:val="both"/>
        <w:rPr>
          <w:rFonts w:ascii="Tahoma" w:hAnsi="Tahoma" w:cs="Tahoma"/>
        </w:rPr>
      </w:pPr>
      <w:r w:rsidRPr="00BA75B3">
        <w:rPr>
          <w:rFonts w:ascii="Tahoma" w:hAnsi="Tahoma" w:cs="Tahoma"/>
        </w:rPr>
        <w:t xml:space="preserve">7.13. </w:t>
      </w:r>
      <w:r w:rsidRPr="003F06C9">
        <w:rPr>
          <w:rFonts w:ascii="Tahoma" w:hAnsi="Tahoma" w:cs="Tahoma"/>
        </w:rPr>
        <w:t>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1637BAF0" w14:textId="77777777" w:rsidR="00A6537F" w:rsidRPr="00BA75B3" w:rsidRDefault="00A6537F" w:rsidP="00A6537F">
      <w:pPr>
        <w:spacing w:line="280" w:lineRule="atLeast"/>
        <w:jc w:val="both"/>
        <w:rPr>
          <w:rFonts w:ascii="Tahoma" w:hAnsi="Tahoma" w:cs="Tahoma"/>
        </w:rPr>
      </w:pPr>
    </w:p>
    <w:p w14:paraId="730B5889" w14:textId="77777777" w:rsidR="00A6537F" w:rsidRDefault="00A6537F" w:rsidP="00A6537F">
      <w:pPr>
        <w:spacing w:line="280" w:lineRule="atLeast"/>
        <w:jc w:val="both"/>
        <w:rPr>
          <w:rFonts w:ascii="Tahoma" w:hAnsi="Tahoma" w:cs="Tahoma"/>
        </w:rPr>
      </w:pPr>
      <w:r w:rsidRPr="00BA75B3">
        <w:rPr>
          <w:rFonts w:ascii="Tahoma" w:hAnsi="Tahoma" w:cs="Tahoma"/>
        </w:rPr>
        <w:t>7.13.1.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p>
    <w:p w14:paraId="15506753" w14:textId="77777777" w:rsidR="00A6537F" w:rsidRDefault="00A6537F" w:rsidP="00A6537F">
      <w:pPr>
        <w:spacing w:line="280" w:lineRule="atLeast"/>
        <w:jc w:val="both"/>
        <w:rPr>
          <w:rFonts w:ascii="Tahoma" w:hAnsi="Tahoma" w:cs="Tahoma"/>
        </w:rPr>
      </w:pPr>
    </w:p>
    <w:p w14:paraId="48988FD4" w14:textId="77777777" w:rsidR="00A6537F" w:rsidRPr="00BA75B3" w:rsidRDefault="00A6537F" w:rsidP="00A6537F">
      <w:pPr>
        <w:spacing w:line="280" w:lineRule="atLeast"/>
        <w:jc w:val="both"/>
        <w:rPr>
          <w:rFonts w:ascii="Tahoma" w:hAnsi="Tahoma" w:cs="Tahoma"/>
        </w:rPr>
      </w:pPr>
      <w:r>
        <w:rPr>
          <w:rFonts w:ascii="Tahoma" w:hAnsi="Tahoma" w:cs="Tahoma"/>
        </w:rPr>
        <w:t xml:space="preserve">7.14. </w:t>
      </w:r>
      <w:r w:rsidRPr="003F06C9">
        <w:rPr>
          <w:rFonts w:ascii="Tahoma" w:hAnsi="Tahoma" w:cs="Tahoma"/>
        </w:rPr>
        <w:t>Não há prazo de carência para resgate de cotas do FUNDO, podendo as cotas do FUNDO ser resgatadas com rendimento a qualquer momento</w:t>
      </w:r>
    </w:p>
    <w:p w14:paraId="1FD28618" w14:textId="77777777" w:rsidR="00A6537F" w:rsidRPr="00BA75B3" w:rsidRDefault="00A6537F" w:rsidP="00A6537F">
      <w:pPr>
        <w:spacing w:line="280" w:lineRule="atLeast"/>
        <w:jc w:val="both"/>
        <w:rPr>
          <w:rFonts w:ascii="Tahoma" w:hAnsi="Tahoma" w:cs="Tahoma"/>
        </w:rPr>
      </w:pPr>
    </w:p>
    <w:p w14:paraId="6A6F0488" w14:textId="77777777" w:rsidR="00A6537F" w:rsidRPr="00BB0000" w:rsidRDefault="00A6537F" w:rsidP="00A6537F">
      <w:pPr>
        <w:spacing w:line="280" w:lineRule="atLeast"/>
        <w:jc w:val="both"/>
        <w:rPr>
          <w:rFonts w:ascii="Tahoma" w:hAnsi="Tahoma" w:cs="Tahoma"/>
        </w:rPr>
      </w:pPr>
      <w:r w:rsidRPr="00BA75B3">
        <w:rPr>
          <w:rFonts w:ascii="Tahoma" w:hAnsi="Tahoma" w:cs="Tahoma"/>
        </w:rPr>
        <w:t>7.1</w:t>
      </w:r>
      <w:r>
        <w:rPr>
          <w:rFonts w:ascii="Tahoma" w:hAnsi="Tahoma" w:cs="Tahoma"/>
        </w:rPr>
        <w:t>5</w:t>
      </w:r>
      <w:r w:rsidRPr="00BA75B3">
        <w:rPr>
          <w:rFonts w:ascii="Tahoma" w:hAnsi="Tahoma" w:cs="Tahoma"/>
        </w:rPr>
        <w:t xml:space="preserve">. </w:t>
      </w:r>
      <w:r w:rsidRPr="00BB0000">
        <w:rPr>
          <w:rFonts w:ascii="Tahoma" w:hAnsi="Tahoma" w:cs="Tahoma"/>
        </w:rPr>
        <w:t>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400DCFFD" w14:textId="77777777" w:rsidR="00A6537F" w:rsidRPr="00BB0000" w:rsidRDefault="00A6537F" w:rsidP="00A6537F">
      <w:pPr>
        <w:spacing w:line="280" w:lineRule="atLeast"/>
        <w:jc w:val="both"/>
        <w:rPr>
          <w:rFonts w:ascii="Tahoma" w:hAnsi="Tahoma" w:cs="Tahoma"/>
        </w:rPr>
      </w:pPr>
    </w:p>
    <w:p w14:paraId="6CF0FD0A" w14:textId="77777777" w:rsidR="00A6537F" w:rsidRPr="00BA75B3" w:rsidRDefault="00A6537F" w:rsidP="00A6537F">
      <w:pPr>
        <w:spacing w:line="280" w:lineRule="atLeast"/>
        <w:jc w:val="both"/>
        <w:rPr>
          <w:rFonts w:ascii="Tahoma" w:hAnsi="Tahoma" w:cs="Tahoma"/>
        </w:rPr>
      </w:pPr>
      <w:r w:rsidRPr="00BB0000">
        <w:rPr>
          <w:rFonts w:ascii="Tahoma" w:hAnsi="Tahoma" w:cs="Tahoma"/>
        </w:rPr>
        <w:t>7.1</w:t>
      </w:r>
      <w:r>
        <w:rPr>
          <w:rFonts w:ascii="Tahoma" w:hAnsi="Tahoma" w:cs="Tahoma"/>
        </w:rPr>
        <w:t>5</w:t>
      </w:r>
      <w:r w:rsidRPr="00BB0000">
        <w:rPr>
          <w:rFonts w:ascii="Tahoma" w:hAnsi="Tahoma" w:cs="Tahoma"/>
        </w:rPr>
        <w:t>.1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74286A8E" w14:textId="77777777" w:rsidR="00A6537F" w:rsidRPr="00BA75B3" w:rsidRDefault="00A6537F" w:rsidP="00A6537F">
      <w:pPr>
        <w:spacing w:line="280" w:lineRule="atLeast"/>
        <w:jc w:val="both"/>
        <w:rPr>
          <w:rFonts w:ascii="Tahoma" w:hAnsi="Tahoma" w:cs="Tahoma"/>
        </w:rPr>
      </w:pPr>
    </w:p>
    <w:p w14:paraId="4D8CC897" w14:textId="77777777" w:rsidR="00A6537F" w:rsidRPr="00BA75B3" w:rsidRDefault="00A6537F" w:rsidP="00A6537F">
      <w:pPr>
        <w:pBdr>
          <w:bottom w:val="single" w:sz="6" w:space="1" w:color="auto"/>
        </w:pBdr>
        <w:spacing w:line="280" w:lineRule="atLeast"/>
        <w:jc w:val="center"/>
        <w:rPr>
          <w:rFonts w:ascii="Tahoma" w:hAnsi="Tahoma" w:cs="Tahoma"/>
          <w:b/>
        </w:rPr>
      </w:pPr>
      <w:r w:rsidRPr="00BA75B3">
        <w:rPr>
          <w:rFonts w:ascii="Tahoma" w:hAnsi="Tahoma" w:cs="Tahoma"/>
          <w:b/>
        </w:rPr>
        <w:t>CLÁUSULA OITAVA – DA DISTRIBUIÇÃO DE RESULTADOS</w:t>
      </w:r>
    </w:p>
    <w:p w14:paraId="2CF81E33" w14:textId="77777777" w:rsidR="00A6537F" w:rsidRPr="00BA75B3" w:rsidRDefault="00A6537F" w:rsidP="00A6537F">
      <w:pPr>
        <w:spacing w:line="280" w:lineRule="atLeast"/>
        <w:jc w:val="both"/>
        <w:rPr>
          <w:rFonts w:ascii="Tahoma" w:hAnsi="Tahoma" w:cs="Tahoma"/>
          <w:b/>
        </w:rPr>
      </w:pPr>
    </w:p>
    <w:p w14:paraId="45AB6018" w14:textId="77777777" w:rsidR="00A6537F" w:rsidRPr="00BA75B3" w:rsidRDefault="00A6537F" w:rsidP="00A6537F">
      <w:pPr>
        <w:spacing w:line="280" w:lineRule="atLeast"/>
        <w:jc w:val="both"/>
        <w:rPr>
          <w:rFonts w:ascii="Tahoma" w:hAnsi="Tahoma" w:cs="Tahoma"/>
        </w:rPr>
      </w:pPr>
      <w:r w:rsidRPr="00BA75B3">
        <w:rPr>
          <w:rFonts w:ascii="Tahoma" w:hAnsi="Tahoma" w:cs="Tahoma"/>
        </w:rPr>
        <w:t>8.1. Os resultados oriundos dos Ativos Financeiros integrantes da Carteira do FUNDO serão incorporados ao seu patrimônio.</w:t>
      </w:r>
    </w:p>
    <w:p w14:paraId="5A926331" w14:textId="77777777" w:rsidR="00A6537F" w:rsidRPr="00BA75B3" w:rsidRDefault="00A6537F" w:rsidP="00A6537F">
      <w:pPr>
        <w:spacing w:line="280" w:lineRule="atLeast"/>
        <w:jc w:val="both"/>
        <w:rPr>
          <w:rFonts w:ascii="Tahoma" w:hAnsi="Tahoma" w:cs="Tahoma"/>
        </w:rPr>
      </w:pPr>
    </w:p>
    <w:p w14:paraId="3CF42CE9" w14:textId="77777777" w:rsidR="00A6537F" w:rsidRPr="00BA75B3" w:rsidRDefault="00A6537F" w:rsidP="00A6537F">
      <w:pPr>
        <w:pBdr>
          <w:bottom w:val="single" w:sz="6" w:space="1" w:color="auto"/>
        </w:pBdr>
        <w:spacing w:line="280" w:lineRule="atLeast"/>
        <w:jc w:val="center"/>
        <w:rPr>
          <w:rFonts w:ascii="Tahoma" w:hAnsi="Tahoma" w:cs="Tahoma"/>
          <w:b/>
        </w:rPr>
      </w:pPr>
      <w:r w:rsidRPr="00BA75B3">
        <w:rPr>
          <w:rFonts w:ascii="Tahoma" w:hAnsi="Tahoma" w:cs="Tahoma"/>
          <w:b/>
        </w:rPr>
        <w:t>CLÁUSULA NONA– DO EXERCÍCIO SOCIAL</w:t>
      </w:r>
    </w:p>
    <w:p w14:paraId="7E6BC5E0" w14:textId="77777777" w:rsidR="00A6537F" w:rsidRPr="00BA75B3" w:rsidRDefault="00A6537F" w:rsidP="00A6537F">
      <w:pPr>
        <w:spacing w:line="280" w:lineRule="atLeast"/>
        <w:jc w:val="both"/>
        <w:rPr>
          <w:rFonts w:ascii="Tahoma" w:hAnsi="Tahoma" w:cs="Tahoma"/>
        </w:rPr>
      </w:pPr>
    </w:p>
    <w:p w14:paraId="07931D69" w14:textId="77777777" w:rsidR="00A6537F" w:rsidRPr="00BA75B3" w:rsidRDefault="00A6537F" w:rsidP="00A6537F">
      <w:pPr>
        <w:spacing w:line="280" w:lineRule="atLeast"/>
        <w:jc w:val="both"/>
        <w:rPr>
          <w:rFonts w:ascii="Tahoma" w:hAnsi="Tahoma" w:cs="Tahoma"/>
        </w:rPr>
      </w:pPr>
      <w:r w:rsidRPr="00BA75B3">
        <w:rPr>
          <w:rFonts w:ascii="Tahoma" w:hAnsi="Tahoma" w:cs="Tahoma"/>
        </w:rPr>
        <w:t xml:space="preserve">9.1. O exercício social do FUNDO terá início em 1º de fevereiro de cada ano e término </w:t>
      </w:r>
      <w:r w:rsidRPr="00BA75B3">
        <w:rPr>
          <w:rFonts w:ascii="Tahoma" w:hAnsi="Tahoma" w:cs="Tahoma"/>
          <w:color w:val="000000"/>
        </w:rPr>
        <w:t xml:space="preserve">no último dia do mês de </w:t>
      </w:r>
      <w:r w:rsidRPr="00BA75B3">
        <w:rPr>
          <w:rFonts w:ascii="Tahoma" w:hAnsi="Tahoma" w:cs="Tahoma"/>
        </w:rPr>
        <w:t>janeiro do ano subsequente.</w:t>
      </w:r>
    </w:p>
    <w:p w14:paraId="31DC0283" w14:textId="77777777" w:rsidR="00A6537F" w:rsidRPr="00BA75B3" w:rsidRDefault="00A6537F" w:rsidP="00A6537F">
      <w:pPr>
        <w:spacing w:line="280" w:lineRule="atLeast"/>
        <w:jc w:val="both"/>
        <w:rPr>
          <w:rFonts w:ascii="Tahoma" w:hAnsi="Tahoma" w:cs="Tahoma"/>
        </w:rPr>
      </w:pPr>
      <w:r w:rsidRPr="00BA75B3">
        <w:rPr>
          <w:rFonts w:ascii="Tahoma" w:hAnsi="Tahoma" w:cs="Tahoma"/>
        </w:rPr>
        <w:t xml:space="preserve"> </w:t>
      </w:r>
    </w:p>
    <w:p w14:paraId="60592C5C" w14:textId="77777777" w:rsidR="00A6537F" w:rsidRPr="00BA75B3" w:rsidRDefault="00A6537F" w:rsidP="00A6537F">
      <w:pPr>
        <w:pBdr>
          <w:bottom w:val="single" w:sz="6" w:space="1" w:color="auto"/>
        </w:pBdr>
        <w:spacing w:line="280" w:lineRule="atLeast"/>
        <w:jc w:val="center"/>
        <w:rPr>
          <w:rFonts w:ascii="Tahoma" w:hAnsi="Tahoma" w:cs="Tahoma"/>
          <w:b/>
        </w:rPr>
      </w:pPr>
      <w:r w:rsidRPr="00BA75B3">
        <w:rPr>
          <w:rFonts w:ascii="Tahoma" w:hAnsi="Tahoma" w:cs="Tahoma"/>
          <w:b/>
        </w:rPr>
        <w:t>CLÁUSULA DEZ – DA ASSEMBLEIA GERAL</w:t>
      </w:r>
    </w:p>
    <w:p w14:paraId="5807BE48" w14:textId="77777777" w:rsidR="00A6537F" w:rsidRPr="00BA75B3" w:rsidRDefault="00A6537F" w:rsidP="00A6537F">
      <w:pPr>
        <w:spacing w:line="280" w:lineRule="atLeast"/>
        <w:jc w:val="both"/>
        <w:rPr>
          <w:rFonts w:ascii="Tahoma" w:hAnsi="Tahoma" w:cs="Tahoma"/>
        </w:rPr>
      </w:pPr>
    </w:p>
    <w:p w14:paraId="3C1BA979" w14:textId="77777777" w:rsidR="00A6537F" w:rsidRPr="00BA75B3" w:rsidRDefault="00A6537F" w:rsidP="00A6537F">
      <w:pPr>
        <w:jc w:val="both"/>
        <w:rPr>
          <w:rFonts w:ascii="Tahoma" w:hAnsi="Tahoma" w:cs="Tahoma"/>
        </w:rPr>
      </w:pPr>
      <w:r w:rsidRPr="00BA75B3">
        <w:rPr>
          <w:rFonts w:ascii="Tahoma" w:hAnsi="Tahoma" w:cs="Tahoma"/>
        </w:rPr>
        <w:t>10.1.</w:t>
      </w:r>
      <w:r w:rsidRPr="00BA75B3">
        <w:rPr>
          <w:rFonts w:ascii="Tahoma" w:hAnsi="Tahoma" w:cs="Tahoma"/>
        </w:rPr>
        <w:tab/>
        <w:t>Os Cotistas se reunirão anualmente, em até 120 dias após o encerramento do exercício social, para deliberar sobre as demonstrações contábeis do FUNDO, e, extraordinariamente, sempre que necessário.</w:t>
      </w:r>
    </w:p>
    <w:p w14:paraId="0C414E38" w14:textId="77777777" w:rsidR="00A6537F" w:rsidRPr="00BA75B3" w:rsidRDefault="00A6537F" w:rsidP="00A6537F">
      <w:pPr>
        <w:jc w:val="both"/>
        <w:rPr>
          <w:rFonts w:ascii="Tahoma" w:hAnsi="Tahoma" w:cs="Tahoma"/>
        </w:rPr>
      </w:pPr>
    </w:p>
    <w:p w14:paraId="406263DB" w14:textId="77777777" w:rsidR="00A6537F" w:rsidRPr="00BA75B3" w:rsidRDefault="00A6537F" w:rsidP="00A6537F">
      <w:pPr>
        <w:jc w:val="both"/>
        <w:rPr>
          <w:rFonts w:ascii="Tahoma" w:hAnsi="Tahoma" w:cs="Tahoma"/>
        </w:rPr>
      </w:pPr>
      <w:r w:rsidRPr="00BA75B3">
        <w:rPr>
          <w:rFonts w:ascii="Tahoma" w:hAnsi="Tahoma" w:cs="Tahoma"/>
        </w:rPr>
        <w:t>10.2.</w:t>
      </w:r>
      <w:r w:rsidRPr="00BA75B3">
        <w:rPr>
          <w:rFonts w:ascii="Tahoma" w:hAnsi="Tahoma" w:cs="Tahoma"/>
        </w:rPr>
        <w:tab/>
        <w:t xml:space="preserve">A convocação da Assembleia Geral far-se-á com, no mínimo, 10 dias de antecedência da data da realização da Assembleia Geral, por meio de correspondência, escrita ou eletrônica, encaminhada a cada um dos Cotistas. </w:t>
      </w:r>
    </w:p>
    <w:p w14:paraId="199D942A" w14:textId="77777777" w:rsidR="00A6537F" w:rsidRPr="00BA75B3" w:rsidRDefault="00A6537F" w:rsidP="00A6537F">
      <w:pPr>
        <w:jc w:val="both"/>
        <w:rPr>
          <w:rFonts w:ascii="Tahoma" w:hAnsi="Tahoma" w:cs="Tahoma"/>
        </w:rPr>
      </w:pPr>
    </w:p>
    <w:p w14:paraId="4D49CD4C" w14:textId="77777777" w:rsidR="00A6537F" w:rsidRPr="00BA75B3" w:rsidRDefault="00A6537F" w:rsidP="00A6537F">
      <w:pPr>
        <w:jc w:val="both"/>
        <w:rPr>
          <w:rFonts w:ascii="Tahoma" w:hAnsi="Tahoma" w:cs="Tahoma"/>
        </w:rPr>
      </w:pPr>
      <w:r w:rsidRPr="00BA75B3">
        <w:rPr>
          <w:rFonts w:ascii="Tahoma" w:hAnsi="Tahoma" w:cs="Tahoma"/>
        </w:rPr>
        <w:t>10.3.</w:t>
      </w:r>
      <w:r w:rsidRPr="00BA75B3">
        <w:rPr>
          <w:rFonts w:ascii="Tahoma" w:hAnsi="Tahoma" w:cs="Tahoma"/>
        </w:rPr>
        <w:tab/>
        <w:t>Das convocações constarão, obrigatoriamente, dia, hora e local em que será realizada a assembleia e, ainda, todas as matérias a serem deliberadas.</w:t>
      </w:r>
    </w:p>
    <w:p w14:paraId="2355C5BC" w14:textId="77777777" w:rsidR="00A6537F" w:rsidRPr="00BA75B3" w:rsidRDefault="00A6537F" w:rsidP="00A6537F">
      <w:pPr>
        <w:widowControl w:val="0"/>
        <w:jc w:val="both"/>
        <w:rPr>
          <w:rFonts w:ascii="Tahoma" w:hAnsi="Tahoma" w:cs="Tahoma"/>
        </w:rPr>
      </w:pPr>
    </w:p>
    <w:p w14:paraId="2C8F9111" w14:textId="77777777" w:rsidR="00A6537F" w:rsidRPr="00BA75B3" w:rsidRDefault="00A6537F" w:rsidP="00A6537F">
      <w:pPr>
        <w:jc w:val="both"/>
        <w:rPr>
          <w:rFonts w:ascii="Tahoma" w:hAnsi="Tahoma" w:cs="Tahoma"/>
        </w:rPr>
      </w:pPr>
      <w:r w:rsidRPr="00BA75B3">
        <w:rPr>
          <w:rFonts w:ascii="Tahoma" w:hAnsi="Tahoma" w:cs="Tahoma"/>
        </w:rPr>
        <w:lastRenderedPageBreak/>
        <w:t>10.4.</w:t>
      </w:r>
      <w:r w:rsidRPr="00BA75B3">
        <w:rPr>
          <w:rFonts w:ascii="Tahoma" w:hAnsi="Tahoma" w:cs="Tahoma"/>
        </w:rPr>
        <w:tab/>
        <w:t xml:space="preserve">A Assembleia Geral poderá ser convocada pelo ADMINISTRADOR, pelo GESTOR, pelo CUSTODIANTE ou </w:t>
      </w:r>
      <w:proofErr w:type="gramStart"/>
      <w:r w:rsidRPr="00BA75B3">
        <w:rPr>
          <w:rFonts w:ascii="Tahoma" w:hAnsi="Tahoma" w:cs="Tahoma"/>
        </w:rPr>
        <w:t>por Cotistas</w:t>
      </w:r>
      <w:proofErr w:type="gramEnd"/>
      <w:r w:rsidRPr="00BA75B3">
        <w:rPr>
          <w:rFonts w:ascii="Tahoma" w:hAnsi="Tahoma" w:cs="Tahoma"/>
        </w:rPr>
        <w:t xml:space="preserve"> que detenham, no mínimo, 5% do total das cotas emitidas pelo FUNDO e poderá ser instalada com qualquer número de Cotistas, cabendo a cada cota um voto. </w:t>
      </w:r>
    </w:p>
    <w:p w14:paraId="1ABD15DD" w14:textId="77777777" w:rsidR="00A6537F" w:rsidRPr="00BA75B3" w:rsidRDefault="00A6537F" w:rsidP="00A6537F">
      <w:pPr>
        <w:jc w:val="both"/>
        <w:rPr>
          <w:rFonts w:ascii="Tahoma" w:hAnsi="Tahoma" w:cs="Tahoma"/>
        </w:rPr>
      </w:pPr>
    </w:p>
    <w:p w14:paraId="62FC8D35" w14:textId="77777777" w:rsidR="00A6537F" w:rsidRPr="00BA75B3" w:rsidRDefault="00A6537F" w:rsidP="00A6537F">
      <w:pPr>
        <w:jc w:val="both"/>
        <w:rPr>
          <w:rFonts w:ascii="Tahoma" w:hAnsi="Tahoma" w:cs="Tahoma"/>
        </w:rPr>
      </w:pPr>
      <w:r w:rsidRPr="00BA75B3">
        <w:rPr>
          <w:rFonts w:ascii="Tahoma" w:hAnsi="Tahoma" w:cs="Tahoma"/>
        </w:rPr>
        <w:t>10.5.</w:t>
      </w:r>
      <w:r w:rsidRPr="00BA75B3">
        <w:rPr>
          <w:rFonts w:ascii="Tahoma" w:hAnsi="Tahoma" w:cs="Tahoma"/>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0DC226DD" w14:textId="77777777" w:rsidR="00A6537F" w:rsidRPr="00BA75B3" w:rsidRDefault="00A6537F" w:rsidP="00A6537F">
      <w:pPr>
        <w:jc w:val="both"/>
        <w:rPr>
          <w:rFonts w:ascii="Tahoma" w:hAnsi="Tahoma" w:cs="Tahoma"/>
        </w:rPr>
      </w:pPr>
    </w:p>
    <w:p w14:paraId="6C59A262" w14:textId="77777777" w:rsidR="00A6537F" w:rsidRPr="00BA75B3" w:rsidRDefault="00A6537F" w:rsidP="00A6537F">
      <w:pPr>
        <w:jc w:val="both"/>
        <w:rPr>
          <w:rFonts w:ascii="Tahoma" w:hAnsi="Tahoma" w:cs="Tahoma"/>
        </w:rPr>
      </w:pPr>
      <w:r w:rsidRPr="00BA75B3">
        <w:rPr>
          <w:rFonts w:ascii="Tahoma" w:hAnsi="Tahoma" w:cs="Tahoma"/>
        </w:rPr>
        <w:t>10.6.</w:t>
      </w:r>
      <w:r w:rsidRPr="00BA75B3">
        <w:rPr>
          <w:rFonts w:ascii="Tahoma" w:hAnsi="Tahoma" w:cs="Tahoma"/>
        </w:rPr>
        <w:tab/>
        <w:t>Estarão aptos para votar na Assembleia Geral os Cotistas do Fundo inscritos no registro de cotistas na data da convocação da Assembleia Geral, seus representantes legais ou procuradores legalmente constituídos há menos de 1 ano.</w:t>
      </w:r>
    </w:p>
    <w:p w14:paraId="45B768FC" w14:textId="77777777" w:rsidR="00A6537F" w:rsidRPr="00BA75B3" w:rsidRDefault="00A6537F" w:rsidP="00A6537F">
      <w:pPr>
        <w:jc w:val="both"/>
        <w:rPr>
          <w:rFonts w:ascii="Tahoma" w:hAnsi="Tahoma" w:cs="Tahoma"/>
        </w:rPr>
      </w:pPr>
    </w:p>
    <w:p w14:paraId="28436E3B" w14:textId="77777777" w:rsidR="00A6537F" w:rsidRPr="00BA75B3" w:rsidRDefault="00A6537F" w:rsidP="00A6537F">
      <w:pPr>
        <w:jc w:val="both"/>
        <w:rPr>
          <w:rFonts w:ascii="Tahoma" w:hAnsi="Tahoma" w:cs="Tahoma"/>
        </w:rPr>
      </w:pPr>
      <w:r w:rsidRPr="00BA75B3">
        <w:rPr>
          <w:rFonts w:ascii="Tahoma" w:hAnsi="Tahoma" w:cs="Tahoma"/>
        </w:rPr>
        <w:t>10.7.</w:t>
      </w:r>
      <w:r w:rsidRPr="00BA75B3">
        <w:rPr>
          <w:rFonts w:ascii="Tahoma" w:hAnsi="Tahoma" w:cs="Tahoma"/>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3DE88960" w14:textId="77777777" w:rsidR="00A6537F" w:rsidRPr="00BA75B3" w:rsidRDefault="00A6537F" w:rsidP="00A6537F">
      <w:pPr>
        <w:jc w:val="both"/>
        <w:rPr>
          <w:rFonts w:ascii="Tahoma" w:hAnsi="Tahoma" w:cs="Tahoma"/>
        </w:rPr>
      </w:pPr>
    </w:p>
    <w:p w14:paraId="1CEB0DB4" w14:textId="77777777" w:rsidR="00A6537F" w:rsidRPr="00BA75B3" w:rsidRDefault="00A6537F" w:rsidP="00A6537F">
      <w:pPr>
        <w:spacing w:line="280" w:lineRule="atLeast"/>
        <w:jc w:val="both"/>
        <w:rPr>
          <w:rFonts w:ascii="Tahoma" w:hAnsi="Tahoma" w:cs="Tahoma"/>
          <w:iCs/>
        </w:rPr>
      </w:pPr>
      <w:r w:rsidRPr="00BA75B3">
        <w:rPr>
          <w:rFonts w:ascii="Tahoma" w:hAnsi="Tahoma" w:cs="Tahoma"/>
        </w:rPr>
        <w:t>10.8.</w:t>
      </w:r>
      <w:r w:rsidRPr="00BA75B3">
        <w:rPr>
          <w:rFonts w:ascii="Tahoma" w:hAnsi="Tahoma" w:cs="Tahoma"/>
        </w:rPr>
        <w:tab/>
        <w:t xml:space="preserve"> </w:t>
      </w:r>
      <w:r w:rsidRPr="00BA75B3">
        <w:rPr>
          <w:rFonts w:ascii="Tahoma" w:hAnsi="Tahoma" w:cs="Tahoma"/>
          <w:iCs/>
        </w:rPr>
        <w:t xml:space="preserve">As deliberações da Assembleia Geral poderão ser tomadas mediante processo escrito de consulta formal pelo ADMINISTRADOR, por meio físico ou eletrônico, sem a necessidade de uma reunião. </w:t>
      </w:r>
    </w:p>
    <w:p w14:paraId="00798677" w14:textId="77777777" w:rsidR="00A6537F" w:rsidRPr="00BA75B3" w:rsidRDefault="00A6537F" w:rsidP="00A6537F">
      <w:pPr>
        <w:spacing w:line="280" w:lineRule="atLeast"/>
        <w:jc w:val="both"/>
        <w:rPr>
          <w:rFonts w:ascii="Tahoma" w:hAnsi="Tahoma" w:cs="Tahoma"/>
          <w:iCs/>
        </w:rPr>
      </w:pPr>
    </w:p>
    <w:p w14:paraId="51282F10" w14:textId="77777777" w:rsidR="00A6537F" w:rsidRPr="00BA75B3" w:rsidRDefault="00A6537F" w:rsidP="00A6537F">
      <w:pPr>
        <w:spacing w:line="280" w:lineRule="atLeast"/>
        <w:jc w:val="both"/>
        <w:rPr>
          <w:rFonts w:ascii="Tahoma" w:hAnsi="Tahoma" w:cs="Tahoma"/>
          <w:iCs/>
        </w:rPr>
      </w:pPr>
      <w:r w:rsidRPr="00BA75B3">
        <w:rPr>
          <w:rFonts w:ascii="Tahoma" w:hAnsi="Tahoma" w:cs="Tahoma"/>
          <w:iCs/>
        </w:rPr>
        <w:t>10.8.1. Da consulta formal deverão constar todas as informações necessárias para o exercício de voto dos Cotistas.</w:t>
      </w:r>
    </w:p>
    <w:p w14:paraId="0DA25C9F" w14:textId="77777777" w:rsidR="00A6537F" w:rsidRPr="00BA75B3" w:rsidRDefault="00A6537F" w:rsidP="00A6537F">
      <w:pPr>
        <w:spacing w:line="280" w:lineRule="atLeast"/>
        <w:jc w:val="both"/>
        <w:rPr>
          <w:rFonts w:ascii="Tahoma" w:hAnsi="Tahoma" w:cs="Tahoma"/>
          <w:iCs/>
        </w:rPr>
      </w:pPr>
    </w:p>
    <w:p w14:paraId="28C7FC9B" w14:textId="77777777" w:rsidR="00A6537F" w:rsidRPr="00BA75B3" w:rsidRDefault="00A6537F" w:rsidP="00A6537F">
      <w:pPr>
        <w:spacing w:line="280" w:lineRule="atLeast"/>
        <w:jc w:val="both"/>
        <w:rPr>
          <w:rFonts w:ascii="Tahoma" w:hAnsi="Tahoma" w:cs="Tahoma"/>
          <w:iCs/>
        </w:rPr>
      </w:pPr>
      <w:r w:rsidRPr="00BA75B3">
        <w:rPr>
          <w:rFonts w:ascii="Tahoma" w:hAnsi="Tahoma" w:cs="Tahoma"/>
          <w:iCs/>
        </w:rPr>
        <w:t xml:space="preserve">10.8.2. Na hipótese prevista no item 10.8 será concedido aos Cotistas o prazo mínimo de 10 dias corridos para manifestação, a contar da data da emissão da consulta. </w:t>
      </w:r>
    </w:p>
    <w:p w14:paraId="1B328CAB" w14:textId="77777777" w:rsidR="00A6537F" w:rsidRPr="00BA75B3" w:rsidRDefault="00A6537F" w:rsidP="00A6537F">
      <w:pPr>
        <w:spacing w:line="280" w:lineRule="atLeast"/>
        <w:jc w:val="both"/>
        <w:rPr>
          <w:rFonts w:ascii="Tahoma" w:hAnsi="Tahoma" w:cs="Tahoma"/>
          <w:iCs/>
        </w:rPr>
      </w:pPr>
    </w:p>
    <w:p w14:paraId="7D4B4519" w14:textId="77777777" w:rsidR="00A6537F" w:rsidRPr="00BA75B3" w:rsidRDefault="00A6537F" w:rsidP="00A6537F">
      <w:pPr>
        <w:spacing w:line="280" w:lineRule="atLeast"/>
        <w:jc w:val="both"/>
        <w:rPr>
          <w:rFonts w:ascii="Tahoma" w:hAnsi="Tahoma" w:cs="Tahoma"/>
        </w:rPr>
      </w:pPr>
      <w:r w:rsidRPr="00BA75B3">
        <w:rPr>
          <w:rFonts w:ascii="Tahoma" w:hAnsi="Tahoma" w:cs="Tahoma"/>
          <w:iCs/>
        </w:rPr>
        <w:t xml:space="preserve">10.8.3. A assembleia geral </w:t>
      </w:r>
      <w:proofErr w:type="gramStart"/>
      <w:r w:rsidRPr="00BA75B3">
        <w:rPr>
          <w:rFonts w:ascii="Tahoma" w:hAnsi="Tahoma" w:cs="Tahoma"/>
          <w:iCs/>
        </w:rPr>
        <w:t>de Cotistas</w:t>
      </w:r>
      <w:proofErr w:type="gramEnd"/>
      <w:r w:rsidRPr="00BA75B3">
        <w:rPr>
          <w:rFonts w:ascii="Tahoma" w:hAnsi="Tahoma" w:cs="Tahoma"/>
          <w:iCs/>
        </w:rPr>
        <w:t xml:space="preserve"> realizada mediante consulta formal poderá ser instalada com qualquer número de Cotistas, de modo que as deliberações serão tomadas por maioria de votos enviados ao ADMINISTRADOR, cabendo a cada cota 1 voto.</w:t>
      </w:r>
    </w:p>
    <w:p w14:paraId="4BA6CD23" w14:textId="77777777" w:rsidR="00A6537F" w:rsidRPr="00BA75B3" w:rsidRDefault="00A6537F" w:rsidP="00A6537F">
      <w:pPr>
        <w:spacing w:line="280" w:lineRule="atLeast"/>
        <w:jc w:val="both"/>
        <w:rPr>
          <w:rFonts w:ascii="Tahoma" w:hAnsi="Tahoma" w:cs="Tahoma"/>
        </w:rPr>
      </w:pPr>
    </w:p>
    <w:p w14:paraId="591897B2" w14:textId="77777777" w:rsidR="00A6537F" w:rsidRPr="00BA75B3" w:rsidRDefault="00A6537F" w:rsidP="00A6537F">
      <w:pPr>
        <w:pBdr>
          <w:bottom w:val="single" w:sz="6" w:space="1" w:color="auto"/>
        </w:pBdr>
        <w:spacing w:line="280" w:lineRule="atLeast"/>
        <w:jc w:val="center"/>
        <w:rPr>
          <w:rFonts w:ascii="Tahoma" w:hAnsi="Tahoma" w:cs="Tahoma"/>
          <w:b/>
        </w:rPr>
      </w:pPr>
      <w:r w:rsidRPr="00BA75B3">
        <w:rPr>
          <w:rFonts w:ascii="Tahoma" w:hAnsi="Tahoma" w:cs="Tahoma"/>
          <w:b/>
        </w:rPr>
        <w:t>CLÁUSULA ONZE – DA TRIBUTAÇÃO</w:t>
      </w:r>
    </w:p>
    <w:p w14:paraId="1F807BA8" w14:textId="77777777" w:rsidR="00A6537F" w:rsidRPr="00BA75B3" w:rsidRDefault="00A6537F" w:rsidP="00A6537F">
      <w:pPr>
        <w:spacing w:line="280" w:lineRule="atLeast"/>
        <w:jc w:val="both"/>
        <w:rPr>
          <w:rFonts w:ascii="Tahoma" w:hAnsi="Tahoma" w:cs="Tahoma"/>
        </w:rPr>
      </w:pPr>
    </w:p>
    <w:p w14:paraId="1F149667" w14:textId="77777777" w:rsidR="00A6537F" w:rsidRPr="00F97F6B" w:rsidRDefault="00A6537F" w:rsidP="00A6537F">
      <w:pPr>
        <w:pStyle w:val="Corpodetexto"/>
        <w:jc w:val="both"/>
        <w:rPr>
          <w:rFonts w:ascii="Tahoma" w:hAnsi="Tahoma" w:cs="Tahoma"/>
          <w:b w:val="0"/>
          <w:bCs/>
          <w:sz w:val="22"/>
          <w:szCs w:val="22"/>
          <w:lang w:val="pt-BR"/>
        </w:rPr>
      </w:pPr>
      <w:r w:rsidRPr="00F97F6B">
        <w:rPr>
          <w:rFonts w:ascii="Tahoma" w:hAnsi="Tahoma" w:cs="Tahoma"/>
          <w:b w:val="0"/>
          <w:bCs/>
          <w:sz w:val="22"/>
          <w:szCs w:val="22"/>
          <w:lang w:val="pt-BR"/>
        </w:rPr>
        <w:t>11.1. O GESTOR busca manter a CARTEIRA de ativos do FUNDO com prazo médio superior a 365 dias. Contudo, não há garantia de que o FUNDO terá tratamento fiscal de longo prazo, existindo o risco</w:t>
      </w:r>
      <w:r w:rsidRPr="00F97F6B">
        <w:rPr>
          <w:rFonts w:ascii="Tahoma" w:hAnsi="Tahoma" w:cs="Tahoma"/>
          <w:b w:val="0"/>
          <w:bCs/>
          <w:color w:val="FF0000"/>
          <w:sz w:val="22"/>
          <w:szCs w:val="22"/>
          <w:lang w:val="pt-BR"/>
        </w:rPr>
        <w:t xml:space="preserve"> </w:t>
      </w:r>
      <w:r w:rsidRPr="00F97F6B">
        <w:rPr>
          <w:rFonts w:ascii="Tahoma" w:hAnsi="Tahoma" w:cs="Tahoma"/>
          <w:b w:val="0"/>
          <w:bCs/>
          <w:sz w:val="22"/>
          <w:szCs w:val="22"/>
          <w:lang w:val="pt-BR"/>
        </w:rPr>
        <w:t>de aplicar a tributação dos fundos de investimento de curto prazo. Os rendimentos das aplicações dos Cotistas em fundos de longo prazo estarão sujeitos às tributações: (i) no resgate</w:t>
      </w:r>
      <w:r>
        <w:rPr>
          <w:rFonts w:ascii="Tahoma" w:hAnsi="Tahoma" w:cs="Tahoma"/>
          <w:b w:val="0"/>
          <w:bCs/>
          <w:sz w:val="22"/>
          <w:szCs w:val="22"/>
          <w:lang w:val="pt-BR"/>
        </w:rPr>
        <w:t xml:space="preserve"> ou na amortização</w:t>
      </w:r>
      <w:r w:rsidRPr="00F97F6B">
        <w:rPr>
          <w:rFonts w:ascii="Tahoma" w:hAnsi="Tahoma" w:cs="Tahoma"/>
          <w:b w:val="0"/>
          <w:bCs/>
          <w:sz w:val="22"/>
          <w:szCs w:val="22"/>
          <w:lang w:val="pt-BR"/>
        </w:rPr>
        <w:t>,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w:t>
      </w:r>
      <w:proofErr w:type="spellStart"/>
      <w:r w:rsidRPr="00F97F6B">
        <w:rPr>
          <w:rFonts w:ascii="Tahoma" w:hAnsi="Tahoma" w:cs="Tahoma"/>
          <w:b w:val="0"/>
          <w:bCs/>
          <w:sz w:val="22"/>
          <w:szCs w:val="22"/>
          <w:lang w:val="pt-BR"/>
        </w:rPr>
        <w:t>ii</w:t>
      </w:r>
      <w:proofErr w:type="spellEnd"/>
      <w:r w:rsidRPr="00F97F6B">
        <w:rPr>
          <w:rFonts w:ascii="Tahoma" w:hAnsi="Tahoma" w:cs="Tahoma"/>
          <w:b w:val="0"/>
          <w:bCs/>
          <w:sz w:val="22"/>
          <w:szCs w:val="22"/>
          <w:lang w:val="pt-BR"/>
        </w:rPr>
        <w:t>) semestral, com a incidência adicional e periódica de IR nos meses de maio e novembro, à alíquota de 15% (come-cotas) sobre os rendimentos produzidos no período.</w:t>
      </w:r>
    </w:p>
    <w:p w14:paraId="73DAB3FF" w14:textId="77777777" w:rsidR="00A6537F" w:rsidRPr="00F97F6B" w:rsidRDefault="00A6537F" w:rsidP="00A6537F">
      <w:pPr>
        <w:pStyle w:val="Corpodetexto"/>
        <w:jc w:val="both"/>
        <w:rPr>
          <w:rFonts w:ascii="Tahoma" w:hAnsi="Tahoma" w:cs="Tahoma"/>
          <w:b w:val="0"/>
          <w:bCs/>
          <w:sz w:val="22"/>
          <w:szCs w:val="22"/>
          <w:lang w:val="pt-BR"/>
        </w:rPr>
      </w:pPr>
    </w:p>
    <w:p w14:paraId="283841E3" w14:textId="77777777" w:rsidR="00A6537F" w:rsidRPr="00F97F6B" w:rsidRDefault="00A6537F" w:rsidP="00A6537F">
      <w:pPr>
        <w:pStyle w:val="Corpodetexto"/>
        <w:jc w:val="both"/>
        <w:rPr>
          <w:rFonts w:ascii="Tahoma" w:hAnsi="Tahoma" w:cs="Tahoma"/>
          <w:b w:val="0"/>
          <w:bCs/>
          <w:sz w:val="22"/>
          <w:szCs w:val="22"/>
          <w:lang w:val="pt-BR"/>
        </w:rPr>
      </w:pPr>
      <w:r w:rsidRPr="00F97F6B">
        <w:rPr>
          <w:rFonts w:ascii="Tahoma" w:hAnsi="Tahoma" w:cs="Tahoma"/>
          <w:b w:val="0"/>
          <w:bCs/>
          <w:sz w:val="22"/>
          <w:szCs w:val="22"/>
          <w:lang w:val="pt-BR"/>
        </w:rPr>
        <w:t>11.2. Na hipótese de o prazo médio da CARTEIRA do FUNDO permanecer igual ou inferior a 365 dias por mais de 3 vezes ou por mais de 45 dias no ano, os Cotistas passarão a ser tributados conforme tributações aplicáveis aos fundos de investimento de curto prazo, quais sejam: (i) no resgate</w:t>
      </w:r>
      <w:r>
        <w:rPr>
          <w:rFonts w:ascii="Tahoma" w:hAnsi="Tahoma" w:cs="Tahoma"/>
          <w:b w:val="0"/>
          <w:bCs/>
          <w:sz w:val="22"/>
          <w:szCs w:val="22"/>
          <w:lang w:val="pt-BR"/>
        </w:rPr>
        <w:t xml:space="preserve"> ou na amortização</w:t>
      </w:r>
      <w:r w:rsidRPr="00F97F6B">
        <w:rPr>
          <w:rFonts w:ascii="Tahoma" w:hAnsi="Tahoma" w:cs="Tahoma"/>
          <w:b w:val="0"/>
          <w:bCs/>
          <w:sz w:val="22"/>
          <w:szCs w:val="22"/>
          <w:lang w:val="pt-BR"/>
        </w:rPr>
        <w:t>,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w:t>
      </w:r>
      <w:proofErr w:type="spellStart"/>
      <w:r w:rsidRPr="00F97F6B">
        <w:rPr>
          <w:rFonts w:ascii="Tahoma" w:hAnsi="Tahoma" w:cs="Tahoma"/>
          <w:b w:val="0"/>
          <w:bCs/>
          <w:sz w:val="22"/>
          <w:szCs w:val="22"/>
          <w:lang w:val="pt-BR"/>
        </w:rPr>
        <w:t>ii</w:t>
      </w:r>
      <w:proofErr w:type="spellEnd"/>
      <w:r w:rsidRPr="00F97F6B">
        <w:rPr>
          <w:rFonts w:ascii="Tahoma" w:hAnsi="Tahoma" w:cs="Tahoma"/>
          <w:b w:val="0"/>
          <w:bCs/>
          <w:sz w:val="22"/>
          <w:szCs w:val="22"/>
          <w:lang w:val="pt-BR"/>
        </w:rPr>
        <w:t>) semestral, com a incidência adicional e periódica de IR, nos meses de maio e novembro, à alíquota de 20% (come-cotas) sobre os rendimentos produzidos no período.</w:t>
      </w:r>
    </w:p>
    <w:p w14:paraId="11446BDF" w14:textId="77777777" w:rsidR="00A6537F" w:rsidRPr="00F97F6B" w:rsidRDefault="00A6537F" w:rsidP="00A6537F">
      <w:pPr>
        <w:pStyle w:val="BodyText21"/>
        <w:rPr>
          <w:rFonts w:ascii="Tahoma" w:hAnsi="Tahoma" w:cs="Tahoma"/>
          <w:bCs/>
          <w:szCs w:val="22"/>
        </w:rPr>
      </w:pPr>
    </w:p>
    <w:p w14:paraId="08EB0BA7" w14:textId="77777777" w:rsidR="00A6537F" w:rsidRPr="00F97F6B" w:rsidRDefault="00A6537F" w:rsidP="00A6537F">
      <w:pPr>
        <w:pStyle w:val="BodyText21"/>
        <w:rPr>
          <w:rFonts w:ascii="Tahoma" w:hAnsi="Tahoma" w:cs="Tahoma"/>
          <w:bCs/>
          <w:szCs w:val="22"/>
        </w:rPr>
      </w:pPr>
      <w:r w:rsidRPr="00F97F6B">
        <w:rPr>
          <w:rFonts w:ascii="Tahoma" w:hAnsi="Tahoma" w:cs="Tahoma"/>
          <w:bCs/>
          <w:szCs w:val="22"/>
        </w:rPr>
        <w:t>11.3. IOF/</w:t>
      </w:r>
      <w:r>
        <w:rPr>
          <w:rFonts w:ascii="Tahoma" w:hAnsi="Tahoma" w:cs="Tahoma"/>
          <w:bCs/>
          <w:szCs w:val="22"/>
        </w:rPr>
        <w:t>TVM</w:t>
      </w:r>
      <w:r w:rsidRPr="00F97F6B">
        <w:rPr>
          <w:rFonts w:ascii="Tahoma" w:hAnsi="Tahoma" w:cs="Tahoma"/>
          <w:bCs/>
          <w:szCs w:val="22"/>
        </w:rPr>
        <w:t>: resgates ocorridos nos primeiros 30 dias a contar da data da aplicação, há incidência de IOF</w:t>
      </w:r>
      <w:r>
        <w:rPr>
          <w:rFonts w:ascii="Tahoma" w:hAnsi="Tahoma" w:cs="Tahoma"/>
          <w:bCs/>
          <w:szCs w:val="22"/>
        </w:rPr>
        <w:t>/TVM</w:t>
      </w:r>
      <w:r w:rsidRPr="00F97F6B">
        <w:rPr>
          <w:rFonts w:ascii="Tahoma" w:hAnsi="Tahoma" w:cs="Tahoma"/>
          <w:bCs/>
          <w:szCs w:val="22"/>
        </w:rPr>
        <w:t xml:space="preserve"> conforme </w:t>
      </w:r>
      <w:r>
        <w:rPr>
          <w:rFonts w:ascii="Tahoma" w:hAnsi="Tahoma" w:cs="Tahoma"/>
          <w:bCs/>
          <w:szCs w:val="22"/>
        </w:rPr>
        <w:t>legislação vigente.</w:t>
      </w:r>
    </w:p>
    <w:p w14:paraId="3C2ABDA4" w14:textId="77777777" w:rsidR="00A6537F" w:rsidRPr="00F97F6B" w:rsidRDefault="00A6537F" w:rsidP="00A6537F">
      <w:pPr>
        <w:pStyle w:val="BodyText21"/>
        <w:rPr>
          <w:rFonts w:ascii="Tahoma" w:hAnsi="Tahoma" w:cs="Tahoma"/>
          <w:bCs/>
          <w:szCs w:val="22"/>
        </w:rPr>
      </w:pPr>
    </w:p>
    <w:p w14:paraId="4EBA0A5A" w14:textId="77777777" w:rsidR="00A6537F" w:rsidRPr="00F97F6B" w:rsidRDefault="00A6537F" w:rsidP="00A6537F">
      <w:pPr>
        <w:pStyle w:val="Corpodetexto"/>
        <w:jc w:val="both"/>
        <w:rPr>
          <w:rFonts w:ascii="Tahoma" w:hAnsi="Tahoma" w:cs="Tahoma"/>
          <w:b w:val="0"/>
          <w:bCs/>
          <w:strike/>
          <w:sz w:val="22"/>
          <w:szCs w:val="22"/>
          <w:lang w:val="pt-BR"/>
        </w:rPr>
      </w:pPr>
      <w:r w:rsidRPr="00F97F6B">
        <w:rPr>
          <w:rFonts w:ascii="Tahoma" w:hAnsi="Tahoma" w:cs="Tahoma"/>
          <w:b w:val="0"/>
          <w:bCs/>
          <w:sz w:val="22"/>
          <w:szCs w:val="22"/>
          <w:lang w:val="pt-BR"/>
        </w:rPr>
        <w:t xml:space="preserve">11.4.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w:t>
      </w:r>
      <w:r w:rsidRPr="00F97F6B">
        <w:rPr>
          <w:rFonts w:ascii="Tahoma" w:hAnsi="Tahoma" w:cs="Tahoma"/>
          <w:b w:val="0"/>
          <w:bCs/>
          <w:sz w:val="22"/>
          <w:szCs w:val="22"/>
          <w:lang w:val="pt-BR"/>
        </w:rPr>
        <w:lastRenderedPageBreak/>
        <w:t>a um tratamento tributário diverso do acima exposto. A CARTEIRA do FUNDO está isenta de IR e sujeita à alíquota zero de IOF.</w:t>
      </w:r>
    </w:p>
    <w:p w14:paraId="522C0D5D" w14:textId="77777777" w:rsidR="00A6537F" w:rsidRPr="00BA75B3" w:rsidRDefault="00A6537F" w:rsidP="00A6537F">
      <w:pPr>
        <w:spacing w:line="280" w:lineRule="atLeast"/>
        <w:jc w:val="both"/>
        <w:rPr>
          <w:rFonts w:ascii="Tahoma" w:hAnsi="Tahoma" w:cs="Tahoma"/>
        </w:rPr>
      </w:pPr>
    </w:p>
    <w:p w14:paraId="7F098D7C" w14:textId="77777777" w:rsidR="00A6537F" w:rsidRPr="00BA75B3" w:rsidRDefault="00A6537F" w:rsidP="00A6537F">
      <w:pPr>
        <w:pBdr>
          <w:bottom w:val="single" w:sz="6" w:space="1" w:color="auto"/>
        </w:pBdr>
        <w:spacing w:line="280" w:lineRule="atLeast"/>
        <w:jc w:val="center"/>
        <w:rPr>
          <w:rFonts w:ascii="Tahoma" w:hAnsi="Tahoma" w:cs="Tahoma"/>
          <w:b/>
        </w:rPr>
      </w:pPr>
      <w:r w:rsidRPr="00BA75B3">
        <w:rPr>
          <w:rFonts w:ascii="Tahoma" w:hAnsi="Tahoma" w:cs="Tahoma"/>
          <w:b/>
        </w:rPr>
        <w:t>CLÁUSULA DOZE – EXERCÍCIO DO DIREITO DE VOTO</w:t>
      </w:r>
    </w:p>
    <w:p w14:paraId="2C85D30C" w14:textId="77777777" w:rsidR="00A6537F" w:rsidRPr="00BA75B3" w:rsidRDefault="00A6537F" w:rsidP="00A6537F">
      <w:pPr>
        <w:spacing w:line="280" w:lineRule="atLeast"/>
        <w:jc w:val="both"/>
        <w:rPr>
          <w:rFonts w:ascii="Tahoma" w:hAnsi="Tahoma" w:cs="Tahoma"/>
        </w:rPr>
      </w:pPr>
    </w:p>
    <w:p w14:paraId="24FE36B9" w14:textId="77777777" w:rsidR="00A6537F" w:rsidRPr="00BA75B3" w:rsidRDefault="00A6537F" w:rsidP="00A6537F">
      <w:pPr>
        <w:spacing w:line="280" w:lineRule="atLeast"/>
        <w:jc w:val="both"/>
        <w:rPr>
          <w:rFonts w:ascii="Tahoma" w:hAnsi="Tahoma" w:cs="Tahoma"/>
        </w:rPr>
      </w:pPr>
      <w:r w:rsidRPr="00BA75B3">
        <w:rPr>
          <w:rFonts w:ascii="Tahoma" w:hAnsi="Tahoma" w:cs="Tahoma"/>
        </w:rPr>
        <w:t>12.1.</w:t>
      </w:r>
      <w:r w:rsidRPr="00BA75B3">
        <w:rPr>
          <w:rFonts w:ascii="Tahoma" w:hAnsi="Tahoma" w:cs="Tahoma"/>
        </w:rPr>
        <w:tab/>
        <w:t>O GESTOR adota política de exercício de direito de voto (“Política de Voto”) em assembleias de companhias e/ou fundos de investimento nas quais o FUNDO detenha participação, conforme condições descritas na Política de Voto disponível no site www.santander.com.br.</w:t>
      </w:r>
    </w:p>
    <w:p w14:paraId="478615FF" w14:textId="77777777" w:rsidR="00A6537F" w:rsidRPr="00BA75B3" w:rsidRDefault="00A6537F" w:rsidP="00A6537F">
      <w:pPr>
        <w:spacing w:line="280" w:lineRule="atLeast"/>
        <w:jc w:val="both"/>
        <w:rPr>
          <w:rFonts w:ascii="Tahoma" w:hAnsi="Tahoma" w:cs="Tahoma"/>
        </w:rPr>
      </w:pPr>
    </w:p>
    <w:p w14:paraId="7E06B9B7" w14:textId="77777777" w:rsidR="00A6537F" w:rsidRPr="00BA75B3" w:rsidRDefault="00A6537F" w:rsidP="00A6537F">
      <w:pPr>
        <w:spacing w:line="280" w:lineRule="atLeast"/>
        <w:jc w:val="both"/>
        <w:rPr>
          <w:rFonts w:ascii="Tahoma" w:hAnsi="Tahoma" w:cs="Tahoma"/>
        </w:rPr>
      </w:pPr>
      <w:r w:rsidRPr="00BA75B3">
        <w:rPr>
          <w:rFonts w:ascii="Tahoma" w:hAnsi="Tahoma" w:cs="Tahoma"/>
        </w:rPr>
        <w:t>12.2.</w:t>
      </w:r>
      <w:r w:rsidRPr="00BA75B3">
        <w:rPr>
          <w:rFonts w:ascii="Tahoma" w:hAnsi="Tahoma" w:cs="Tahoma"/>
        </w:rPr>
        <w:tab/>
        <w:t>O objetivo da Política de Voto é estabelecer os requisitos e os princípios que nortearão o Gestor no exercício do direito de voto, na qualidade de representante dos fundos de investimento sob sua gestão.</w:t>
      </w:r>
    </w:p>
    <w:p w14:paraId="630F98C4" w14:textId="77777777" w:rsidR="00A6537F" w:rsidRPr="00BA75B3" w:rsidRDefault="00A6537F" w:rsidP="00A6537F">
      <w:pPr>
        <w:spacing w:line="280" w:lineRule="atLeast"/>
        <w:jc w:val="both"/>
        <w:rPr>
          <w:rFonts w:ascii="Tahoma" w:hAnsi="Tahoma" w:cs="Tahoma"/>
        </w:rPr>
      </w:pPr>
    </w:p>
    <w:p w14:paraId="686477A2" w14:textId="77777777" w:rsidR="00A6537F" w:rsidRPr="00BA75B3" w:rsidRDefault="00A6537F" w:rsidP="00A6537F">
      <w:pPr>
        <w:spacing w:line="280" w:lineRule="atLeast"/>
        <w:jc w:val="both"/>
        <w:rPr>
          <w:rFonts w:ascii="Tahoma" w:hAnsi="Tahoma" w:cs="Tahoma"/>
        </w:rPr>
      </w:pPr>
      <w:r w:rsidRPr="00BA75B3">
        <w:rPr>
          <w:rFonts w:ascii="Tahoma" w:hAnsi="Tahoma" w:cs="Tahoma"/>
        </w:rPr>
        <w:t>12.3.</w:t>
      </w:r>
      <w:r w:rsidRPr="00BA75B3">
        <w:rPr>
          <w:rFonts w:ascii="Tahoma" w:hAnsi="Tahoma" w:cs="Tahoma"/>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714E7949" w14:textId="77777777" w:rsidR="00A6537F" w:rsidRPr="00BA75B3" w:rsidRDefault="00A6537F" w:rsidP="00A6537F">
      <w:pPr>
        <w:spacing w:line="280" w:lineRule="atLeast"/>
        <w:jc w:val="both"/>
        <w:rPr>
          <w:rFonts w:ascii="Tahoma" w:hAnsi="Tahoma" w:cs="Tahoma"/>
        </w:rPr>
      </w:pPr>
    </w:p>
    <w:p w14:paraId="6A8FD3E3" w14:textId="77777777" w:rsidR="00A6537F" w:rsidRPr="00BA75B3" w:rsidRDefault="00A6537F" w:rsidP="00A6537F">
      <w:pPr>
        <w:pBdr>
          <w:bottom w:val="single" w:sz="6" w:space="1" w:color="auto"/>
        </w:pBdr>
        <w:spacing w:line="280" w:lineRule="atLeast"/>
        <w:jc w:val="center"/>
        <w:rPr>
          <w:rFonts w:ascii="Tahoma" w:hAnsi="Tahoma" w:cs="Tahoma"/>
          <w:b/>
        </w:rPr>
      </w:pPr>
      <w:r w:rsidRPr="00BA75B3">
        <w:rPr>
          <w:rFonts w:ascii="Tahoma" w:hAnsi="Tahoma" w:cs="Tahoma"/>
          <w:b/>
        </w:rPr>
        <w:t>CLÁUSULA TREZE – DAS DISPOSIÇÕES GERAIS</w:t>
      </w:r>
    </w:p>
    <w:p w14:paraId="2AC09ABC" w14:textId="77777777" w:rsidR="00A6537F" w:rsidRPr="00BA75B3" w:rsidRDefault="00A6537F" w:rsidP="00A6537F">
      <w:pPr>
        <w:spacing w:line="280" w:lineRule="atLeast"/>
        <w:jc w:val="both"/>
        <w:rPr>
          <w:rFonts w:ascii="Tahoma" w:hAnsi="Tahoma" w:cs="Tahoma"/>
        </w:rPr>
      </w:pPr>
    </w:p>
    <w:p w14:paraId="39FCEE05" w14:textId="77777777" w:rsidR="00A6537F" w:rsidRPr="00BA75B3" w:rsidRDefault="00A6537F" w:rsidP="00A6537F">
      <w:pPr>
        <w:spacing w:line="280" w:lineRule="atLeast"/>
        <w:jc w:val="both"/>
        <w:rPr>
          <w:rFonts w:ascii="Tahoma" w:hAnsi="Tahoma" w:cs="Tahoma"/>
        </w:rPr>
      </w:pPr>
      <w:r w:rsidRPr="00BA75B3">
        <w:rPr>
          <w:rFonts w:ascii="Tahoma" w:hAnsi="Tahoma" w:cs="Tahoma"/>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374419D9" w14:textId="77777777" w:rsidR="00A6537F" w:rsidRPr="00BA75B3" w:rsidRDefault="00A6537F" w:rsidP="00A6537F">
      <w:pPr>
        <w:spacing w:line="280" w:lineRule="atLeast"/>
        <w:jc w:val="both"/>
        <w:rPr>
          <w:rFonts w:ascii="Tahoma" w:hAnsi="Tahoma" w:cs="Tahoma"/>
        </w:rPr>
      </w:pPr>
    </w:p>
    <w:p w14:paraId="4AA0601D" w14:textId="77777777" w:rsidR="00A6537F" w:rsidRPr="00BA75B3" w:rsidRDefault="00A6537F" w:rsidP="00A6537F">
      <w:pPr>
        <w:spacing w:line="280" w:lineRule="atLeast"/>
        <w:jc w:val="both"/>
        <w:rPr>
          <w:rFonts w:ascii="Tahoma" w:hAnsi="Tahoma" w:cs="Tahoma"/>
        </w:rPr>
      </w:pPr>
      <w:r w:rsidRPr="00BA75B3">
        <w:rPr>
          <w:rFonts w:ascii="Tahoma" w:hAnsi="Tahoma" w:cs="Tahoma"/>
        </w:rPr>
        <w:t>13.1.1. Quando as informações ou documentos relacionados ao FUNDO forem comunicados, enviados, divulgados e/ou disponibilizados por meio físico, os custos serão arcados pelo FUNDO.</w:t>
      </w:r>
    </w:p>
    <w:p w14:paraId="059420EA" w14:textId="77777777" w:rsidR="00A6537F" w:rsidRPr="00BA75B3" w:rsidRDefault="00A6537F" w:rsidP="00A6537F">
      <w:pPr>
        <w:spacing w:line="280" w:lineRule="atLeast"/>
        <w:jc w:val="both"/>
        <w:rPr>
          <w:rFonts w:ascii="Tahoma" w:hAnsi="Tahoma" w:cs="Tahoma"/>
        </w:rPr>
      </w:pPr>
    </w:p>
    <w:p w14:paraId="1EBF6576" w14:textId="77777777" w:rsidR="00A6537F" w:rsidRPr="00BA75B3" w:rsidRDefault="00A6537F" w:rsidP="00A6537F">
      <w:pPr>
        <w:spacing w:line="280" w:lineRule="atLeast"/>
        <w:jc w:val="both"/>
        <w:rPr>
          <w:rFonts w:ascii="Tahoma" w:hAnsi="Tahoma" w:cs="Tahoma"/>
        </w:rPr>
      </w:pPr>
      <w:r w:rsidRPr="00BA75B3">
        <w:rPr>
          <w:rFonts w:ascii="Tahoma" w:hAnsi="Tahoma" w:cs="Tahoma"/>
        </w:rPr>
        <w:t>13.2.</w:t>
      </w:r>
      <w:r w:rsidRPr="00BA75B3">
        <w:rPr>
          <w:rFonts w:ascii="Tahoma" w:hAnsi="Tahoma" w:cs="Tahoma"/>
        </w:rPr>
        <w:tab/>
        <w:t>Admite-se, nas hipóteses em que este Regulamento exija a “ciência”, “atesto”, “manifestação de voto” ou “concordância” dos Cotistas, que estes se deem por meio eletrônico.</w:t>
      </w:r>
    </w:p>
    <w:p w14:paraId="2FA4190A" w14:textId="77777777" w:rsidR="00A6537F" w:rsidRPr="00BA75B3" w:rsidRDefault="00A6537F" w:rsidP="00A6537F">
      <w:pPr>
        <w:spacing w:line="280" w:lineRule="atLeast"/>
        <w:jc w:val="both"/>
        <w:rPr>
          <w:rFonts w:ascii="Tahoma" w:hAnsi="Tahoma" w:cs="Tahoma"/>
        </w:rPr>
      </w:pPr>
    </w:p>
    <w:p w14:paraId="45615ED0" w14:textId="77777777" w:rsidR="00A6537F" w:rsidRPr="00BA75B3" w:rsidRDefault="00A6537F" w:rsidP="00A6537F">
      <w:pPr>
        <w:spacing w:line="280" w:lineRule="atLeast"/>
        <w:jc w:val="both"/>
        <w:rPr>
          <w:rFonts w:ascii="Tahoma" w:hAnsi="Tahoma" w:cs="Tahoma"/>
        </w:rPr>
      </w:pPr>
      <w:r w:rsidRPr="00BA75B3">
        <w:rPr>
          <w:rFonts w:ascii="Tahoma" w:hAnsi="Tahoma" w:cs="Tahoma"/>
        </w:rPr>
        <w:t>13.3. O atendimento aos Cotistas para receber e encaminhar questões relacionadas ao Fundo será realizado por meio da Central de Atendimento do Santander, pelos seguintes meios:</w:t>
      </w:r>
    </w:p>
    <w:p w14:paraId="437F24A8" w14:textId="77777777" w:rsidR="00A6537F" w:rsidRPr="00BA75B3" w:rsidRDefault="00A6537F" w:rsidP="00A6537F">
      <w:pPr>
        <w:spacing w:line="280" w:lineRule="atLeast"/>
        <w:jc w:val="both"/>
        <w:rPr>
          <w:rFonts w:ascii="Tahoma" w:hAnsi="Tahoma" w:cs="Tahoma"/>
        </w:rPr>
      </w:pPr>
      <w:r w:rsidRPr="00BA75B3">
        <w:rPr>
          <w:rFonts w:ascii="Tahoma" w:hAnsi="Tahoma" w:cs="Tahoma"/>
        </w:rPr>
        <w:t>Capitais e Regiões Metropolitanas: 4004-3535</w:t>
      </w:r>
    </w:p>
    <w:p w14:paraId="7FAE2BBA" w14:textId="77777777" w:rsidR="00A6537F" w:rsidRPr="00BA75B3" w:rsidRDefault="00A6537F" w:rsidP="00A6537F">
      <w:pPr>
        <w:spacing w:line="280" w:lineRule="atLeast"/>
        <w:jc w:val="both"/>
        <w:rPr>
          <w:rFonts w:ascii="Tahoma" w:hAnsi="Tahoma" w:cs="Tahoma"/>
        </w:rPr>
      </w:pPr>
      <w:r w:rsidRPr="00BA75B3">
        <w:rPr>
          <w:rFonts w:ascii="Tahoma" w:hAnsi="Tahoma" w:cs="Tahoma"/>
        </w:rPr>
        <w:t>Demais localidades: 0800-702-3535</w:t>
      </w:r>
    </w:p>
    <w:p w14:paraId="57D07196" w14:textId="77777777" w:rsidR="00A6537F" w:rsidRPr="00BA75B3" w:rsidRDefault="00A6537F" w:rsidP="00A6537F">
      <w:pPr>
        <w:spacing w:line="280" w:lineRule="atLeast"/>
        <w:jc w:val="both"/>
        <w:rPr>
          <w:rFonts w:ascii="Tahoma" w:hAnsi="Tahoma" w:cs="Tahoma"/>
        </w:rPr>
      </w:pPr>
      <w:r w:rsidRPr="00BA75B3">
        <w:rPr>
          <w:rFonts w:ascii="Tahoma" w:hAnsi="Tahoma" w:cs="Tahoma"/>
        </w:rPr>
        <w:t>Serviço de Apoio ao Consumidor – SAC: 0800-762-777</w:t>
      </w:r>
      <w:r>
        <w:rPr>
          <w:rFonts w:ascii="Tahoma" w:hAnsi="Tahoma" w:cs="Tahoma"/>
        </w:rPr>
        <w:t>7</w:t>
      </w:r>
    </w:p>
    <w:p w14:paraId="72A25A6F" w14:textId="77777777" w:rsidR="00A6537F" w:rsidRPr="00BA75B3" w:rsidRDefault="00A6537F" w:rsidP="00A6537F">
      <w:pPr>
        <w:spacing w:line="280" w:lineRule="atLeast"/>
        <w:jc w:val="both"/>
        <w:rPr>
          <w:rFonts w:ascii="Tahoma" w:hAnsi="Tahoma" w:cs="Tahoma"/>
        </w:rPr>
      </w:pPr>
      <w:r w:rsidRPr="00BA75B3">
        <w:rPr>
          <w:rFonts w:ascii="Tahoma" w:hAnsi="Tahoma" w:cs="Tahoma"/>
        </w:rPr>
        <w:t>Ouvidoria: 0800-726-0322</w:t>
      </w:r>
    </w:p>
    <w:p w14:paraId="5F4BABD2" w14:textId="77777777" w:rsidR="00A6537F" w:rsidRDefault="00A6537F" w:rsidP="00A6537F">
      <w:pPr>
        <w:spacing w:line="280" w:lineRule="atLeast"/>
        <w:jc w:val="both"/>
        <w:rPr>
          <w:rFonts w:ascii="Tahoma" w:hAnsi="Tahoma" w:cs="Tahoma"/>
        </w:rPr>
      </w:pPr>
    </w:p>
    <w:p w14:paraId="750B7758" w14:textId="77777777" w:rsidR="00A6537F" w:rsidRDefault="00A6537F" w:rsidP="00A6537F">
      <w:pPr>
        <w:spacing w:line="280" w:lineRule="atLeast"/>
        <w:jc w:val="both"/>
        <w:rPr>
          <w:rFonts w:ascii="Tahoma" w:hAnsi="Tahoma" w:cs="Tahoma"/>
        </w:rPr>
      </w:pPr>
      <w:r>
        <w:rPr>
          <w:rFonts w:ascii="Tahoma" w:hAnsi="Tahoma" w:cs="Tahoma"/>
        </w:rPr>
        <w:t xml:space="preserve">13.3. </w:t>
      </w:r>
      <w:r w:rsidRPr="00D775C8">
        <w:rPr>
          <w:rFonts w:ascii="Tahoma" w:hAnsi="Tahoma" w:cs="Tahoma"/>
        </w:rPr>
        <w:t>Não há valores mínimos e máximos de investimento inicial, movimentação e manutenção pelos Cotistas no FUNDO</w:t>
      </w:r>
      <w:r>
        <w:rPr>
          <w:rFonts w:ascii="Tahoma" w:hAnsi="Tahoma" w:cs="Tahoma"/>
        </w:rPr>
        <w:t>.</w:t>
      </w:r>
    </w:p>
    <w:p w14:paraId="53EE65ED" w14:textId="77777777" w:rsidR="00A6537F" w:rsidRDefault="00A6537F" w:rsidP="00A6537F">
      <w:pPr>
        <w:spacing w:line="280" w:lineRule="atLeast"/>
        <w:jc w:val="both"/>
        <w:rPr>
          <w:rFonts w:ascii="Tahoma" w:hAnsi="Tahoma" w:cs="Tahoma"/>
        </w:rPr>
      </w:pPr>
    </w:p>
    <w:p w14:paraId="7BC911C8" w14:textId="77777777" w:rsidR="00A6537F" w:rsidRDefault="00A6537F" w:rsidP="00A6537F">
      <w:pPr>
        <w:spacing w:line="280" w:lineRule="atLeast"/>
        <w:jc w:val="both"/>
        <w:rPr>
          <w:rFonts w:ascii="Tahoma" w:hAnsi="Tahoma" w:cs="Tahoma"/>
        </w:rPr>
      </w:pPr>
      <w:r>
        <w:rPr>
          <w:rFonts w:ascii="Tahoma" w:hAnsi="Tahoma" w:cs="Tahoma"/>
        </w:rPr>
        <w:t xml:space="preserve">13.4. </w:t>
      </w:r>
      <w:r w:rsidRPr="00D775C8">
        <w:rPr>
          <w:rFonts w:ascii="Tahoma" w:hAnsi="Tahoma" w:cs="Tahoma"/>
        </w:rPr>
        <w:t>Para transmissão de ordens de aplicação e de resgate de cotas do FUNDO, os Cotistas utilizarão os meios disponibilizados pelo ADMINISTRADOR para tal finalidade.</w:t>
      </w:r>
    </w:p>
    <w:p w14:paraId="6BBC19F1" w14:textId="77777777" w:rsidR="00A6537F" w:rsidRPr="00BA75B3" w:rsidRDefault="00A6537F" w:rsidP="00A6537F">
      <w:pPr>
        <w:spacing w:line="280" w:lineRule="atLeast"/>
        <w:jc w:val="both"/>
        <w:rPr>
          <w:rFonts w:ascii="Tahoma" w:hAnsi="Tahoma" w:cs="Tahoma"/>
        </w:rPr>
      </w:pPr>
    </w:p>
    <w:p w14:paraId="2A3C2F28" w14:textId="77777777" w:rsidR="00A6537F" w:rsidRPr="00BA75B3" w:rsidRDefault="00A6537F" w:rsidP="00A6537F">
      <w:pPr>
        <w:spacing w:line="280" w:lineRule="atLeast"/>
        <w:jc w:val="both"/>
        <w:rPr>
          <w:rFonts w:ascii="Tahoma" w:hAnsi="Tahoma" w:cs="Tahoma"/>
        </w:rPr>
      </w:pPr>
      <w:r w:rsidRPr="00BA75B3">
        <w:rPr>
          <w:rFonts w:ascii="Tahoma" w:hAnsi="Tahoma" w:cs="Tahoma"/>
        </w:rPr>
        <w:t>13.</w:t>
      </w:r>
      <w:r>
        <w:rPr>
          <w:rFonts w:ascii="Tahoma" w:hAnsi="Tahoma" w:cs="Tahoma"/>
        </w:rPr>
        <w:t>5</w:t>
      </w:r>
      <w:r w:rsidRPr="00BA75B3">
        <w:rPr>
          <w:rFonts w:ascii="Tahoma" w:hAnsi="Tahoma" w:cs="Tahoma"/>
        </w:rPr>
        <w:t>. O ADMINISTRADOR poderá gravar toda e qualquer ligação telefônica mantida entre o ADMINISTRADOR e os Cotistas, bem como, utilizar referidas gravações para efeito de prova das ordens transmitidas e das demais informações nelas contidas.</w:t>
      </w:r>
    </w:p>
    <w:p w14:paraId="61E9EE11" w14:textId="77777777" w:rsidR="00A6537F" w:rsidRPr="00BA75B3" w:rsidRDefault="00A6537F" w:rsidP="00A6537F">
      <w:pPr>
        <w:spacing w:line="280" w:lineRule="atLeast"/>
        <w:jc w:val="both"/>
        <w:rPr>
          <w:rFonts w:ascii="Tahoma" w:hAnsi="Tahoma" w:cs="Tahoma"/>
        </w:rPr>
      </w:pPr>
    </w:p>
    <w:p w14:paraId="620B6187" w14:textId="3493EDC2" w:rsidR="00A6537F" w:rsidRDefault="00A6537F" w:rsidP="00A6537F">
      <w:pPr>
        <w:spacing w:line="280" w:lineRule="atLeast"/>
        <w:jc w:val="both"/>
        <w:rPr>
          <w:rFonts w:ascii="Tahoma" w:hAnsi="Tahoma" w:cs="Tahoma"/>
        </w:rPr>
      </w:pPr>
      <w:r w:rsidRPr="00BA75B3">
        <w:rPr>
          <w:rFonts w:ascii="Tahoma" w:hAnsi="Tahoma" w:cs="Tahoma"/>
        </w:rPr>
        <w:t>13.</w:t>
      </w:r>
      <w:r>
        <w:rPr>
          <w:rFonts w:ascii="Tahoma" w:hAnsi="Tahoma" w:cs="Tahoma"/>
        </w:rPr>
        <w:t>6</w:t>
      </w:r>
      <w:r w:rsidRPr="00BA75B3">
        <w:rPr>
          <w:rFonts w:ascii="Tahoma" w:hAnsi="Tahoma" w:cs="Tahoma"/>
        </w:rPr>
        <w:t>. Fica eleito o foro da Comarca da Capital do Estado de São Paulo, com a exclusão de qualquer outro, por mais privilegiado que seja, para dirimir quaisquer dúvidas ou controvérsias advindas deste Regulamento</w:t>
      </w:r>
      <w:r>
        <w:rPr>
          <w:rFonts w:ascii="Tahoma" w:hAnsi="Tahoma" w:cs="Tahoma"/>
        </w:rPr>
        <w:t>.</w:t>
      </w:r>
    </w:p>
    <w:p w14:paraId="69A953C1" w14:textId="77777777" w:rsidR="00A6537F" w:rsidRDefault="00A6537F" w:rsidP="00A6537F">
      <w:pPr>
        <w:spacing w:line="280" w:lineRule="atLeast"/>
        <w:jc w:val="both"/>
        <w:rPr>
          <w:rFonts w:ascii="Tahoma" w:hAnsi="Tahoma" w:cs="Tahoma"/>
        </w:rPr>
      </w:pPr>
    </w:p>
    <w:p w14:paraId="1FFEF98B" w14:textId="77777777" w:rsidR="00A6537F" w:rsidRPr="00BA75B3" w:rsidRDefault="00A6537F" w:rsidP="00A6537F">
      <w:pPr>
        <w:spacing w:line="280" w:lineRule="atLeast"/>
        <w:jc w:val="both"/>
        <w:rPr>
          <w:rFonts w:ascii="Tahoma" w:hAnsi="Tahoma" w:cs="Tahoma"/>
        </w:rPr>
      </w:pPr>
    </w:p>
    <w:p w14:paraId="13B80897" w14:textId="4A9FBAD0" w:rsidR="00A6537F" w:rsidRDefault="00A6537F" w:rsidP="00A6537F">
      <w:pPr>
        <w:spacing w:line="280" w:lineRule="atLeast"/>
        <w:jc w:val="center"/>
        <w:rPr>
          <w:rFonts w:ascii="Tahoma" w:hAnsi="Tahoma" w:cs="Tahoma"/>
        </w:rPr>
      </w:pPr>
      <w:r w:rsidRPr="00BA75B3">
        <w:rPr>
          <w:rFonts w:ascii="Tahoma" w:hAnsi="Tahoma" w:cs="Tahoma"/>
        </w:rPr>
        <w:t xml:space="preserve">São Paulo, </w:t>
      </w:r>
      <w:r w:rsidR="00615DC4">
        <w:rPr>
          <w:rFonts w:ascii="Tahoma" w:hAnsi="Tahoma" w:cs="Tahoma"/>
        </w:rPr>
        <w:t>21 de agosto de 2024.</w:t>
      </w:r>
      <w:r>
        <w:rPr>
          <w:rFonts w:ascii="Tahoma" w:hAnsi="Tahoma" w:cs="Tahoma"/>
        </w:rPr>
        <w:t xml:space="preserve"> </w:t>
      </w:r>
    </w:p>
    <w:p w14:paraId="162E3A16" w14:textId="77777777" w:rsidR="00A6537F" w:rsidRPr="00BA75B3" w:rsidRDefault="00A6537F" w:rsidP="00A6537F">
      <w:pPr>
        <w:spacing w:line="280" w:lineRule="atLeast"/>
        <w:jc w:val="center"/>
        <w:rPr>
          <w:rFonts w:ascii="Tahoma" w:hAnsi="Tahoma" w:cs="Tahoma"/>
        </w:rPr>
      </w:pPr>
    </w:p>
    <w:p w14:paraId="06771E6F" w14:textId="77777777" w:rsidR="00A6537F" w:rsidRPr="0090684B" w:rsidRDefault="00A6537F" w:rsidP="00A6537F">
      <w:pPr>
        <w:spacing w:line="280" w:lineRule="atLeast"/>
        <w:jc w:val="center"/>
        <w:rPr>
          <w:rFonts w:ascii="Tahoma" w:hAnsi="Tahoma" w:cs="Tahoma"/>
          <w:b/>
          <w:color w:val="000000"/>
          <w:spacing w:val="5"/>
        </w:rPr>
      </w:pPr>
      <w:r w:rsidRPr="0090684B">
        <w:rPr>
          <w:rFonts w:ascii="Tahoma" w:hAnsi="Tahoma" w:cs="Tahoma"/>
          <w:b/>
          <w:color w:val="000000"/>
          <w:spacing w:val="5"/>
        </w:rPr>
        <w:t>SANTANDER DISTRIBUIDORA DE TÍTULOS E VALORES MOBILIÁRIOS S.A.</w:t>
      </w:r>
    </w:p>
    <w:p w14:paraId="6CFCC76F" w14:textId="18A2C794" w:rsidR="00455877" w:rsidRPr="00B143B9" w:rsidRDefault="00A6537F" w:rsidP="00A6537F">
      <w:pPr>
        <w:spacing w:line="320" w:lineRule="exact"/>
        <w:jc w:val="center"/>
        <w:rPr>
          <w:rFonts w:ascii="Tahoma" w:hAnsi="Tahoma" w:cs="Tahoma"/>
          <w:sz w:val="22"/>
          <w:szCs w:val="22"/>
          <w:lang w:eastAsia="en-US"/>
        </w:rPr>
      </w:pPr>
      <w:r w:rsidRPr="0090684B">
        <w:rPr>
          <w:rFonts w:ascii="Tahoma" w:hAnsi="Tahoma" w:cs="Tahoma"/>
          <w:b/>
          <w:color w:val="000000"/>
          <w:spacing w:val="5"/>
        </w:rPr>
        <w:t>Administrador</w:t>
      </w:r>
    </w:p>
    <w:sectPr w:rsidR="00455877" w:rsidRPr="00B143B9" w:rsidSect="0092511F">
      <w:headerReference w:type="default" r:id="rId8"/>
      <w:footerReference w:type="even" r:id="rId9"/>
      <w:footerReference w:type="default" r:id="rId10"/>
      <w:pgSz w:w="11907" w:h="16840" w:code="9"/>
      <w:pgMar w:top="720" w:right="720" w:bottom="720" w:left="720" w:header="680" w:footer="374" w:gutter="0"/>
      <w:pgNumType w:start="1"/>
      <w:cols w:sep="1" w:space="74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D4FB3" w14:textId="77777777" w:rsidR="0092511F" w:rsidRDefault="0092511F">
      <w:r>
        <w:separator/>
      </w:r>
    </w:p>
  </w:endnote>
  <w:endnote w:type="continuationSeparator" w:id="0">
    <w:p w14:paraId="058769BB" w14:textId="77777777" w:rsidR="0092511F" w:rsidRDefault="00925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9A07F" w14:textId="77777777" w:rsidR="000D1B17" w:rsidRDefault="000D1B1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14:paraId="56BEE9FF" w14:textId="77777777" w:rsidR="000D1B17" w:rsidRDefault="000D1B17">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44F26" w14:textId="77777777" w:rsidR="000D1B17" w:rsidRDefault="000D1B17">
    <w:pPr>
      <w:pStyle w:val="Rodap"/>
      <w:framePr w:wrap="around" w:vAnchor="text" w:hAnchor="margin" w:xAlign="right" w:y="1"/>
      <w:pBdr>
        <w:bottom w:val="single" w:sz="12" w:space="1" w:color="auto"/>
      </w:pBdr>
      <w:rPr>
        <w:rStyle w:val="Nmerodepgina"/>
        <w:sz w:val="16"/>
      </w:rPr>
    </w:pPr>
    <w:r>
      <w:rPr>
        <w:rStyle w:val="Nmerodepgina"/>
        <w:sz w:val="16"/>
      </w:rPr>
      <w:fldChar w:fldCharType="begin"/>
    </w:r>
    <w:r>
      <w:rPr>
        <w:rStyle w:val="Nmerodepgina"/>
        <w:sz w:val="16"/>
      </w:rPr>
      <w:instrText xml:space="preserve">PAGE  </w:instrText>
    </w:r>
    <w:r>
      <w:rPr>
        <w:rStyle w:val="Nmerodepgina"/>
        <w:sz w:val="16"/>
      </w:rPr>
      <w:fldChar w:fldCharType="separate"/>
    </w:r>
    <w:r>
      <w:rPr>
        <w:rStyle w:val="Nmerodepgina"/>
        <w:noProof/>
        <w:sz w:val="16"/>
      </w:rPr>
      <w:t>4</w:t>
    </w:r>
    <w:r>
      <w:rPr>
        <w:rStyle w:val="Nmerodepgina"/>
        <w:sz w:val="16"/>
      </w:rPr>
      <w:fldChar w:fldCharType="end"/>
    </w:r>
  </w:p>
  <w:p w14:paraId="7B1D54AB" w14:textId="77777777" w:rsidR="000D1B17" w:rsidRDefault="000D1B17">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E9E17" w14:textId="77777777" w:rsidR="0092511F" w:rsidRDefault="0092511F">
      <w:r>
        <w:separator/>
      </w:r>
    </w:p>
  </w:footnote>
  <w:footnote w:type="continuationSeparator" w:id="0">
    <w:p w14:paraId="47F77F5C" w14:textId="77777777" w:rsidR="0092511F" w:rsidRDefault="00925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13D9D" w14:textId="4D424FBA" w:rsidR="00FC065B" w:rsidRDefault="00055FE1">
    <w:pPr>
      <w:pStyle w:val="Cabealho"/>
    </w:pPr>
    <w:r>
      <w:rPr>
        <w:noProof/>
      </w:rPr>
      <w:drawing>
        <wp:anchor distT="0" distB="0" distL="114300" distR="114300" simplePos="0" relativeHeight="251657728" behindDoc="0" locked="0" layoutInCell="1" allowOverlap="1" wp14:anchorId="14D2E6FC" wp14:editId="7B858B6A">
          <wp:simplePos x="0" y="0"/>
          <wp:positionH relativeFrom="margin">
            <wp:posOffset>4568190</wp:posOffset>
          </wp:positionH>
          <wp:positionV relativeFrom="paragraph">
            <wp:posOffset>-306070</wp:posOffset>
          </wp:positionV>
          <wp:extent cx="2533650" cy="604520"/>
          <wp:effectExtent l="0" t="0" r="0" b="0"/>
          <wp:wrapNone/>
          <wp:docPr id="54876011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013848"/>
    <w:multiLevelType w:val="hybridMultilevel"/>
    <w:tmpl w:val="68A4D104"/>
    <w:lvl w:ilvl="0" w:tplc="D2D6D7B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1770B2"/>
    <w:multiLevelType w:val="multilevel"/>
    <w:tmpl w:val="55F650D2"/>
    <w:lvl w:ilvl="0">
      <w:start w:val="12"/>
      <w:numFmt w:val="decimal"/>
      <w:lvlText w:val="%1"/>
      <w:lvlJc w:val="left"/>
      <w:pPr>
        <w:tabs>
          <w:tab w:val="num" w:pos="375"/>
        </w:tabs>
        <w:ind w:left="375" w:hanging="375"/>
      </w:pPr>
      <w:rPr>
        <w:rFonts w:hint="default"/>
      </w:rPr>
    </w:lvl>
    <w:lvl w:ilvl="1">
      <w:start w:val="5"/>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4DD486A"/>
    <w:multiLevelType w:val="multilevel"/>
    <w:tmpl w:val="8D0C6DB8"/>
    <w:lvl w:ilvl="0">
      <w:start w:val="5"/>
      <w:numFmt w:val="decimal"/>
      <w:lvlText w:val="%1."/>
      <w:lvlJc w:val="left"/>
      <w:pPr>
        <w:tabs>
          <w:tab w:val="num" w:pos="615"/>
        </w:tabs>
        <w:ind w:left="615" w:hanging="615"/>
      </w:pPr>
      <w:rPr>
        <w:rFonts w:hint="default"/>
      </w:rPr>
    </w:lvl>
    <w:lvl w:ilvl="1">
      <w:start w:val="6"/>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E27B31"/>
    <w:multiLevelType w:val="singleLevel"/>
    <w:tmpl w:val="BBCCF546"/>
    <w:lvl w:ilvl="0">
      <w:start w:val="1"/>
      <w:numFmt w:val="lowerRoman"/>
      <w:lvlText w:val="(%1)"/>
      <w:lvlJc w:val="left"/>
      <w:pPr>
        <w:tabs>
          <w:tab w:val="num" w:pos="720"/>
        </w:tabs>
        <w:ind w:left="720" w:hanging="720"/>
      </w:pPr>
      <w:rPr>
        <w:rFonts w:hint="default"/>
      </w:rPr>
    </w:lvl>
  </w:abstractNum>
  <w:abstractNum w:abstractNumId="5" w15:restartNumberingAfterBreak="0">
    <w:nsid w:val="05483C4B"/>
    <w:multiLevelType w:val="multilevel"/>
    <w:tmpl w:val="82DE10E6"/>
    <w:lvl w:ilvl="0">
      <w:start w:val="1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B6095F"/>
    <w:multiLevelType w:val="singleLevel"/>
    <w:tmpl w:val="71F66654"/>
    <w:lvl w:ilvl="0">
      <w:start w:val="1"/>
      <w:numFmt w:val="upperRoman"/>
      <w:lvlText w:val="%1."/>
      <w:lvlJc w:val="left"/>
      <w:pPr>
        <w:tabs>
          <w:tab w:val="num" w:pos="1425"/>
        </w:tabs>
        <w:ind w:left="1425" w:hanging="720"/>
      </w:pPr>
      <w:rPr>
        <w:rFonts w:hint="default"/>
      </w:rPr>
    </w:lvl>
  </w:abstractNum>
  <w:abstractNum w:abstractNumId="7" w15:restartNumberingAfterBreak="0">
    <w:nsid w:val="0D7D2986"/>
    <w:multiLevelType w:val="singleLevel"/>
    <w:tmpl w:val="35625DEC"/>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0F8F070A"/>
    <w:multiLevelType w:val="hybridMultilevel"/>
    <w:tmpl w:val="75BAD094"/>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0ED7611"/>
    <w:multiLevelType w:val="hybridMultilevel"/>
    <w:tmpl w:val="5992C02A"/>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3025CB6"/>
    <w:multiLevelType w:val="hybridMultilevel"/>
    <w:tmpl w:val="98045658"/>
    <w:lvl w:ilvl="0" w:tplc="D7125B6C">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7AF48DB"/>
    <w:multiLevelType w:val="multilevel"/>
    <w:tmpl w:val="7512BC5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194E720E"/>
    <w:multiLevelType w:val="singleLevel"/>
    <w:tmpl w:val="F4ECCDA6"/>
    <w:lvl w:ilvl="0">
      <w:start w:val="1"/>
      <w:numFmt w:val="lowerLetter"/>
      <w:lvlText w:val="%1)"/>
      <w:lvlJc w:val="left"/>
      <w:pPr>
        <w:tabs>
          <w:tab w:val="num" w:pos="360"/>
        </w:tabs>
        <w:ind w:left="360" w:hanging="360"/>
      </w:pPr>
      <w:rPr>
        <w:rFonts w:hint="default"/>
      </w:rPr>
    </w:lvl>
  </w:abstractNum>
  <w:abstractNum w:abstractNumId="13" w15:restartNumberingAfterBreak="0">
    <w:nsid w:val="1AA31DC6"/>
    <w:multiLevelType w:val="hybridMultilevel"/>
    <w:tmpl w:val="C14889AA"/>
    <w:lvl w:ilvl="0" w:tplc="46A467BA">
      <w:start w:val="1"/>
      <w:numFmt w:val="upperRoman"/>
      <w:lvlText w:val="%1."/>
      <w:lvlJc w:val="left"/>
      <w:pPr>
        <w:tabs>
          <w:tab w:val="num" w:pos="720"/>
        </w:tabs>
        <w:ind w:left="72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1E7D607E"/>
    <w:multiLevelType w:val="hybridMultilevel"/>
    <w:tmpl w:val="292005B8"/>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1E45C5E"/>
    <w:multiLevelType w:val="multilevel"/>
    <w:tmpl w:val="B4967414"/>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B11ED5"/>
    <w:multiLevelType w:val="hybridMultilevel"/>
    <w:tmpl w:val="C4E2AD8A"/>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8FF0793"/>
    <w:multiLevelType w:val="hybridMultilevel"/>
    <w:tmpl w:val="33C471F2"/>
    <w:lvl w:ilvl="0" w:tplc="FFFFFFFF">
      <w:start w:val="1"/>
      <w:numFmt w:val="lowerLetter"/>
      <w:lvlText w:val="%1)"/>
      <w:lvlJc w:val="left"/>
      <w:pPr>
        <w:tabs>
          <w:tab w:val="num" w:pos="1080"/>
        </w:tabs>
        <w:ind w:left="1080" w:hanging="720"/>
      </w:pPr>
      <w:rPr>
        <w:rFonts w:ascii="Arial" w:eastAsia="Times New Roman"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92E7CC6"/>
    <w:multiLevelType w:val="multilevel"/>
    <w:tmpl w:val="38C41310"/>
    <w:lvl w:ilvl="0">
      <w:start w:val="4"/>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CA617C8"/>
    <w:multiLevelType w:val="hybridMultilevel"/>
    <w:tmpl w:val="22A0BF7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3A091C00"/>
    <w:multiLevelType w:val="hybridMultilevel"/>
    <w:tmpl w:val="A6186D4C"/>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3CDA32AC"/>
    <w:multiLevelType w:val="hybridMultilevel"/>
    <w:tmpl w:val="B7EA217E"/>
    <w:lvl w:ilvl="0" w:tplc="521693BE">
      <w:start w:val="1"/>
      <w:numFmt w:val="lowerRoman"/>
      <w:lvlText w:val="(%1)"/>
      <w:lvlJc w:val="left"/>
      <w:pPr>
        <w:tabs>
          <w:tab w:val="num" w:pos="1080"/>
        </w:tabs>
        <w:ind w:left="1080" w:hanging="720"/>
      </w:pPr>
      <w:rPr>
        <w:rFonts w:ascii="Arial Narrow" w:hAnsi="Arial Narro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D4F472D"/>
    <w:multiLevelType w:val="multilevel"/>
    <w:tmpl w:val="7AF0A4E4"/>
    <w:lvl w:ilvl="0">
      <w:start w:val="12"/>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F310DB0"/>
    <w:multiLevelType w:val="multilevel"/>
    <w:tmpl w:val="951E03AC"/>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11912AB"/>
    <w:multiLevelType w:val="hybridMultilevel"/>
    <w:tmpl w:val="7D4C59DA"/>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6F3C07"/>
    <w:multiLevelType w:val="hybridMultilevel"/>
    <w:tmpl w:val="ED4061DA"/>
    <w:lvl w:ilvl="0" w:tplc="FFFFFFFF">
      <w:start w:val="1"/>
      <w:numFmt w:val="lowerRoman"/>
      <w:lvlText w:val="(%1)"/>
      <w:lvlJc w:val="left"/>
      <w:pPr>
        <w:tabs>
          <w:tab w:val="num" w:pos="1080"/>
        </w:tabs>
        <w:ind w:left="1080" w:hanging="720"/>
      </w:pPr>
      <w:rPr>
        <w:rFonts w:ascii="Arial Narrow" w:hAnsi="Arial Narrow"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4B63BA1"/>
    <w:multiLevelType w:val="multilevel"/>
    <w:tmpl w:val="D3A84C7A"/>
    <w:name w:val="House_Style"/>
    <w:lvl w:ilvl="0">
      <w:start w:val="1"/>
      <w:numFmt w:val="decimal"/>
      <w:lvlRestart w:val="0"/>
      <w:pStyle w:val="Level1"/>
      <w:lvlText w:val="%1"/>
      <w:lvlJc w:val="left"/>
      <w:pPr>
        <w:tabs>
          <w:tab w:val="num" w:pos="680"/>
        </w:tabs>
        <w:ind w:left="680" w:hanging="680"/>
      </w:pPr>
      <w:rPr>
        <w:rFonts w:ascii="Arial" w:hAnsi="Arial" w:cs="Arial"/>
        <w:b/>
        <w:caps w:val="0"/>
        <w:strike w:val="0"/>
        <w:dstrike w:val="0"/>
        <w:vanish w:val="0"/>
        <w:color w:val="000000"/>
        <w:sz w:val="22"/>
        <w:vertAlign w:val="baseline"/>
      </w:rPr>
    </w:lvl>
    <w:lvl w:ilvl="1">
      <w:start w:val="1"/>
      <w:numFmt w:val="decimal"/>
      <w:pStyle w:val="Level2"/>
      <w:lvlText w:val="%1.%2"/>
      <w:lvlJc w:val="left"/>
      <w:pPr>
        <w:tabs>
          <w:tab w:val="num" w:pos="680"/>
        </w:tabs>
        <w:ind w:left="680" w:hanging="680"/>
      </w:pPr>
      <w:rPr>
        <w:rFonts w:ascii="Arial" w:hAnsi="Arial" w:cs="Arial"/>
        <w:b/>
        <w:caps w:val="0"/>
        <w:strike w:val="0"/>
        <w:dstrike w:val="0"/>
        <w:vanish w:val="0"/>
        <w:color w:val="000000"/>
        <w:sz w:val="21"/>
        <w:vertAlign w:val="baseline"/>
      </w:rPr>
    </w:lvl>
    <w:lvl w:ilvl="2">
      <w:start w:val="1"/>
      <w:numFmt w:val="decimal"/>
      <w:pStyle w:val="Level3"/>
      <w:lvlText w:val="%1.%2.%3"/>
      <w:lvlJc w:val="left"/>
      <w:pPr>
        <w:tabs>
          <w:tab w:val="num" w:pos="1361"/>
        </w:tabs>
        <w:ind w:left="1361" w:hanging="681"/>
      </w:pPr>
      <w:rPr>
        <w:rFonts w:ascii="Arial" w:hAnsi="Arial" w:cs="Arial"/>
        <w:b/>
        <w:caps w:val="0"/>
        <w:strike w:val="0"/>
        <w:dstrike w:val="0"/>
        <w:vanish w:val="0"/>
        <w:color w:val="000000"/>
        <w:sz w:val="17"/>
        <w:vertAlign w:val="baseline"/>
      </w:rPr>
    </w:lvl>
    <w:lvl w:ilvl="3">
      <w:start w:val="1"/>
      <w:numFmt w:val="lowerRoman"/>
      <w:pStyle w:val="Level4"/>
      <w:lvlText w:val="(%4)"/>
      <w:lvlJc w:val="left"/>
      <w:pPr>
        <w:tabs>
          <w:tab w:val="num" w:pos="2041"/>
        </w:tabs>
        <w:ind w:left="2041" w:hanging="680"/>
      </w:pPr>
      <w:rPr>
        <w:rFonts w:ascii="Arial" w:hAnsi="Arial" w:cs="Arial"/>
        <w:b w:val="0"/>
        <w:caps w:val="0"/>
        <w:strike w:val="0"/>
        <w:dstrike w:val="0"/>
        <w:vanish w:val="0"/>
        <w:color w:val="000000"/>
        <w:sz w:val="20"/>
        <w:vertAlign w:val="baseline"/>
      </w:rPr>
    </w:lvl>
    <w:lvl w:ilvl="4">
      <w:start w:val="1"/>
      <w:numFmt w:val="lowerLetter"/>
      <w:pStyle w:val="Level5"/>
      <w:lvlText w:val="(%5)"/>
      <w:lvlJc w:val="left"/>
      <w:pPr>
        <w:tabs>
          <w:tab w:val="num" w:pos="2721"/>
        </w:tabs>
        <w:ind w:left="2721" w:hanging="680"/>
      </w:pPr>
      <w:rPr>
        <w:rFonts w:ascii="Arial" w:hAnsi="Arial" w:cs="Arial"/>
        <w:b w:val="0"/>
        <w:caps w:val="0"/>
        <w:strike w:val="0"/>
        <w:dstrike w:val="0"/>
        <w:vanish w:val="0"/>
        <w:color w:val="000000"/>
        <w:sz w:val="20"/>
        <w:vertAlign w:val="baseline"/>
      </w:rPr>
    </w:lvl>
    <w:lvl w:ilvl="5">
      <w:start w:val="1"/>
      <w:numFmt w:val="upperRoman"/>
      <w:pStyle w:val="Level6"/>
      <w:lvlText w:val="(%6)"/>
      <w:lvlJc w:val="left"/>
      <w:pPr>
        <w:tabs>
          <w:tab w:val="num" w:pos="3402"/>
        </w:tabs>
        <w:ind w:left="3402" w:hanging="681"/>
      </w:pPr>
      <w:rPr>
        <w:rFonts w:ascii="Arial" w:hAnsi="Arial" w:cs="Arial"/>
        <w:b w:val="0"/>
        <w:caps w:val="0"/>
        <w:strike w:val="0"/>
        <w:dstrike w:val="0"/>
        <w:vanish w:val="0"/>
        <w:color w:val="000000"/>
        <w:sz w:val="20"/>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54E08CB"/>
    <w:multiLevelType w:val="hybridMultilevel"/>
    <w:tmpl w:val="2F6C9794"/>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15:restartNumberingAfterBreak="0">
    <w:nsid w:val="499B0C46"/>
    <w:multiLevelType w:val="singleLevel"/>
    <w:tmpl w:val="04090011"/>
    <w:lvl w:ilvl="0">
      <w:start w:val="1"/>
      <w:numFmt w:val="decimal"/>
      <w:lvlText w:val="%1)"/>
      <w:lvlJc w:val="left"/>
      <w:pPr>
        <w:tabs>
          <w:tab w:val="num" w:pos="360"/>
        </w:tabs>
        <w:ind w:left="360" w:hanging="360"/>
      </w:pPr>
      <w:rPr>
        <w:rFonts w:hint="default"/>
      </w:rPr>
    </w:lvl>
  </w:abstractNum>
  <w:abstractNum w:abstractNumId="29" w15:restartNumberingAfterBreak="0">
    <w:nsid w:val="4C6918CC"/>
    <w:multiLevelType w:val="singleLevel"/>
    <w:tmpl w:val="E1D0A718"/>
    <w:lvl w:ilvl="0">
      <w:start w:val="1"/>
      <w:numFmt w:val="lowerRoman"/>
      <w:lvlText w:val="(%1)"/>
      <w:lvlJc w:val="left"/>
      <w:pPr>
        <w:tabs>
          <w:tab w:val="num" w:pos="720"/>
        </w:tabs>
        <w:ind w:left="720" w:hanging="720"/>
      </w:pPr>
      <w:rPr>
        <w:rFonts w:hint="default"/>
      </w:rPr>
    </w:lvl>
  </w:abstractNum>
  <w:abstractNum w:abstractNumId="30" w15:restartNumberingAfterBreak="0">
    <w:nsid w:val="4D4E7731"/>
    <w:multiLevelType w:val="singleLevel"/>
    <w:tmpl w:val="04090013"/>
    <w:lvl w:ilvl="0">
      <w:start w:val="1"/>
      <w:numFmt w:val="upperRoman"/>
      <w:lvlText w:val="%1."/>
      <w:lvlJc w:val="left"/>
      <w:pPr>
        <w:tabs>
          <w:tab w:val="num" w:pos="720"/>
        </w:tabs>
        <w:ind w:left="720" w:hanging="720"/>
      </w:pPr>
      <w:rPr>
        <w:rFonts w:hint="default"/>
      </w:rPr>
    </w:lvl>
  </w:abstractNum>
  <w:abstractNum w:abstractNumId="31" w15:restartNumberingAfterBreak="0">
    <w:nsid w:val="4E776B9C"/>
    <w:multiLevelType w:val="hybridMultilevel"/>
    <w:tmpl w:val="355A108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15:restartNumberingAfterBreak="0">
    <w:nsid w:val="50C31D65"/>
    <w:multiLevelType w:val="hybridMultilevel"/>
    <w:tmpl w:val="ADA63732"/>
    <w:lvl w:ilvl="0" w:tplc="FFFFFFFF">
      <w:start w:val="1"/>
      <w:numFmt w:val="lowerRoman"/>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1A32FAC"/>
    <w:multiLevelType w:val="hybridMultilevel"/>
    <w:tmpl w:val="9B6ACE0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6BE7A3F"/>
    <w:multiLevelType w:val="hybridMultilevel"/>
    <w:tmpl w:val="45064982"/>
    <w:lvl w:ilvl="0" w:tplc="7C98757A">
      <w:start w:val="1"/>
      <w:numFmt w:val="lowerLetter"/>
      <w:lvlText w:val="(%1)"/>
      <w:lvlJc w:val="left"/>
      <w:pPr>
        <w:ind w:left="1065" w:hanging="705"/>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5" w15:restartNumberingAfterBreak="0">
    <w:nsid w:val="5A873033"/>
    <w:multiLevelType w:val="multilevel"/>
    <w:tmpl w:val="A586A42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5EB51067"/>
    <w:multiLevelType w:val="hybridMultilevel"/>
    <w:tmpl w:val="FDA68D44"/>
    <w:lvl w:ilvl="0" w:tplc="FFFFFFFF">
      <w:start w:val="1"/>
      <w:numFmt w:val="lowerRoman"/>
      <w:lvlText w:val="(%1)"/>
      <w:lvlJc w:val="left"/>
      <w:pPr>
        <w:tabs>
          <w:tab w:val="num" w:pos="72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08D4D46"/>
    <w:multiLevelType w:val="singleLevel"/>
    <w:tmpl w:val="08090011"/>
    <w:lvl w:ilvl="0">
      <w:start w:val="1"/>
      <w:numFmt w:val="decimal"/>
      <w:lvlText w:val="%1)"/>
      <w:lvlJc w:val="left"/>
      <w:pPr>
        <w:tabs>
          <w:tab w:val="num" w:pos="360"/>
        </w:tabs>
        <w:ind w:left="360" w:hanging="360"/>
      </w:pPr>
      <w:rPr>
        <w:rFonts w:hint="default"/>
      </w:rPr>
    </w:lvl>
  </w:abstractNum>
  <w:abstractNum w:abstractNumId="38" w15:restartNumberingAfterBreak="0">
    <w:nsid w:val="63D5413E"/>
    <w:multiLevelType w:val="hybridMultilevel"/>
    <w:tmpl w:val="673A8BEC"/>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15:restartNumberingAfterBreak="0">
    <w:nsid w:val="66B74FE6"/>
    <w:multiLevelType w:val="multilevel"/>
    <w:tmpl w:val="E55EE584"/>
    <w:lvl w:ilvl="0">
      <w:start w:val="10"/>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40" w15:restartNumberingAfterBreak="0">
    <w:nsid w:val="66CB33FF"/>
    <w:multiLevelType w:val="multilevel"/>
    <w:tmpl w:val="E7647396"/>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93A337A"/>
    <w:multiLevelType w:val="hybridMultilevel"/>
    <w:tmpl w:val="93D8386E"/>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FE14D55"/>
    <w:multiLevelType w:val="multilevel"/>
    <w:tmpl w:val="F57C4766"/>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58F4C85"/>
    <w:multiLevelType w:val="multilevel"/>
    <w:tmpl w:val="827EBC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6D173C0"/>
    <w:multiLevelType w:val="singleLevel"/>
    <w:tmpl w:val="A62C5D70"/>
    <w:lvl w:ilvl="0">
      <w:start w:val="1"/>
      <w:numFmt w:val="lowerLetter"/>
      <w:lvlText w:val="%1)"/>
      <w:legacy w:legacy="1" w:legacySpace="0" w:legacyIndent="283"/>
      <w:lvlJc w:val="left"/>
      <w:pPr>
        <w:ind w:left="283" w:hanging="283"/>
      </w:pPr>
    </w:lvl>
  </w:abstractNum>
  <w:abstractNum w:abstractNumId="45" w15:restartNumberingAfterBreak="0">
    <w:nsid w:val="79575C55"/>
    <w:multiLevelType w:val="hybridMultilevel"/>
    <w:tmpl w:val="F90A984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15:restartNumberingAfterBreak="0">
    <w:nsid w:val="7B972693"/>
    <w:multiLevelType w:val="multilevel"/>
    <w:tmpl w:val="02885D3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7D0213BE"/>
    <w:multiLevelType w:val="hybridMultilevel"/>
    <w:tmpl w:val="0A441FA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15:restartNumberingAfterBreak="0">
    <w:nsid w:val="7F8565D4"/>
    <w:multiLevelType w:val="multilevel"/>
    <w:tmpl w:val="60EEF1D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8475594">
    <w:abstractNumId w:val="44"/>
  </w:num>
  <w:num w:numId="2" w16cid:durableId="559219349">
    <w:abstractNumId w:val="35"/>
  </w:num>
  <w:num w:numId="3" w16cid:durableId="1281299226">
    <w:abstractNumId w:val="6"/>
  </w:num>
  <w:num w:numId="4" w16cid:durableId="121121430">
    <w:abstractNumId w:val="3"/>
  </w:num>
  <w:num w:numId="5" w16cid:durableId="2019887321">
    <w:abstractNumId w:val="43"/>
  </w:num>
  <w:num w:numId="6" w16cid:durableId="739058493">
    <w:abstractNumId w:val="0"/>
  </w:num>
  <w:num w:numId="7" w16cid:durableId="142432120">
    <w:abstractNumId w:val="2"/>
  </w:num>
  <w:num w:numId="8" w16cid:durableId="1673096772">
    <w:abstractNumId w:val="5"/>
  </w:num>
  <w:num w:numId="9" w16cid:durableId="1925451994">
    <w:abstractNumId w:val="30"/>
  </w:num>
  <w:num w:numId="10" w16cid:durableId="883760633">
    <w:abstractNumId w:val="4"/>
  </w:num>
  <w:num w:numId="11" w16cid:durableId="519204103">
    <w:abstractNumId w:val="7"/>
  </w:num>
  <w:num w:numId="12" w16cid:durableId="2111509966">
    <w:abstractNumId w:val="40"/>
  </w:num>
  <w:num w:numId="13" w16cid:durableId="895355826">
    <w:abstractNumId w:val="15"/>
  </w:num>
  <w:num w:numId="14" w16cid:durableId="1632633830">
    <w:abstractNumId w:val="29"/>
  </w:num>
  <w:num w:numId="15" w16cid:durableId="1152216259">
    <w:abstractNumId w:val="48"/>
  </w:num>
  <w:num w:numId="16" w16cid:durableId="1242719511">
    <w:abstractNumId w:val="22"/>
  </w:num>
  <w:num w:numId="17" w16cid:durableId="1839693323">
    <w:abstractNumId w:val="14"/>
  </w:num>
  <w:num w:numId="18" w16cid:durableId="1273633394">
    <w:abstractNumId w:val="36"/>
  </w:num>
  <w:num w:numId="19" w16cid:durableId="1179081462">
    <w:abstractNumId w:val="25"/>
  </w:num>
  <w:num w:numId="20" w16cid:durableId="1669165487">
    <w:abstractNumId w:val="32"/>
  </w:num>
  <w:num w:numId="21" w16cid:durableId="659388722">
    <w:abstractNumId w:val="11"/>
  </w:num>
  <w:num w:numId="22" w16cid:durableId="1240410094">
    <w:abstractNumId w:val="46"/>
  </w:num>
  <w:num w:numId="23" w16cid:durableId="541400344">
    <w:abstractNumId w:val="37"/>
  </w:num>
  <w:num w:numId="24" w16cid:durableId="1486239327">
    <w:abstractNumId w:val="28"/>
  </w:num>
  <w:num w:numId="25" w16cid:durableId="686100251">
    <w:abstractNumId w:val="12"/>
  </w:num>
  <w:num w:numId="26" w16cid:durableId="578486942">
    <w:abstractNumId w:val="33"/>
  </w:num>
  <w:num w:numId="27" w16cid:durableId="573123549">
    <w:abstractNumId w:val="16"/>
  </w:num>
  <w:num w:numId="28" w16cid:durableId="1997882794">
    <w:abstractNumId w:val="17"/>
  </w:num>
  <w:num w:numId="29" w16cid:durableId="1261795713">
    <w:abstractNumId w:val="23"/>
  </w:num>
  <w:num w:numId="30" w16cid:durableId="417605186">
    <w:abstractNumId w:val="42"/>
  </w:num>
  <w:num w:numId="31" w16cid:durableId="1905406842">
    <w:abstractNumId w:val="18"/>
  </w:num>
  <w:num w:numId="32" w16cid:durableId="534585358">
    <w:abstractNumId w:val="39"/>
  </w:num>
  <w:num w:numId="33" w16cid:durableId="53046979">
    <w:abstractNumId w:val="38"/>
  </w:num>
  <w:num w:numId="34" w16cid:durableId="224608104">
    <w:abstractNumId w:val="19"/>
  </w:num>
  <w:num w:numId="35" w16cid:durableId="826475808">
    <w:abstractNumId w:val="20"/>
  </w:num>
  <w:num w:numId="36" w16cid:durableId="1253396954">
    <w:abstractNumId w:val="27"/>
  </w:num>
  <w:num w:numId="37" w16cid:durableId="1697584252">
    <w:abstractNumId w:val="9"/>
  </w:num>
  <w:num w:numId="38" w16cid:durableId="188418545">
    <w:abstractNumId w:val="31"/>
  </w:num>
  <w:num w:numId="39" w16cid:durableId="470247475">
    <w:abstractNumId w:val="47"/>
  </w:num>
  <w:num w:numId="40" w16cid:durableId="952907262">
    <w:abstractNumId w:val="45"/>
  </w:num>
  <w:num w:numId="41" w16cid:durableId="313336812">
    <w:abstractNumId w:val="21"/>
  </w:num>
  <w:num w:numId="42" w16cid:durableId="1351837688">
    <w:abstractNumId w:val="8"/>
  </w:num>
  <w:num w:numId="43" w16cid:durableId="1338919851">
    <w:abstractNumId w:val="24"/>
  </w:num>
  <w:num w:numId="44" w16cid:durableId="810172917">
    <w:abstractNumId w:val="41"/>
  </w:num>
  <w:num w:numId="45" w16cid:durableId="589583920">
    <w:abstractNumId w:val="13"/>
  </w:num>
  <w:num w:numId="46" w16cid:durableId="1249926939">
    <w:abstractNumId w:val="1"/>
  </w:num>
  <w:num w:numId="47" w16cid:durableId="1367097186">
    <w:abstractNumId w:val="10"/>
  </w:num>
  <w:num w:numId="48" w16cid:durableId="1376469327">
    <w:abstractNumId w:val="26"/>
  </w:num>
  <w:num w:numId="49" w16cid:durableId="293849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AU" w:vendorID="8" w:dllVersion="513" w:checkStyle="1"/>
  <w:activeWritingStyle w:appName="MSWord" w:lang="en-GB" w:vendorID="8" w:dllVersion="513" w:checkStyle="1"/>
  <w:activeWritingStyle w:appName="MSWord" w:lang="en-US" w:vendorID="8" w:dllVersion="513"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77"/>
    <w:rsid w:val="000000A9"/>
    <w:rsid w:val="00002369"/>
    <w:rsid w:val="00011534"/>
    <w:rsid w:val="000134E2"/>
    <w:rsid w:val="0001359C"/>
    <w:rsid w:val="00013A54"/>
    <w:rsid w:val="00014D6E"/>
    <w:rsid w:val="000153B7"/>
    <w:rsid w:val="00015AEF"/>
    <w:rsid w:val="00022236"/>
    <w:rsid w:val="000263D8"/>
    <w:rsid w:val="00026677"/>
    <w:rsid w:val="00033D58"/>
    <w:rsid w:val="000363D7"/>
    <w:rsid w:val="0004063D"/>
    <w:rsid w:val="00040D2E"/>
    <w:rsid w:val="00041C89"/>
    <w:rsid w:val="000426F5"/>
    <w:rsid w:val="00044CC3"/>
    <w:rsid w:val="00046116"/>
    <w:rsid w:val="000473EF"/>
    <w:rsid w:val="000503D0"/>
    <w:rsid w:val="000509CB"/>
    <w:rsid w:val="00055FE1"/>
    <w:rsid w:val="000616AD"/>
    <w:rsid w:val="000656B0"/>
    <w:rsid w:val="00066474"/>
    <w:rsid w:val="00070DCA"/>
    <w:rsid w:val="0007259F"/>
    <w:rsid w:val="00080796"/>
    <w:rsid w:val="00084373"/>
    <w:rsid w:val="00084780"/>
    <w:rsid w:val="00086136"/>
    <w:rsid w:val="00094577"/>
    <w:rsid w:val="000A3445"/>
    <w:rsid w:val="000B0940"/>
    <w:rsid w:val="000B21C2"/>
    <w:rsid w:val="000B640D"/>
    <w:rsid w:val="000B7F91"/>
    <w:rsid w:val="000C0ECF"/>
    <w:rsid w:val="000C1E6B"/>
    <w:rsid w:val="000D1B17"/>
    <w:rsid w:val="000D3E96"/>
    <w:rsid w:val="000D43AD"/>
    <w:rsid w:val="000D64AE"/>
    <w:rsid w:val="000E1C92"/>
    <w:rsid w:val="000E4601"/>
    <w:rsid w:val="000E4D8A"/>
    <w:rsid w:val="000F1421"/>
    <w:rsid w:val="000F4885"/>
    <w:rsid w:val="0010106B"/>
    <w:rsid w:val="00102637"/>
    <w:rsid w:val="001045CD"/>
    <w:rsid w:val="00104851"/>
    <w:rsid w:val="001057B4"/>
    <w:rsid w:val="001063B8"/>
    <w:rsid w:val="0010737A"/>
    <w:rsid w:val="00107561"/>
    <w:rsid w:val="00111C5C"/>
    <w:rsid w:val="00113CBF"/>
    <w:rsid w:val="00113FEA"/>
    <w:rsid w:val="001226B6"/>
    <w:rsid w:val="00127DC6"/>
    <w:rsid w:val="001331AE"/>
    <w:rsid w:val="001353D9"/>
    <w:rsid w:val="00135C07"/>
    <w:rsid w:val="001507FC"/>
    <w:rsid w:val="00155D3C"/>
    <w:rsid w:val="001601F2"/>
    <w:rsid w:val="001718C1"/>
    <w:rsid w:val="001728E7"/>
    <w:rsid w:val="00175769"/>
    <w:rsid w:val="001759B5"/>
    <w:rsid w:val="00180F61"/>
    <w:rsid w:val="0018264B"/>
    <w:rsid w:val="00183A79"/>
    <w:rsid w:val="00184E34"/>
    <w:rsid w:val="0018568F"/>
    <w:rsid w:val="00185D68"/>
    <w:rsid w:val="0018685D"/>
    <w:rsid w:val="00190AED"/>
    <w:rsid w:val="00191D33"/>
    <w:rsid w:val="00194758"/>
    <w:rsid w:val="0019544A"/>
    <w:rsid w:val="00197445"/>
    <w:rsid w:val="001A0663"/>
    <w:rsid w:val="001A64FB"/>
    <w:rsid w:val="001A792A"/>
    <w:rsid w:val="001B5586"/>
    <w:rsid w:val="001B745E"/>
    <w:rsid w:val="001C0665"/>
    <w:rsid w:val="001C3694"/>
    <w:rsid w:val="001C4852"/>
    <w:rsid w:val="001C547E"/>
    <w:rsid w:val="001C6DE9"/>
    <w:rsid w:val="001D64E9"/>
    <w:rsid w:val="001E437F"/>
    <w:rsid w:val="001E7343"/>
    <w:rsid w:val="001E73C7"/>
    <w:rsid w:val="001F7B41"/>
    <w:rsid w:val="00213810"/>
    <w:rsid w:val="00214C2C"/>
    <w:rsid w:val="00223707"/>
    <w:rsid w:val="00225F49"/>
    <w:rsid w:val="002341B0"/>
    <w:rsid w:val="00243DE1"/>
    <w:rsid w:val="00244039"/>
    <w:rsid w:val="0024422E"/>
    <w:rsid w:val="00252809"/>
    <w:rsid w:val="00252AF5"/>
    <w:rsid w:val="00265D69"/>
    <w:rsid w:val="00273C5C"/>
    <w:rsid w:val="002740AA"/>
    <w:rsid w:val="00275868"/>
    <w:rsid w:val="00277990"/>
    <w:rsid w:val="00285F2B"/>
    <w:rsid w:val="002953ED"/>
    <w:rsid w:val="00297E10"/>
    <w:rsid w:val="002B1C5E"/>
    <w:rsid w:val="002B2D53"/>
    <w:rsid w:val="002B35A6"/>
    <w:rsid w:val="002B74B3"/>
    <w:rsid w:val="002B77E3"/>
    <w:rsid w:val="002B7A80"/>
    <w:rsid w:val="002C0633"/>
    <w:rsid w:val="002C5A7E"/>
    <w:rsid w:val="002C5CE8"/>
    <w:rsid w:val="002D0C05"/>
    <w:rsid w:val="002D2AE5"/>
    <w:rsid w:val="002D2F04"/>
    <w:rsid w:val="002E263D"/>
    <w:rsid w:val="002F16AF"/>
    <w:rsid w:val="002F3B43"/>
    <w:rsid w:val="002F4B78"/>
    <w:rsid w:val="0030554D"/>
    <w:rsid w:val="003115AF"/>
    <w:rsid w:val="00311892"/>
    <w:rsid w:val="003134D1"/>
    <w:rsid w:val="00315B69"/>
    <w:rsid w:val="00316B08"/>
    <w:rsid w:val="00325B12"/>
    <w:rsid w:val="00337B7D"/>
    <w:rsid w:val="00360206"/>
    <w:rsid w:val="00361BE8"/>
    <w:rsid w:val="00361C53"/>
    <w:rsid w:val="003627EF"/>
    <w:rsid w:val="00367D6F"/>
    <w:rsid w:val="00374262"/>
    <w:rsid w:val="00374503"/>
    <w:rsid w:val="00383BFD"/>
    <w:rsid w:val="00384C6A"/>
    <w:rsid w:val="00396369"/>
    <w:rsid w:val="003A08D9"/>
    <w:rsid w:val="003A1AD0"/>
    <w:rsid w:val="003A3102"/>
    <w:rsid w:val="003A4425"/>
    <w:rsid w:val="003A533A"/>
    <w:rsid w:val="003B17A2"/>
    <w:rsid w:val="003B229F"/>
    <w:rsid w:val="003B5E4D"/>
    <w:rsid w:val="003C1CD8"/>
    <w:rsid w:val="003C3869"/>
    <w:rsid w:val="003C4BBC"/>
    <w:rsid w:val="003C5593"/>
    <w:rsid w:val="003C6DAB"/>
    <w:rsid w:val="003D2EE7"/>
    <w:rsid w:val="003D3F5A"/>
    <w:rsid w:val="003D6EE9"/>
    <w:rsid w:val="003D7EB5"/>
    <w:rsid w:val="003E0967"/>
    <w:rsid w:val="003E4B67"/>
    <w:rsid w:val="003E78F2"/>
    <w:rsid w:val="003F44A1"/>
    <w:rsid w:val="003F6F41"/>
    <w:rsid w:val="003F70C2"/>
    <w:rsid w:val="0040200D"/>
    <w:rsid w:val="00402678"/>
    <w:rsid w:val="00402E1F"/>
    <w:rsid w:val="00417166"/>
    <w:rsid w:val="00422945"/>
    <w:rsid w:val="0042329A"/>
    <w:rsid w:val="00424838"/>
    <w:rsid w:val="00427021"/>
    <w:rsid w:val="0043186D"/>
    <w:rsid w:val="00441747"/>
    <w:rsid w:val="00455877"/>
    <w:rsid w:val="00456F9E"/>
    <w:rsid w:val="004573E2"/>
    <w:rsid w:val="00476A26"/>
    <w:rsid w:val="00482FEB"/>
    <w:rsid w:val="004846E5"/>
    <w:rsid w:val="00485A1D"/>
    <w:rsid w:val="00486CA3"/>
    <w:rsid w:val="0049297C"/>
    <w:rsid w:val="004953E7"/>
    <w:rsid w:val="004977B9"/>
    <w:rsid w:val="004A4B97"/>
    <w:rsid w:val="004B0A0F"/>
    <w:rsid w:val="004B1A90"/>
    <w:rsid w:val="004B60D1"/>
    <w:rsid w:val="004B7884"/>
    <w:rsid w:val="004B7CFD"/>
    <w:rsid w:val="004C6A0A"/>
    <w:rsid w:val="004D4AED"/>
    <w:rsid w:val="004D5973"/>
    <w:rsid w:val="004D615A"/>
    <w:rsid w:val="004D7458"/>
    <w:rsid w:val="004F22A9"/>
    <w:rsid w:val="004F22F1"/>
    <w:rsid w:val="004F6ECE"/>
    <w:rsid w:val="004F768B"/>
    <w:rsid w:val="00502D48"/>
    <w:rsid w:val="005044B6"/>
    <w:rsid w:val="00506E65"/>
    <w:rsid w:val="00506FC0"/>
    <w:rsid w:val="00511218"/>
    <w:rsid w:val="0051576A"/>
    <w:rsid w:val="00524751"/>
    <w:rsid w:val="0052689E"/>
    <w:rsid w:val="00534714"/>
    <w:rsid w:val="00534C04"/>
    <w:rsid w:val="00535AAE"/>
    <w:rsid w:val="00535FF7"/>
    <w:rsid w:val="00536942"/>
    <w:rsid w:val="005411E5"/>
    <w:rsid w:val="00541819"/>
    <w:rsid w:val="00542378"/>
    <w:rsid w:val="0054473E"/>
    <w:rsid w:val="0054493E"/>
    <w:rsid w:val="00550DEE"/>
    <w:rsid w:val="0055632B"/>
    <w:rsid w:val="00556584"/>
    <w:rsid w:val="0056065A"/>
    <w:rsid w:val="00566810"/>
    <w:rsid w:val="00570863"/>
    <w:rsid w:val="005724ED"/>
    <w:rsid w:val="005735C9"/>
    <w:rsid w:val="005803B2"/>
    <w:rsid w:val="00582A1D"/>
    <w:rsid w:val="00587CA6"/>
    <w:rsid w:val="00591068"/>
    <w:rsid w:val="0059408F"/>
    <w:rsid w:val="00594232"/>
    <w:rsid w:val="0059745C"/>
    <w:rsid w:val="00597648"/>
    <w:rsid w:val="005A2F36"/>
    <w:rsid w:val="005A6599"/>
    <w:rsid w:val="005B0ADD"/>
    <w:rsid w:val="005B2A4A"/>
    <w:rsid w:val="005B34EB"/>
    <w:rsid w:val="005B7052"/>
    <w:rsid w:val="005C4527"/>
    <w:rsid w:val="005D0BBF"/>
    <w:rsid w:val="005D2673"/>
    <w:rsid w:val="005D5514"/>
    <w:rsid w:val="005E41C0"/>
    <w:rsid w:val="005E5398"/>
    <w:rsid w:val="005E5E06"/>
    <w:rsid w:val="005E6DA5"/>
    <w:rsid w:val="005F07B6"/>
    <w:rsid w:val="005F54EF"/>
    <w:rsid w:val="005F7FCC"/>
    <w:rsid w:val="00601FEE"/>
    <w:rsid w:val="0060653F"/>
    <w:rsid w:val="00613716"/>
    <w:rsid w:val="00615DC4"/>
    <w:rsid w:val="0062381D"/>
    <w:rsid w:val="00626295"/>
    <w:rsid w:val="00627391"/>
    <w:rsid w:val="00633E0D"/>
    <w:rsid w:val="006423FE"/>
    <w:rsid w:val="00653755"/>
    <w:rsid w:val="00665939"/>
    <w:rsid w:val="0067342A"/>
    <w:rsid w:val="0067709A"/>
    <w:rsid w:val="006857EA"/>
    <w:rsid w:val="006867C8"/>
    <w:rsid w:val="006A377D"/>
    <w:rsid w:val="006A3872"/>
    <w:rsid w:val="006A3D5A"/>
    <w:rsid w:val="006A7C31"/>
    <w:rsid w:val="006B2B9B"/>
    <w:rsid w:val="006C0BB5"/>
    <w:rsid w:val="006C17B9"/>
    <w:rsid w:val="006C408B"/>
    <w:rsid w:val="006C5042"/>
    <w:rsid w:val="006D0E54"/>
    <w:rsid w:val="006D3FF7"/>
    <w:rsid w:val="006D4C20"/>
    <w:rsid w:val="006E06F0"/>
    <w:rsid w:val="006E4720"/>
    <w:rsid w:val="006E7BD1"/>
    <w:rsid w:val="006F20B0"/>
    <w:rsid w:val="006F2C9D"/>
    <w:rsid w:val="006F2D3C"/>
    <w:rsid w:val="00703876"/>
    <w:rsid w:val="00712296"/>
    <w:rsid w:val="00713046"/>
    <w:rsid w:val="007130C2"/>
    <w:rsid w:val="007218B0"/>
    <w:rsid w:val="00724979"/>
    <w:rsid w:val="007274D3"/>
    <w:rsid w:val="00733E70"/>
    <w:rsid w:val="00733FF9"/>
    <w:rsid w:val="00734B9C"/>
    <w:rsid w:val="00744DAE"/>
    <w:rsid w:val="00745CED"/>
    <w:rsid w:val="007522EF"/>
    <w:rsid w:val="00756E69"/>
    <w:rsid w:val="00756FE9"/>
    <w:rsid w:val="0076031F"/>
    <w:rsid w:val="007608B3"/>
    <w:rsid w:val="007629CD"/>
    <w:rsid w:val="00764D81"/>
    <w:rsid w:val="00774921"/>
    <w:rsid w:val="00774999"/>
    <w:rsid w:val="00775A08"/>
    <w:rsid w:val="00781162"/>
    <w:rsid w:val="00782089"/>
    <w:rsid w:val="007829C6"/>
    <w:rsid w:val="007844AD"/>
    <w:rsid w:val="007848A5"/>
    <w:rsid w:val="007849EF"/>
    <w:rsid w:val="00790AE1"/>
    <w:rsid w:val="00791DC4"/>
    <w:rsid w:val="007941DB"/>
    <w:rsid w:val="007A0005"/>
    <w:rsid w:val="007A7B60"/>
    <w:rsid w:val="007A7D64"/>
    <w:rsid w:val="007B50A2"/>
    <w:rsid w:val="007C0AF1"/>
    <w:rsid w:val="007C40D0"/>
    <w:rsid w:val="007C4619"/>
    <w:rsid w:val="007C7381"/>
    <w:rsid w:val="007D0954"/>
    <w:rsid w:val="007D3D91"/>
    <w:rsid w:val="007D675D"/>
    <w:rsid w:val="007E009C"/>
    <w:rsid w:val="007E0AF4"/>
    <w:rsid w:val="007E4CF5"/>
    <w:rsid w:val="007E5523"/>
    <w:rsid w:val="007E6717"/>
    <w:rsid w:val="007E68DA"/>
    <w:rsid w:val="007F101E"/>
    <w:rsid w:val="007F1EC3"/>
    <w:rsid w:val="007F2B16"/>
    <w:rsid w:val="00800C86"/>
    <w:rsid w:val="00802599"/>
    <w:rsid w:val="0081198A"/>
    <w:rsid w:val="00813E8E"/>
    <w:rsid w:val="00815271"/>
    <w:rsid w:val="0081542F"/>
    <w:rsid w:val="0082179B"/>
    <w:rsid w:val="00831786"/>
    <w:rsid w:val="00831C30"/>
    <w:rsid w:val="00834995"/>
    <w:rsid w:val="0084080D"/>
    <w:rsid w:val="0084130B"/>
    <w:rsid w:val="00841810"/>
    <w:rsid w:val="00853D6A"/>
    <w:rsid w:val="008540FF"/>
    <w:rsid w:val="00855841"/>
    <w:rsid w:val="00863C5B"/>
    <w:rsid w:val="00865591"/>
    <w:rsid w:val="00870916"/>
    <w:rsid w:val="0087771A"/>
    <w:rsid w:val="00881DA7"/>
    <w:rsid w:val="00883CB4"/>
    <w:rsid w:val="00887529"/>
    <w:rsid w:val="00895506"/>
    <w:rsid w:val="008A2BCA"/>
    <w:rsid w:val="008A2D6E"/>
    <w:rsid w:val="008A7DD2"/>
    <w:rsid w:val="008B291F"/>
    <w:rsid w:val="008B6F3B"/>
    <w:rsid w:val="008C18DB"/>
    <w:rsid w:val="008C5682"/>
    <w:rsid w:val="008C7993"/>
    <w:rsid w:val="008D0048"/>
    <w:rsid w:val="008D7E28"/>
    <w:rsid w:val="008E1F19"/>
    <w:rsid w:val="008E33F7"/>
    <w:rsid w:val="008E523C"/>
    <w:rsid w:val="008E6148"/>
    <w:rsid w:val="008F3EF7"/>
    <w:rsid w:val="008F5665"/>
    <w:rsid w:val="008F5CB5"/>
    <w:rsid w:val="009052B0"/>
    <w:rsid w:val="00910912"/>
    <w:rsid w:val="00915F7F"/>
    <w:rsid w:val="00916EFE"/>
    <w:rsid w:val="00922350"/>
    <w:rsid w:val="00923C1A"/>
    <w:rsid w:val="0092511F"/>
    <w:rsid w:val="00931082"/>
    <w:rsid w:val="0093558D"/>
    <w:rsid w:val="00941609"/>
    <w:rsid w:val="009438D0"/>
    <w:rsid w:val="0094428D"/>
    <w:rsid w:val="00957195"/>
    <w:rsid w:val="00960EF7"/>
    <w:rsid w:val="0096622E"/>
    <w:rsid w:val="0096710B"/>
    <w:rsid w:val="00976567"/>
    <w:rsid w:val="009775E6"/>
    <w:rsid w:val="0098298D"/>
    <w:rsid w:val="009949F0"/>
    <w:rsid w:val="009958E8"/>
    <w:rsid w:val="00995BB0"/>
    <w:rsid w:val="009A1E4C"/>
    <w:rsid w:val="009A755A"/>
    <w:rsid w:val="009B53C1"/>
    <w:rsid w:val="009C1759"/>
    <w:rsid w:val="009C2100"/>
    <w:rsid w:val="009C2A9A"/>
    <w:rsid w:val="009C3864"/>
    <w:rsid w:val="009C3DB7"/>
    <w:rsid w:val="009E0160"/>
    <w:rsid w:val="009E2C02"/>
    <w:rsid w:val="009E3936"/>
    <w:rsid w:val="009E401D"/>
    <w:rsid w:val="009E6E59"/>
    <w:rsid w:val="009F206A"/>
    <w:rsid w:val="009F4477"/>
    <w:rsid w:val="009F49D3"/>
    <w:rsid w:val="009F6C15"/>
    <w:rsid w:val="00A00D12"/>
    <w:rsid w:val="00A01A01"/>
    <w:rsid w:val="00A020F7"/>
    <w:rsid w:val="00A02989"/>
    <w:rsid w:val="00A031C0"/>
    <w:rsid w:val="00A0384F"/>
    <w:rsid w:val="00A066D4"/>
    <w:rsid w:val="00A16E77"/>
    <w:rsid w:val="00A17937"/>
    <w:rsid w:val="00A2046A"/>
    <w:rsid w:val="00A20E80"/>
    <w:rsid w:val="00A278DA"/>
    <w:rsid w:val="00A27D8A"/>
    <w:rsid w:val="00A32E51"/>
    <w:rsid w:val="00A37ADA"/>
    <w:rsid w:val="00A4397E"/>
    <w:rsid w:val="00A5302D"/>
    <w:rsid w:val="00A55576"/>
    <w:rsid w:val="00A62005"/>
    <w:rsid w:val="00A6537F"/>
    <w:rsid w:val="00A7013D"/>
    <w:rsid w:val="00A75EA2"/>
    <w:rsid w:val="00A802F5"/>
    <w:rsid w:val="00A87D0B"/>
    <w:rsid w:val="00A95199"/>
    <w:rsid w:val="00A9596F"/>
    <w:rsid w:val="00A971E3"/>
    <w:rsid w:val="00AA2B4D"/>
    <w:rsid w:val="00AB2633"/>
    <w:rsid w:val="00AB443B"/>
    <w:rsid w:val="00AB6D95"/>
    <w:rsid w:val="00AC13C5"/>
    <w:rsid w:val="00AC6FFF"/>
    <w:rsid w:val="00AC77A7"/>
    <w:rsid w:val="00AD180F"/>
    <w:rsid w:val="00AD4596"/>
    <w:rsid w:val="00AD4B1A"/>
    <w:rsid w:val="00AD61B7"/>
    <w:rsid w:val="00AE1584"/>
    <w:rsid w:val="00AE5E07"/>
    <w:rsid w:val="00AF2BF3"/>
    <w:rsid w:val="00B03D95"/>
    <w:rsid w:val="00B059ED"/>
    <w:rsid w:val="00B10E9B"/>
    <w:rsid w:val="00B119A9"/>
    <w:rsid w:val="00B143B9"/>
    <w:rsid w:val="00B151A9"/>
    <w:rsid w:val="00B21261"/>
    <w:rsid w:val="00B2285D"/>
    <w:rsid w:val="00B26F44"/>
    <w:rsid w:val="00B32D4A"/>
    <w:rsid w:val="00B3410B"/>
    <w:rsid w:val="00B35CD5"/>
    <w:rsid w:val="00B36203"/>
    <w:rsid w:val="00B44999"/>
    <w:rsid w:val="00B46648"/>
    <w:rsid w:val="00B47C32"/>
    <w:rsid w:val="00B53844"/>
    <w:rsid w:val="00B56D6E"/>
    <w:rsid w:val="00B64C8B"/>
    <w:rsid w:val="00B70422"/>
    <w:rsid w:val="00B73FC7"/>
    <w:rsid w:val="00B75213"/>
    <w:rsid w:val="00B807CE"/>
    <w:rsid w:val="00B819B5"/>
    <w:rsid w:val="00B841EE"/>
    <w:rsid w:val="00B84E50"/>
    <w:rsid w:val="00B9680F"/>
    <w:rsid w:val="00BA10D8"/>
    <w:rsid w:val="00BA1ADE"/>
    <w:rsid w:val="00BB696E"/>
    <w:rsid w:val="00BC1FF1"/>
    <w:rsid w:val="00BD3393"/>
    <w:rsid w:val="00BD537C"/>
    <w:rsid w:val="00BE565C"/>
    <w:rsid w:val="00BF1814"/>
    <w:rsid w:val="00BF2DEC"/>
    <w:rsid w:val="00BF725E"/>
    <w:rsid w:val="00C00B59"/>
    <w:rsid w:val="00C0127A"/>
    <w:rsid w:val="00C01B3E"/>
    <w:rsid w:val="00C04152"/>
    <w:rsid w:val="00C06AC0"/>
    <w:rsid w:val="00C07103"/>
    <w:rsid w:val="00C106B0"/>
    <w:rsid w:val="00C1370F"/>
    <w:rsid w:val="00C1396A"/>
    <w:rsid w:val="00C1505F"/>
    <w:rsid w:val="00C30846"/>
    <w:rsid w:val="00C31172"/>
    <w:rsid w:val="00C327C6"/>
    <w:rsid w:val="00C32963"/>
    <w:rsid w:val="00C34F89"/>
    <w:rsid w:val="00C36B89"/>
    <w:rsid w:val="00C36FBA"/>
    <w:rsid w:val="00C41245"/>
    <w:rsid w:val="00C44991"/>
    <w:rsid w:val="00C47535"/>
    <w:rsid w:val="00C53ACF"/>
    <w:rsid w:val="00C5467B"/>
    <w:rsid w:val="00C5629D"/>
    <w:rsid w:val="00C5717E"/>
    <w:rsid w:val="00C659CA"/>
    <w:rsid w:val="00C65AEE"/>
    <w:rsid w:val="00C74A85"/>
    <w:rsid w:val="00C831A1"/>
    <w:rsid w:val="00C87053"/>
    <w:rsid w:val="00C90784"/>
    <w:rsid w:val="00C90A04"/>
    <w:rsid w:val="00C91121"/>
    <w:rsid w:val="00C911F3"/>
    <w:rsid w:val="00C952AB"/>
    <w:rsid w:val="00CA41BC"/>
    <w:rsid w:val="00CA59DC"/>
    <w:rsid w:val="00CB1ED0"/>
    <w:rsid w:val="00CB3878"/>
    <w:rsid w:val="00CC09CE"/>
    <w:rsid w:val="00CC2458"/>
    <w:rsid w:val="00CC68C9"/>
    <w:rsid w:val="00CC7652"/>
    <w:rsid w:val="00CD0653"/>
    <w:rsid w:val="00CD38F0"/>
    <w:rsid w:val="00CD6476"/>
    <w:rsid w:val="00CE12E7"/>
    <w:rsid w:val="00CE2914"/>
    <w:rsid w:val="00CE675F"/>
    <w:rsid w:val="00CF098D"/>
    <w:rsid w:val="00CF2483"/>
    <w:rsid w:val="00CF6D6A"/>
    <w:rsid w:val="00D01049"/>
    <w:rsid w:val="00D03F92"/>
    <w:rsid w:val="00D069D3"/>
    <w:rsid w:val="00D27A79"/>
    <w:rsid w:val="00D3125B"/>
    <w:rsid w:val="00D31598"/>
    <w:rsid w:val="00D3533D"/>
    <w:rsid w:val="00D35579"/>
    <w:rsid w:val="00D35EC9"/>
    <w:rsid w:val="00D442DF"/>
    <w:rsid w:val="00D45009"/>
    <w:rsid w:val="00D45F19"/>
    <w:rsid w:val="00D5149F"/>
    <w:rsid w:val="00D54014"/>
    <w:rsid w:val="00D57442"/>
    <w:rsid w:val="00D61947"/>
    <w:rsid w:val="00D638C3"/>
    <w:rsid w:val="00D664CE"/>
    <w:rsid w:val="00D67E69"/>
    <w:rsid w:val="00D72586"/>
    <w:rsid w:val="00D81512"/>
    <w:rsid w:val="00D878E4"/>
    <w:rsid w:val="00DA0354"/>
    <w:rsid w:val="00DA0E11"/>
    <w:rsid w:val="00DA2589"/>
    <w:rsid w:val="00DA3586"/>
    <w:rsid w:val="00DA51C3"/>
    <w:rsid w:val="00DA5E2A"/>
    <w:rsid w:val="00DB36E0"/>
    <w:rsid w:val="00DB5638"/>
    <w:rsid w:val="00DC1EFA"/>
    <w:rsid w:val="00DC3519"/>
    <w:rsid w:val="00DD374D"/>
    <w:rsid w:val="00DD53C9"/>
    <w:rsid w:val="00DE21E4"/>
    <w:rsid w:val="00DE6F32"/>
    <w:rsid w:val="00DF1AD8"/>
    <w:rsid w:val="00DF53E3"/>
    <w:rsid w:val="00E12177"/>
    <w:rsid w:val="00E2078C"/>
    <w:rsid w:val="00E216E7"/>
    <w:rsid w:val="00E23803"/>
    <w:rsid w:val="00E245D7"/>
    <w:rsid w:val="00E25CA6"/>
    <w:rsid w:val="00E33C3F"/>
    <w:rsid w:val="00E36F04"/>
    <w:rsid w:val="00E370F5"/>
    <w:rsid w:val="00E37F0A"/>
    <w:rsid w:val="00E505B5"/>
    <w:rsid w:val="00E51D0C"/>
    <w:rsid w:val="00E540BE"/>
    <w:rsid w:val="00E55C2A"/>
    <w:rsid w:val="00E634F1"/>
    <w:rsid w:val="00E63730"/>
    <w:rsid w:val="00E716BD"/>
    <w:rsid w:val="00E72244"/>
    <w:rsid w:val="00E83BE8"/>
    <w:rsid w:val="00EA48AF"/>
    <w:rsid w:val="00EA5752"/>
    <w:rsid w:val="00EA6B2E"/>
    <w:rsid w:val="00EA734A"/>
    <w:rsid w:val="00EB4652"/>
    <w:rsid w:val="00EB64C6"/>
    <w:rsid w:val="00EC258E"/>
    <w:rsid w:val="00EC49D2"/>
    <w:rsid w:val="00EC5C5A"/>
    <w:rsid w:val="00EC607A"/>
    <w:rsid w:val="00EC6549"/>
    <w:rsid w:val="00EE022E"/>
    <w:rsid w:val="00EE0738"/>
    <w:rsid w:val="00EE6705"/>
    <w:rsid w:val="00EF4242"/>
    <w:rsid w:val="00EF5C23"/>
    <w:rsid w:val="00F04427"/>
    <w:rsid w:val="00F067FF"/>
    <w:rsid w:val="00F0722E"/>
    <w:rsid w:val="00F104EF"/>
    <w:rsid w:val="00F219E6"/>
    <w:rsid w:val="00F503B1"/>
    <w:rsid w:val="00F54D95"/>
    <w:rsid w:val="00F5768E"/>
    <w:rsid w:val="00F60AE1"/>
    <w:rsid w:val="00F62B18"/>
    <w:rsid w:val="00F70518"/>
    <w:rsid w:val="00F73091"/>
    <w:rsid w:val="00F82B9E"/>
    <w:rsid w:val="00F833E5"/>
    <w:rsid w:val="00F905A5"/>
    <w:rsid w:val="00F933E7"/>
    <w:rsid w:val="00F934B6"/>
    <w:rsid w:val="00F95F5F"/>
    <w:rsid w:val="00FA059E"/>
    <w:rsid w:val="00FA088A"/>
    <w:rsid w:val="00FA37B2"/>
    <w:rsid w:val="00FA3DCB"/>
    <w:rsid w:val="00FB4C55"/>
    <w:rsid w:val="00FB72F7"/>
    <w:rsid w:val="00FC065B"/>
    <w:rsid w:val="00FC7A07"/>
    <w:rsid w:val="00FE1A84"/>
    <w:rsid w:val="00FE282A"/>
    <w:rsid w:val="00FE2DA6"/>
    <w:rsid w:val="00FF24E3"/>
    <w:rsid w:val="00FF4258"/>
    <w:rsid w:val="00FF54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4609F"/>
  <w15:chartTrackingRefBased/>
  <w15:docId w15:val="{3B110BDA-2F2A-43AF-A62D-5A5FDB41D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Normal"/>
    <w:qFormat/>
    <w:pPr>
      <w:keepNext/>
      <w:widowControl w:val="0"/>
      <w:spacing w:line="320" w:lineRule="exact"/>
      <w:jc w:val="center"/>
      <w:outlineLvl w:val="0"/>
    </w:pPr>
    <w:rPr>
      <w:b/>
      <w:sz w:val="24"/>
    </w:rPr>
  </w:style>
  <w:style w:type="paragraph" w:styleId="Ttulo2">
    <w:name w:val="heading 2"/>
    <w:basedOn w:val="Normal"/>
    <w:next w:val="Normal"/>
    <w:qFormat/>
    <w:pPr>
      <w:keepNext/>
      <w:widowControl w:val="0"/>
      <w:spacing w:line="320" w:lineRule="exact"/>
      <w:ind w:left="426" w:hanging="426"/>
      <w:jc w:val="both"/>
      <w:outlineLvl w:val="1"/>
    </w:pPr>
    <w:rPr>
      <w:sz w:val="24"/>
    </w:rPr>
  </w:style>
  <w:style w:type="paragraph" w:styleId="Ttulo3">
    <w:name w:val="heading 3"/>
    <w:basedOn w:val="Normal"/>
    <w:next w:val="Normal"/>
    <w:qFormat/>
    <w:pPr>
      <w:keepNext/>
      <w:jc w:val="center"/>
      <w:outlineLvl w:val="2"/>
    </w:pPr>
    <w:rPr>
      <w:sz w:val="24"/>
      <w:lang w:val="en-AU"/>
    </w:rPr>
  </w:style>
  <w:style w:type="paragraph" w:styleId="Ttulo4">
    <w:name w:val="heading 4"/>
    <w:basedOn w:val="Normal"/>
    <w:next w:val="Normal"/>
    <w:qFormat/>
    <w:pPr>
      <w:keepNext/>
      <w:pBdr>
        <w:bottom w:val="single" w:sz="6" w:space="1" w:color="auto"/>
      </w:pBdr>
      <w:spacing w:line="320" w:lineRule="exact"/>
      <w:jc w:val="center"/>
      <w:outlineLvl w:val="3"/>
    </w:pPr>
    <w:rPr>
      <w:b/>
      <w:sz w:val="22"/>
    </w:rPr>
  </w:style>
  <w:style w:type="paragraph" w:styleId="Ttulo5">
    <w:name w:val="heading 5"/>
    <w:basedOn w:val="Normal"/>
    <w:next w:val="Normal"/>
    <w:qFormat/>
    <w:pPr>
      <w:keepNext/>
      <w:jc w:val="both"/>
      <w:outlineLvl w:val="4"/>
    </w:pPr>
    <w:rPr>
      <w:b/>
    </w:rPr>
  </w:style>
  <w:style w:type="paragraph" w:styleId="Ttulo6">
    <w:name w:val="heading 6"/>
    <w:basedOn w:val="Normal"/>
    <w:next w:val="Normal"/>
    <w:link w:val="Ttulo6Char"/>
    <w:qFormat/>
    <w:pPr>
      <w:keepNext/>
      <w:outlineLvl w:val="5"/>
    </w:pPr>
    <w:rPr>
      <w:b/>
    </w:rPr>
  </w:style>
  <w:style w:type="paragraph" w:styleId="Ttulo7">
    <w:name w:val="heading 7"/>
    <w:basedOn w:val="Normal"/>
    <w:next w:val="Normal"/>
    <w:qFormat/>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qFormat/>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qFormat/>
    <w:pPr>
      <w:keepNext/>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pPr>
      <w:widowControl w:val="0"/>
      <w:spacing w:line="320" w:lineRule="exact"/>
      <w:jc w:val="center"/>
    </w:pPr>
    <w:rPr>
      <w:b/>
      <w:sz w:val="24"/>
    </w:rPr>
  </w:style>
  <w:style w:type="paragraph" w:styleId="Corpodetexto">
    <w:name w:val="Body Text"/>
    <w:aliases w:val="Corpo de texto Char Char Char Char Char,Corpo de texto Char Char Char Char"/>
    <w:basedOn w:val="Normal"/>
    <w:link w:val="CorpodetextoChar"/>
    <w:pPr>
      <w:jc w:val="center"/>
    </w:pPr>
    <w:rPr>
      <w:b/>
      <w:sz w:val="28"/>
      <w:lang w:val="en-AU" w:eastAsia="en-US"/>
    </w:rPr>
  </w:style>
  <w:style w:type="paragraph" w:styleId="Recuodecorpodetexto3">
    <w:name w:val="Body Text Indent 3"/>
    <w:basedOn w:val="Normal"/>
    <w:pPr>
      <w:widowControl w:val="0"/>
      <w:ind w:left="709" w:hanging="709"/>
      <w:jc w:val="both"/>
    </w:pPr>
    <w:rPr>
      <w:sz w:val="22"/>
    </w:rPr>
  </w:style>
  <w:style w:type="paragraph" w:styleId="Corpodetexto3">
    <w:name w:val="Body Text 3"/>
    <w:basedOn w:val="Normal"/>
    <w:pPr>
      <w:widowControl w:val="0"/>
      <w:spacing w:line="320" w:lineRule="exact"/>
      <w:jc w:val="both"/>
    </w:pPr>
    <w:rPr>
      <w:b/>
      <w:sz w:val="26"/>
    </w:rPr>
  </w:style>
  <w:style w:type="character" w:styleId="Nmerodepgina">
    <w:name w:val="page number"/>
    <w:basedOn w:val="Fontepargpadro"/>
  </w:style>
  <w:style w:type="paragraph" w:styleId="Rodap">
    <w:name w:val="footer"/>
    <w:basedOn w:val="Normal"/>
    <w:link w:val="RodapChar"/>
    <w:uiPriority w:val="99"/>
    <w:pPr>
      <w:tabs>
        <w:tab w:val="center" w:pos="4320"/>
        <w:tab w:val="right" w:pos="8640"/>
      </w:tabs>
    </w:pPr>
  </w:style>
  <w:style w:type="paragraph" w:styleId="Cabealho">
    <w:name w:val="header"/>
    <w:basedOn w:val="Normal"/>
    <w:link w:val="CabealhoChar"/>
    <w:pPr>
      <w:tabs>
        <w:tab w:val="center" w:pos="4320"/>
        <w:tab w:val="right" w:pos="8640"/>
      </w:tabs>
    </w:pPr>
  </w:style>
  <w:style w:type="paragraph" w:styleId="Corpodetexto2">
    <w:name w:val="Body Text 2"/>
    <w:basedOn w:val="Normal"/>
    <w:pPr>
      <w:jc w:val="both"/>
    </w:pPr>
    <w:rPr>
      <w:sz w:val="22"/>
    </w:rPr>
  </w:style>
  <w:style w:type="paragraph" w:styleId="Recuodecorpodetexto">
    <w:name w:val="Body Text Indent"/>
    <w:basedOn w:val="Normal"/>
    <w:pPr>
      <w:ind w:left="720" w:hanging="720"/>
      <w:jc w:val="both"/>
    </w:pPr>
    <w:rPr>
      <w:sz w:val="22"/>
    </w:rPr>
  </w:style>
  <w:style w:type="paragraph" w:styleId="Recuodecorpodetexto2">
    <w:name w:val="Body Text Indent 2"/>
    <w:basedOn w:val="Normal"/>
    <w:pPr>
      <w:ind w:left="720" w:hanging="720"/>
      <w:jc w:val="both"/>
    </w:pPr>
    <w:rPr>
      <w:snapToGrid w:val="0"/>
      <w:color w:val="000000"/>
      <w:sz w:val="22"/>
      <w:lang w:eastAsia="en-US"/>
    </w:rPr>
  </w:style>
  <w:style w:type="paragraph" w:styleId="Subttulo">
    <w:name w:val="Subtitle"/>
    <w:basedOn w:val="Normal"/>
    <w:qFormat/>
    <w:pPr>
      <w:spacing w:line="320" w:lineRule="exact"/>
      <w:ind w:left="720" w:right="656"/>
      <w:jc w:val="center"/>
    </w:pPr>
    <w:rPr>
      <w:b/>
      <w:sz w:val="22"/>
    </w:rPr>
  </w:style>
  <w:style w:type="paragraph" w:styleId="Textoembloco">
    <w:name w:val="Block Text"/>
    <w:basedOn w:val="Normal"/>
    <w:pPr>
      <w:ind w:left="1418" w:right="193" w:hanging="709"/>
      <w:jc w:val="both"/>
    </w:pPr>
    <w:rPr>
      <w:sz w:val="22"/>
    </w:rPr>
  </w:style>
  <w:style w:type="character" w:styleId="Refdecomentrio">
    <w:name w:val="annotation reference"/>
    <w:semiHidden/>
    <w:rPr>
      <w:sz w:val="16"/>
    </w:rPr>
  </w:style>
  <w:style w:type="paragraph" w:styleId="Textodecomentrio">
    <w:name w:val="annotation text"/>
    <w:basedOn w:val="Normal"/>
    <w:link w:val="TextodecomentrioChar"/>
    <w:semiHidden/>
    <w:pPr>
      <w:jc w:val="both"/>
    </w:pPr>
  </w:style>
  <w:style w:type="paragraph" w:customStyle="1" w:styleId="BodyText21">
    <w:name w:val="Body Text 21"/>
    <w:basedOn w:val="Normal"/>
    <w:uiPriority w:val="99"/>
    <w:pPr>
      <w:jc w:val="both"/>
    </w:pPr>
    <w:rPr>
      <w:sz w:val="22"/>
    </w:rPr>
  </w:style>
  <w:style w:type="paragraph" w:styleId="TextosemFormatao">
    <w:name w:val="Plain Text"/>
    <w:basedOn w:val="Normal"/>
    <w:rPr>
      <w:rFonts w:ascii="Courier New" w:hAnsi="Courier New"/>
    </w:rPr>
  </w:style>
  <w:style w:type="paragraph" w:styleId="Commarcadores">
    <w:name w:val="List Bullet"/>
    <w:basedOn w:val="Normal"/>
    <w:autoRedefine/>
    <w:pPr>
      <w:numPr>
        <w:numId w:val="6"/>
      </w:numPr>
    </w:pPr>
  </w:style>
  <w:style w:type="paragraph" w:styleId="NormalWeb">
    <w:name w:val="Normal (Web)"/>
    <w:basedOn w:val="Normal"/>
    <w:uiPriority w:val="99"/>
    <w:pPr>
      <w:spacing w:before="100" w:after="100"/>
    </w:pPr>
    <w:rPr>
      <w:rFonts w:ascii="Arial Unicode MS" w:eastAsia="Arial Unicode MS" w:hAnsi="Arial Unicode MS"/>
      <w:sz w:val="24"/>
    </w:rPr>
  </w:style>
  <w:style w:type="paragraph" w:customStyle="1" w:styleId="Textodebalo1">
    <w:name w:val="Texto de balão1"/>
    <w:basedOn w:val="Normal"/>
    <w:semiHidden/>
    <w:rPr>
      <w:rFonts w:ascii="Tahoma" w:hAnsi="Tahoma" w:cs="Tahoma"/>
      <w:sz w:val="16"/>
      <w:szCs w:val="16"/>
    </w:rPr>
  </w:style>
  <w:style w:type="character" w:styleId="Hyperlink">
    <w:name w:val="Hyperlink"/>
    <w:rPr>
      <w:color w:val="0000FF"/>
      <w:u w:val="single"/>
    </w:rPr>
  </w:style>
  <w:style w:type="paragraph" w:styleId="Textodenotaderodap">
    <w:name w:val="footnote text"/>
    <w:basedOn w:val="Normal"/>
    <w:link w:val="TextodenotaderodapChar"/>
    <w:uiPriority w:val="99"/>
  </w:style>
  <w:style w:type="character" w:styleId="Refdenotaderodap">
    <w:name w:val="footnote reference"/>
    <w:uiPriority w:val="99"/>
    <w:rPr>
      <w:vertAlign w:val="superscript"/>
    </w:rPr>
  </w:style>
  <w:style w:type="paragraph" w:styleId="Legenda">
    <w:name w:val="caption"/>
    <w:basedOn w:val="Normal"/>
    <w:next w:val="Normal"/>
    <w:qFormat/>
    <w:pPr>
      <w:keepNext/>
      <w:pBdr>
        <w:bottom w:val="single" w:sz="12" w:space="1" w:color="808080"/>
      </w:pBdr>
      <w:spacing w:before="360" w:after="240"/>
      <w:jc w:val="both"/>
    </w:pPr>
    <w:rPr>
      <w:rFonts w:ascii="Verdana" w:hAnsi="Verdana"/>
      <w:b/>
      <w:color w:val="000000"/>
      <w:sz w:val="22"/>
      <w:szCs w:val="22"/>
    </w:rPr>
  </w:style>
  <w:style w:type="character" w:styleId="HiperlinkVisitado">
    <w:name w:val="FollowedHyperlink"/>
    <w:rPr>
      <w:color w:val="800080"/>
      <w:u w:val="single"/>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orpo">
    <w:name w:val="Corpo"/>
    <w:basedOn w:val="Normal"/>
    <w:rsid w:val="000E4601"/>
    <w:pPr>
      <w:jc w:val="both"/>
    </w:pPr>
    <w:rPr>
      <w:color w:val="000000"/>
      <w:lang w:eastAsia="en-US"/>
    </w:rPr>
  </w:style>
  <w:style w:type="paragraph" w:customStyle="1" w:styleId="Char">
    <w:name w:val="Char"/>
    <w:basedOn w:val="Normal"/>
    <w:rsid w:val="006A3D5A"/>
    <w:pPr>
      <w:spacing w:after="160" w:line="240" w:lineRule="exact"/>
    </w:pPr>
    <w:rPr>
      <w:rFonts w:ascii="Verdana" w:hAnsi="Verdana"/>
      <w:lang w:val="en-US" w:eastAsia="en-US"/>
    </w:rPr>
  </w:style>
  <w:style w:type="paragraph" w:styleId="Textodebalo">
    <w:name w:val="Balloon Text"/>
    <w:basedOn w:val="Normal"/>
    <w:semiHidden/>
    <w:rsid w:val="00275868"/>
    <w:rPr>
      <w:rFonts w:ascii="Tahoma" w:hAnsi="Tahoma" w:cs="Tahoma"/>
      <w:sz w:val="16"/>
      <w:szCs w:val="16"/>
    </w:rPr>
  </w:style>
  <w:style w:type="character" w:styleId="nfase">
    <w:name w:val="Emphasis"/>
    <w:qFormat/>
    <w:rsid w:val="006C0BB5"/>
    <w:rPr>
      <w:i/>
      <w:iCs/>
    </w:rPr>
  </w:style>
  <w:style w:type="table" w:styleId="Tabelacomgrade">
    <w:name w:val="Table Grid"/>
    <w:basedOn w:val="Tabelanormal"/>
    <w:rsid w:val="006C0B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semiHidden/>
    <w:rsid w:val="00427021"/>
    <w:pPr>
      <w:jc w:val="left"/>
    </w:pPr>
    <w:rPr>
      <w:b/>
      <w:bCs/>
    </w:rPr>
  </w:style>
  <w:style w:type="paragraph" w:customStyle="1" w:styleId="Char1">
    <w:name w:val="Char1"/>
    <w:basedOn w:val="Normal"/>
    <w:rsid w:val="00A802F5"/>
    <w:pPr>
      <w:spacing w:after="160" w:line="240" w:lineRule="exact"/>
    </w:pPr>
    <w:rPr>
      <w:rFonts w:ascii="Verdana" w:hAnsi="Verdana"/>
      <w:lang w:val="en-US" w:eastAsia="en-US"/>
    </w:rPr>
  </w:style>
  <w:style w:type="character" w:customStyle="1" w:styleId="CabealhoChar">
    <w:name w:val="Cabeçalho Char"/>
    <w:basedOn w:val="Fontepargpadro"/>
    <w:link w:val="Cabealho"/>
    <w:rsid w:val="00CC09CE"/>
  </w:style>
  <w:style w:type="character" w:customStyle="1" w:styleId="RodapChar">
    <w:name w:val="Rodapé Char"/>
    <w:basedOn w:val="Fontepargpadro"/>
    <w:link w:val="Rodap"/>
    <w:uiPriority w:val="99"/>
    <w:rsid w:val="00A87D0B"/>
  </w:style>
  <w:style w:type="paragraph" w:customStyle="1" w:styleId="CharCharCharCharCharChar">
    <w:name w:val="Char Char Char Char Char Char"/>
    <w:basedOn w:val="Normal"/>
    <w:rsid w:val="003A533A"/>
    <w:pPr>
      <w:spacing w:after="160" w:line="240" w:lineRule="exact"/>
    </w:pPr>
    <w:rPr>
      <w:rFonts w:ascii="Verdana" w:eastAsia="MS Mincho" w:hAnsi="Verdana"/>
      <w:lang w:val="en-US" w:eastAsia="en-US"/>
    </w:rPr>
  </w:style>
  <w:style w:type="paragraph" w:styleId="PargrafodaLista">
    <w:name w:val="List Paragraph"/>
    <w:basedOn w:val="Normal"/>
    <w:uiPriority w:val="34"/>
    <w:qFormat/>
    <w:rsid w:val="003A533A"/>
    <w:pPr>
      <w:ind w:left="708"/>
    </w:pPr>
    <w:rPr>
      <w:lang w:val="en-GB"/>
    </w:rPr>
  </w:style>
  <w:style w:type="character" w:customStyle="1" w:styleId="TextodecomentrioChar">
    <w:name w:val="Texto de comentário Char"/>
    <w:link w:val="Textodecomentrio"/>
    <w:semiHidden/>
    <w:locked/>
    <w:rsid w:val="00360206"/>
  </w:style>
  <w:style w:type="character" w:customStyle="1" w:styleId="Ttulo6Char">
    <w:name w:val="Título 6 Char"/>
    <w:link w:val="Ttulo6"/>
    <w:rsid w:val="00FF24E3"/>
    <w:rPr>
      <w:b/>
    </w:rPr>
  </w:style>
  <w:style w:type="character" w:customStyle="1" w:styleId="TextodenotaderodapChar">
    <w:name w:val="Texto de nota de rodapé Char"/>
    <w:basedOn w:val="Fontepargpadro"/>
    <w:link w:val="Textodenotaderodap"/>
    <w:uiPriority w:val="99"/>
    <w:rsid w:val="00FF24E3"/>
  </w:style>
  <w:style w:type="paragraph" w:styleId="Textodenotadefim">
    <w:name w:val="endnote text"/>
    <w:basedOn w:val="Normal"/>
    <w:link w:val="TextodenotadefimChar"/>
    <w:uiPriority w:val="99"/>
    <w:unhideWhenUsed/>
    <w:rsid w:val="00EB64C6"/>
  </w:style>
  <w:style w:type="character" w:customStyle="1" w:styleId="TextodenotadefimChar">
    <w:name w:val="Texto de nota de fim Char"/>
    <w:basedOn w:val="Fontepargpadro"/>
    <w:link w:val="Textodenotadefim"/>
    <w:uiPriority w:val="99"/>
    <w:rsid w:val="00EB64C6"/>
  </w:style>
  <w:style w:type="paragraph" w:styleId="Reviso">
    <w:name w:val="Revision"/>
    <w:hidden/>
    <w:uiPriority w:val="99"/>
    <w:semiHidden/>
    <w:rsid w:val="00243DE1"/>
  </w:style>
  <w:style w:type="paragraph" w:customStyle="1" w:styleId="Body">
    <w:name w:val="Body"/>
    <w:basedOn w:val="Normal"/>
    <w:rsid w:val="00A02989"/>
    <w:pPr>
      <w:spacing w:after="140" w:line="290" w:lineRule="auto"/>
      <w:jc w:val="both"/>
    </w:pPr>
    <w:rPr>
      <w:rFonts w:ascii="Arial" w:eastAsia="Calibri" w:hAnsi="Arial"/>
      <w:bCs/>
      <w:szCs w:val="22"/>
      <w:lang w:eastAsia="en-US"/>
    </w:rPr>
  </w:style>
  <w:style w:type="paragraph" w:customStyle="1" w:styleId="Level4">
    <w:name w:val="Level 4"/>
    <w:basedOn w:val="Normal"/>
    <w:rsid w:val="00A02989"/>
    <w:pPr>
      <w:numPr>
        <w:ilvl w:val="3"/>
        <w:numId w:val="48"/>
      </w:numPr>
      <w:tabs>
        <w:tab w:val="clear" w:pos="2041"/>
        <w:tab w:val="num" w:pos="2880"/>
      </w:tabs>
      <w:spacing w:after="140" w:line="290" w:lineRule="auto"/>
      <w:ind w:left="2880" w:hanging="360"/>
      <w:jc w:val="both"/>
      <w:outlineLvl w:val="3"/>
    </w:pPr>
    <w:rPr>
      <w:rFonts w:ascii="Arial" w:eastAsia="Calibri" w:hAnsi="Arial"/>
      <w:szCs w:val="22"/>
      <w:lang w:eastAsia="en-US"/>
    </w:rPr>
  </w:style>
  <w:style w:type="paragraph" w:customStyle="1" w:styleId="Level1">
    <w:name w:val="Level 1"/>
    <w:basedOn w:val="Normal"/>
    <w:rsid w:val="00A02989"/>
    <w:pPr>
      <w:numPr>
        <w:numId w:val="48"/>
      </w:numPr>
      <w:tabs>
        <w:tab w:val="clear" w:pos="680"/>
        <w:tab w:val="num" w:pos="1080"/>
      </w:tabs>
      <w:ind w:left="1080" w:hanging="720"/>
      <w:jc w:val="both"/>
      <w:outlineLvl w:val="0"/>
    </w:pPr>
    <w:rPr>
      <w:rFonts w:ascii="Arial" w:eastAsia="Calibri" w:hAnsi="Arial"/>
      <w:szCs w:val="22"/>
      <w:lang w:eastAsia="en-US"/>
    </w:rPr>
  </w:style>
  <w:style w:type="paragraph" w:customStyle="1" w:styleId="Level2">
    <w:name w:val="Level 2"/>
    <w:basedOn w:val="Normal"/>
    <w:rsid w:val="00A02989"/>
    <w:pPr>
      <w:numPr>
        <w:ilvl w:val="1"/>
        <w:numId w:val="48"/>
      </w:numPr>
      <w:tabs>
        <w:tab w:val="clear" w:pos="680"/>
        <w:tab w:val="num" w:pos="1440"/>
      </w:tabs>
      <w:ind w:left="1440" w:hanging="360"/>
      <w:jc w:val="both"/>
      <w:outlineLvl w:val="1"/>
    </w:pPr>
    <w:rPr>
      <w:rFonts w:ascii="Arial" w:eastAsia="Calibri" w:hAnsi="Arial"/>
      <w:szCs w:val="22"/>
      <w:lang w:eastAsia="en-US"/>
    </w:rPr>
  </w:style>
  <w:style w:type="paragraph" w:customStyle="1" w:styleId="Level3">
    <w:name w:val="Level 3"/>
    <w:basedOn w:val="Normal"/>
    <w:rsid w:val="00A02989"/>
    <w:pPr>
      <w:numPr>
        <w:ilvl w:val="2"/>
        <w:numId w:val="48"/>
      </w:numPr>
      <w:tabs>
        <w:tab w:val="clear" w:pos="1361"/>
        <w:tab w:val="num" w:pos="2160"/>
      </w:tabs>
      <w:ind w:left="2160" w:hanging="180"/>
      <w:jc w:val="both"/>
      <w:outlineLvl w:val="2"/>
    </w:pPr>
    <w:rPr>
      <w:rFonts w:ascii="Arial" w:eastAsia="Calibri" w:hAnsi="Arial"/>
      <w:szCs w:val="22"/>
      <w:lang w:eastAsia="en-US"/>
    </w:rPr>
  </w:style>
  <w:style w:type="paragraph" w:customStyle="1" w:styleId="Level5">
    <w:name w:val="Level 5"/>
    <w:basedOn w:val="Normal"/>
    <w:rsid w:val="00A02989"/>
    <w:pPr>
      <w:numPr>
        <w:ilvl w:val="4"/>
        <w:numId w:val="48"/>
      </w:numPr>
      <w:tabs>
        <w:tab w:val="clear" w:pos="2721"/>
        <w:tab w:val="num" w:pos="3600"/>
      </w:tabs>
      <w:ind w:left="3600" w:hanging="360"/>
      <w:jc w:val="both"/>
    </w:pPr>
    <w:rPr>
      <w:rFonts w:ascii="Arial" w:eastAsia="Calibri" w:hAnsi="Arial"/>
      <w:szCs w:val="22"/>
      <w:lang w:eastAsia="en-US"/>
    </w:rPr>
  </w:style>
  <w:style w:type="paragraph" w:customStyle="1" w:styleId="Level6">
    <w:name w:val="Level 6"/>
    <w:basedOn w:val="Normal"/>
    <w:rsid w:val="00A02989"/>
    <w:pPr>
      <w:numPr>
        <w:ilvl w:val="5"/>
        <w:numId w:val="48"/>
      </w:numPr>
      <w:tabs>
        <w:tab w:val="clear" w:pos="3402"/>
        <w:tab w:val="num" w:pos="4320"/>
      </w:tabs>
      <w:ind w:left="4320" w:hanging="180"/>
      <w:jc w:val="both"/>
    </w:pPr>
    <w:rPr>
      <w:rFonts w:ascii="Arial" w:eastAsia="Calibri" w:hAnsi="Arial"/>
      <w:szCs w:val="22"/>
      <w:lang w:eastAsia="en-US"/>
    </w:rPr>
  </w:style>
  <w:style w:type="character" w:customStyle="1" w:styleId="CorpodetextoChar">
    <w:name w:val="Corpo de texto Char"/>
    <w:aliases w:val="Corpo de texto Char Char Char Char Char Char,Corpo de texto Char Char Char Char Char1"/>
    <w:basedOn w:val="Fontepargpadro"/>
    <w:link w:val="Corpodetexto"/>
    <w:rsid w:val="00A6537F"/>
    <w:rPr>
      <w:b/>
      <w:sz w:val="2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9118">
      <w:bodyDiv w:val="1"/>
      <w:marLeft w:val="0"/>
      <w:marRight w:val="0"/>
      <w:marTop w:val="0"/>
      <w:marBottom w:val="0"/>
      <w:divBdr>
        <w:top w:val="none" w:sz="0" w:space="0" w:color="auto"/>
        <w:left w:val="none" w:sz="0" w:space="0" w:color="auto"/>
        <w:bottom w:val="none" w:sz="0" w:space="0" w:color="auto"/>
        <w:right w:val="none" w:sz="0" w:space="0" w:color="auto"/>
      </w:divBdr>
    </w:div>
    <w:div w:id="28922989">
      <w:bodyDiv w:val="1"/>
      <w:marLeft w:val="0"/>
      <w:marRight w:val="0"/>
      <w:marTop w:val="0"/>
      <w:marBottom w:val="0"/>
      <w:divBdr>
        <w:top w:val="none" w:sz="0" w:space="0" w:color="auto"/>
        <w:left w:val="none" w:sz="0" w:space="0" w:color="auto"/>
        <w:bottom w:val="none" w:sz="0" w:space="0" w:color="auto"/>
        <w:right w:val="none" w:sz="0" w:space="0" w:color="auto"/>
      </w:divBdr>
    </w:div>
    <w:div w:id="32536212">
      <w:bodyDiv w:val="1"/>
      <w:marLeft w:val="0"/>
      <w:marRight w:val="0"/>
      <w:marTop w:val="0"/>
      <w:marBottom w:val="0"/>
      <w:divBdr>
        <w:top w:val="none" w:sz="0" w:space="0" w:color="auto"/>
        <w:left w:val="none" w:sz="0" w:space="0" w:color="auto"/>
        <w:bottom w:val="none" w:sz="0" w:space="0" w:color="auto"/>
        <w:right w:val="none" w:sz="0" w:space="0" w:color="auto"/>
      </w:divBdr>
    </w:div>
    <w:div w:id="62028244">
      <w:bodyDiv w:val="1"/>
      <w:marLeft w:val="0"/>
      <w:marRight w:val="0"/>
      <w:marTop w:val="0"/>
      <w:marBottom w:val="0"/>
      <w:divBdr>
        <w:top w:val="none" w:sz="0" w:space="0" w:color="auto"/>
        <w:left w:val="none" w:sz="0" w:space="0" w:color="auto"/>
        <w:bottom w:val="none" w:sz="0" w:space="0" w:color="auto"/>
        <w:right w:val="none" w:sz="0" w:space="0" w:color="auto"/>
      </w:divBdr>
    </w:div>
    <w:div w:id="100532609">
      <w:bodyDiv w:val="1"/>
      <w:marLeft w:val="0"/>
      <w:marRight w:val="0"/>
      <w:marTop w:val="0"/>
      <w:marBottom w:val="0"/>
      <w:divBdr>
        <w:top w:val="none" w:sz="0" w:space="0" w:color="auto"/>
        <w:left w:val="none" w:sz="0" w:space="0" w:color="auto"/>
        <w:bottom w:val="none" w:sz="0" w:space="0" w:color="auto"/>
        <w:right w:val="none" w:sz="0" w:space="0" w:color="auto"/>
      </w:divBdr>
    </w:div>
    <w:div w:id="113405719">
      <w:bodyDiv w:val="1"/>
      <w:marLeft w:val="0"/>
      <w:marRight w:val="0"/>
      <w:marTop w:val="0"/>
      <w:marBottom w:val="0"/>
      <w:divBdr>
        <w:top w:val="none" w:sz="0" w:space="0" w:color="auto"/>
        <w:left w:val="none" w:sz="0" w:space="0" w:color="auto"/>
        <w:bottom w:val="none" w:sz="0" w:space="0" w:color="auto"/>
        <w:right w:val="none" w:sz="0" w:space="0" w:color="auto"/>
      </w:divBdr>
    </w:div>
    <w:div w:id="179785405">
      <w:bodyDiv w:val="1"/>
      <w:marLeft w:val="0"/>
      <w:marRight w:val="0"/>
      <w:marTop w:val="0"/>
      <w:marBottom w:val="0"/>
      <w:divBdr>
        <w:top w:val="none" w:sz="0" w:space="0" w:color="auto"/>
        <w:left w:val="none" w:sz="0" w:space="0" w:color="auto"/>
        <w:bottom w:val="none" w:sz="0" w:space="0" w:color="auto"/>
        <w:right w:val="none" w:sz="0" w:space="0" w:color="auto"/>
      </w:divBdr>
    </w:div>
    <w:div w:id="180552467">
      <w:bodyDiv w:val="1"/>
      <w:marLeft w:val="0"/>
      <w:marRight w:val="0"/>
      <w:marTop w:val="0"/>
      <w:marBottom w:val="0"/>
      <w:divBdr>
        <w:top w:val="none" w:sz="0" w:space="0" w:color="auto"/>
        <w:left w:val="none" w:sz="0" w:space="0" w:color="auto"/>
        <w:bottom w:val="none" w:sz="0" w:space="0" w:color="auto"/>
        <w:right w:val="none" w:sz="0" w:space="0" w:color="auto"/>
      </w:divBdr>
    </w:div>
    <w:div w:id="188959705">
      <w:bodyDiv w:val="1"/>
      <w:marLeft w:val="0"/>
      <w:marRight w:val="0"/>
      <w:marTop w:val="0"/>
      <w:marBottom w:val="0"/>
      <w:divBdr>
        <w:top w:val="none" w:sz="0" w:space="0" w:color="auto"/>
        <w:left w:val="none" w:sz="0" w:space="0" w:color="auto"/>
        <w:bottom w:val="none" w:sz="0" w:space="0" w:color="auto"/>
        <w:right w:val="none" w:sz="0" w:space="0" w:color="auto"/>
      </w:divBdr>
    </w:div>
    <w:div w:id="221718453">
      <w:bodyDiv w:val="1"/>
      <w:marLeft w:val="0"/>
      <w:marRight w:val="0"/>
      <w:marTop w:val="0"/>
      <w:marBottom w:val="0"/>
      <w:divBdr>
        <w:top w:val="none" w:sz="0" w:space="0" w:color="auto"/>
        <w:left w:val="none" w:sz="0" w:space="0" w:color="auto"/>
        <w:bottom w:val="none" w:sz="0" w:space="0" w:color="auto"/>
        <w:right w:val="none" w:sz="0" w:space="0" w:color="auto"/>
      </w:divBdr>
    </w:div>
    <w:div w:id="227883075">
      <w:bodyDiv w:val="1"/>
      <w:marLeft w:val="0"/>
      <w:marRight w:val="0"/>
      <w:marTop w:val="0"/>
      <w:marBottom w:val="0"/>
      <w:divBdr>
        <w:top w:val="none" w:sz="0" w:space="0" w:color="auto"/>
        <w:left w:val="none" w:sz="0" w:space="0" w:color="auto"/>
        <w:bottom w:val="none" w:sz="0" w:space="0" w:color="auto"/>
        <w:right w:val="none" w:sz="0" w:space="0" w:color="auto"/>
      </w:divBdr>
    </w:div>
    <w:div w:id="382877156">
      <w:bodyDiv w:val="1"/>
      <w:marLeft w:val="0"/>
      <w:marRight w:val="0"/>
      <w:marTop w:val="0"/>
      <w:marBottom w:val="0"/>
      <w:divBdr>
        <w:top w:val="none" w:sz="0" w:space="0" w:color="auto"/>
        <w:left w:val="none" w:sz="0" w:space="0" w:color="auto"/>
        <w:bottom w:val="none" w:sz="0" w:space="0" w:color="auto"/>
        <w:right w:val="none" w:sz="0" w:space="0" w:color="auto"/>
      </w:divBdr>
    </w:div>
    <w:div w:id="399065327">
      <w:bodyDiv w:val="1"/>
      <w:marLeft w:val="0"/>
      <w:marRight w:val="0"/>
      <w:marTop w:val="0"/>
      <w:marBottom w:val="0"/>
      <w:divBdr>
        <w:top w:val="none" w:sz="0" w:space="0" w:color="auto"/>
        <w:left w:val="none" w:sz="0" w:space="0" w:color="auto"/>
        <w:bottom w:val="none" w:sz="0" w:space="0" w:color="auto"/>
        <w:right w:val="none" w:sz="0" w:space="0" w:color="auto"/>
      </w:divBdr>
    </w:div>
    <w:div w:id="445740404">
      <w:bodyDiv w:val="1"/>
      <w:marLeft w:val="0"/>
      <w:marRight w:val="0"/>
      <w:marTop w:val="0"/>
      <w:marBottom w:val="0"/>
      <w:divBdr>
        <w:top w:val="none" w:sz="0" w:space="0" w:color="auto"/>
        <w:left w:val="none" w:sz="0" w:space="0" w:color="auto"/>
        <w:bottom w:val="none" w:sz="0" w:space="0" w:color="auto"/>
        <w:right w:val="none" w:sz="0" w:space="0" w:color="auto"/>
      </w:divBdr>
    </w:div>
    <w:div w:id="446896083">
      <w:bodyDiv w:val="1"/>
      <w:marLeft w:val="0"/>
      <w:marRight w:val="0"/>
      <w:marTop w:val="0"/>
      <w:marBottom w:val="0"/>
      <w:divBdr>
        <w:top w:val="none" w:sz="0" w:space="0" w:color="auto"/>
        <w:left w:val="none" w:sz="0" w:space="0" w:color="auto"/>
        <w:bottom w:val="none" w:sz="0" w:space="0" w:color="auto"/>
        <w:right w:val="none" w:sz="0" w:space="0" w:color="auto"/>
      </w:divBdr>
    </w:div>
    <w:div w:id="455679037">
      <w:bodyDiv w:val="1"/>
      <w:marLeft w:val="0"/>
      <w:marRight w:val="0"/>
      <w:marTop w:val="0"/>
      <w:marBottom w:val="0"/>
      <w:divBdr>
        <w:top w:val="none" w:sz="0" w:space="0" w:color="auto"/>
        <w:left w:val="none" w:sz="0" w:space="0" w:color="auto"/>
        <w:bottom w:val="none" w:sz="0" w:space="0" w:color="auto"/>
        <w:right w:val="none" w:sz="0" w:space="0" w:color="auto"/>
      </w:divBdr>
    </w:div>
    <w:div w:id="487402398">
      <w:bodyDiv w:val="1"/>
      <w:marLeft w:val="0"/>
      <w:marRight w:val="0"/>
      <w:marTop w:val="0"/>
      <w:marBottom w:val="0"/>
      <w:divBdr>
        <w:top w:val="none" w:sz="0" w:space="0" w:color="auto"/>
        <w:left w:val="none" w:sz="0" w:space="0" w:color="auto"/>
        <w:bottom w:val="none" w:sz="0" w:space="0" w:color="auto"/>
        <w:right w:val="none" w:sz="0" w:space="0" w:color="auto"/>
      </w:divBdr>
    </w:div>
    <w:div w:id="500389991">
      <w:bodyDiv w:val="1"/>
      <w:marLeft w:val="0"/>
      <w:marRight w:val="0"/>
      <w:marTop w:val="0"/>
      <w:marBottom w:val="0"/>
      <w:divBdr>
        <w:top w:val="none" w:sz="0" w:space="0" w:color="auto"/>
        <w:left w:val="none" w:sz="0" w:space="0" w:color="auto"/>
        <w:bottom w:val="none" w:sz="0" w:space="0" w:color="auto"/>
        <w:right w:val="none" w:sz="0" w:space="0" w:color="auto"/>
      </w:divBdr>
    </w:div>
    <w:div w:id="535973573">
      <w:bodyDiv w:val="1"/>
      <w:marLeft w:val="0"/>
      <w:marRight w:val="0"/>
      <w:marTop w:val="0"/>
      <w:marBottom w:val="0"/>
      <w:divBdr>
        <w:top w:val="none" w:sz="0" w:space="0" w:color="auto"/>
        <w:left w:val="none" w:sz="0" w:space="0" w:color="auto"/>
        <w:bottom w:val="none" w:sz="0" w:space="0" w:color="auto"/>
        <w:right w:val="none" w:sz="0" w:space="0" w:color="auto"/>
      </w:divBdr>
    </w:div>
    <w:div w:id="554434829">
      <w:bodyDiv w:val="1"/>
      <w:marLeft w:val="0"/>
      <w:marRight w:val="0"/>
      <w:marTop w:val="0"/>
      <w:marBottom w:val="0"/>
      <w:divBdr>
        <w:top w:val="none" w:sz="0" w:space="0" w:color="auto"/>
        <w:left w:val="none" w:sz="0" w:space="0" w:color="auto"/>
        <w:bottom w:val="none" w:sz="0" w:space="0" w:color="auto"/>
        <w:right w:val="none" w:sz="0" w:space="0" w:color="auto"/>
      </w:divBdr>
    </w:div>
    <w:div w:id="568658392">
      <w:bodyDiv w:val="1"/>
      <w:marLeft w:val="0"/>
      <w:marRight w:val="0"/>
      <w:marTop w:val="0"/>
      <w:marBottom w:val="0"/>
      <w:divBdr>
        <w:top w:val="none" w:sz="0" w:space="0" w:color="auto"/>
        <w:left w:val="none" w:sz="0" w:space="0" w:color="auto"/>
        <w:bottom w:val="none" w:sz="0" w:space="0" w:color="auto"/>
        <w:right w:val="none" w:sz="0" w:space="0" w:color="auto"/>
      </w:divBdr>
    </w:div>
    <w:div w:id="585308919">
      <w:bodyDiv w:val="1"/>
      <w:marLeft w:val="0"/>
      <w:marRight w:val="0"/>
      <w:marTop w:val="0"/>
      <w:marBottom w:val="0"/>
      <w:divBdr>
        <w:top w:val="none" w:sz="0" w:space="0" w:color="auto"/>
        <w:left w:val="none" w:sz="0" w:space="0" w:color="auto"/>
        <w:bottom w:val="none" w:sz="0" w:space="0" w:color="auto"/>
        <w:right w:val="none" w:sz="0" w:space="0" w:color="auto"/>
      </w:divBdr>
    </w:div>
    <w:div w:id="659501817">
      <w:bodyDiv w:val="1"/>
      <w:marLeft w:val="0"/>
      <w:marRight w:val="0"/>
      <w:marTop w:val="0"/>
      <w:marBottom w:val="0"/>
      <w:divBdr>
        <w:top w:val="none" w:sz="0" w:space="0" w:color="auto"/>
        <w:left w:val="none" w:sz="0" w:space="0" w:color="auto"/>
        <w:bottom w:val="none" w:sz="0" w:space="0" w:color="auto"/>
        <w:right w:val="none" w:sz="0" w:space="0" w:color="auto"/>
      </w:divBdr>
    </w:div>
    <w:div w:id="701981994">
      <w:bodyDiv w:val="1"/>
      <w:marLeft w:val="0"/>
      <w:marRight w:val="0"/>
      <w:marTop w:val="0"/>
      <w:marBottom w:val="0"/>
      <w:divBdr>
        <w:top w:val="none" w:sz="0" w:space="0" w:color="auto"/>
        <w:left w:val="none" w:sz="0" w:space="0" w:color="auto"/>
        <w:bottom w:val="none" w:sz="0" w:space="0" w:color="auto"/>
        <w:right w:val="none" w:sz="0" w:space="0" w:color="auto"/>
      </w:divBdr>
    </w:div>
    <w:div w:id="708993390">
      <w:bodyDiv w:val="1"/>
      <w:marLeft w:val="0"/>
      <w:marRight w:val="0"/>
      <w:marTop w:val="0"/>
      <w:marBottom w:val="0"/>
      <w:divBdr>
        <w:top w:val="none" w:sz="0" w:space="0" w:color="auto"/>
        <w:left w:val="none" w:sz="0" w:space="0" w:color="auto"/>
        <w:bottom w:val="none" w:sz="0" w:space="0" w:color="auto"/>
        <w:right w:val="none" w:sz="0" w:space="0" w:color="auto"/>
      </w:divBdr>
    </w:div>
    <w:div w:id="754328286">
      <w:bodyDiv w:val="1"/>
      <w:marLeft w:val="0"/>
      <w:marRight w:val="0"/>
      <w:marTop w:val="0"/>
      <w:marBottom w:val="0"/>
      <w:divBdr>
        <w:top w:val="none" w:sz="0" w:space="0" w:color="auto"/>
        <w:left w:val="none" w:sz="0" w:space="0" w:color="auto"/>
        <w:bottom w:val="none" w:sz="0" w:space="0" w:color="auto"/>
        <w:right w:val="none" w:sz="0" w:space="0" w:color="auto"/>
      </w:divBdr>
    </w:div>
    <w:div w:id="791945266">
      <w:bodyDiv w:val="1"/>
      <w:marLeft w:val="0"/>
      <w:marRight w:val="0"/>
      <w:marTop w:val="0"/>
      <w:marBottom w:val="0"/>
      <w:divBdr>
        <w:top w:val="none" w:sz="0" w:space="0" w:color="auto"/>
        <w:left w:val="none" w:sz="0" w:space="0" w:color="auto"/>
        <w:bottom w:val="none" w:sz="0" w:space="0" w:color="auto"/>
        <w:right w:val="none" w:sz="0" w:space="0" w:color="auto"/>
      </w:divBdr>
    </w:div>
    <w:div w:id="831258857">
      <w:bodyDiv w:val="1"/>
      <w:marLeft w:val="0"/>
      <w:marRight w:val="0"/>
      <w:marTop w:val="0"/>
      <w:marBottom w:val="0"/>
      <w:divBdr>
        <w:top w:val="none" w:sz="0" w:space="0" w:color="auto"/>
        <w:left w:val="none" w:sz="0" w:space="0" w:color="auto"/>
        <w:bottom w:val="none" w:sz="0" w:space="0" w:color="auto"/>
        <w:right w:val="none" w:sz="0" w:space="0" w:color="auto"/>
      </w:divBdr>
    </w:div>
    <w:div w:id="873807821">
      <w:bodyDiv w:val="1"/>
      <w:marLeft w:val="0"/>
      <w:marRight w:val="0"/>
      <w:marTop w:val="0"/>
      <w:marBottom w:val="0"/>
      <w:divBdr>
        <w:top w:val="none" w:sz="0" w:space="0" w:color="auto"/>
        <w:left w:val="none" w:sz="0" w:space="0" w:color="auto"/>
        <w:bottom w:val="none" w:sz="0" w:space="0" w:color="auto"/>
        <w:right w:val="none" w:sz="0" w:space="0" w:color="auto"/>
      </w:divBdr>
    </w:div>
    <w:div w:id="941299314">
      <w:bodyDiv w:val="1"/>
      <w:marLeft w:val="0"/>
      <w:marRight w:val="0"/>
      <w:marTop w:val="0"/>
      <w:marBottom w:val="0"/>
      <w:divBdr>
        <w:top w:val="none" w:sz="0" w:space="0" w:color="auto"/>
        <w:left w:val="none" w:sz="0" w:space="0" w:color="auto"/>
        <w:bottom w:val="none" w:sz="0" w:space="0" w:color="auto"/>
        <w:right w:val="none" w:sz="0" w:space="0" w:color="auto"/>
      </w:divBdr>
    </w:div>
    <w:div w:id="975723702">
      <w:bodyDiv w:val="1"/>
      <w:marLeft w:val="0"/>
      <w:marRight w:val="0"/>
      <w:marTop w:val="0"/>
      <w:marBottom w:val="0"/>
      <w:divBdr>
        <w:top w:val="none" w:sz="0" w:space="0" w:color="auto"/>
        <w:left w:val="none" w:sz="0" w:space="0" w:color="auto"/>
        <w:bottom w:val="none" w:sz="0" w:space="0" w:color="auto"/>
        <w:right w:val="none" w:sz="0" w:space="0" w:color="auto"/>
      </w:divBdr>
    </w:div>
    <w:div w:id="1059284586">
      <w:bodyDiv w:val="1"/>
      <w:marLeft w:val="0"/>
      <w:marRight w:val="0"/>
      <w:marTop w:val="0"/>
      <w:marBottom w:val="0"/>
      <w:divBdr>
        <w:top w:val="none" w:sz="0" w:space="0" w:color="auto"/>
        <w:left w:val="none" w:sz="0" w:space="0" w:color="auto"/>
        <w:bottom w:val="none" w:sz="0" w:space="0" w:color="auto"/>
        <w:right w:val="none" w:sz="0" w:space="0" w:color="auto"/>
      </w:divBdr>
    </w:div>
    <w:div w:id="1092823730">
      <w:bodyDiv w:val="1"/>
      <w:marLeft w:val="0"/>
      <w:marRight w:val="0"/>
      <w:marTop w:val="0"/>
      <w:marBottom w:val="0"/>
      <w:divBdr>
        <w:top w:val="none" w:sz="0" w:space="0" w:color="auto"/>
        <w:left w:val="none" w:sz="0" w:space="0" w:color="auto"/>
        <w:bottom w:val="none" w:sz="0" w:space="0" w:color="auto"/>
        <w:right w:val="none" w:sz="0" w:space="0" w:color="auto"/>
      </w:divBdr>
    </w:div>
    <w:div w:id="1121532771">
      <w:bodyDiv w:val="1"/>
      <w:marLeft w:val="0"/>
      <w:marRight w:val="0"/>
      <w:marTop w:val="0"/>
      <w:marBottom w:val="0"/>
      <w:divBdr>
        <w:top w:val="none" w:sz="0" w:space="0" w:color="auto"/>
        <w:left w:val="none" w:sz="0" w:space="0" w:color="auto"/>
        <w:bottom w:val="none" w:sz="0" w:space="0" w:color="auto"/>
        <w:right w:val="none" w:sz="0" w:space="0" w:color="auto"/>
      </w:divBdr>
    </w:div>
    <w:div w:id="1171261166">
      <w:bodyDiv w:val="1"/>
      <w:marLeft w:val="0"/>
      <w:marRight w:val="0"/>
      <w:marTop w:val="0"/>
      <w:marBottom w:val="0"/>
      <w:divBdr>
        <w:top w:val="none" w:sz="0" w:space="0" w:color="auto"/>
        <w:left w:val="none" w:sz="0" w:space="0" w:color="auto"/>
        <w:bottom w:val="none" w:sz="0" w:space="0" w:color="auto"/>
        <w:right w:val="none" w:sz="0" w:space="0" w:color="auto"/>
      </w:divBdr>
    </w:div>
    <w:div w:id="1183395924">
      <w:bodyDiv w:val="1"/>
      <w:marLeft w:val="0"/>
      <w:marRight w:val="0"/>
      <w:marTop w:val="0"/>
      <w:marBottom w:val="0"/>
      <w:divBdr>
        <w:top w:val="none" w:sz="0" w:space="0" w:color="auto"/>
        <w:left w:val="none" w:sz="0" w:space="0" w:color="auto"/>
        <w:bottom w:val="none" w:sz="0" w:space="0" w:color="auto"/>
        <w:right w:val="none" w:sz="0" w:space="0" w:color="auto"/>
      </w:divBdr>
    </w:div>
    <w:div w:id="1203439565">
      <w:bodyDiv w:val="1"/>
      <w:marLeft w:val="0"/>
      <w:marRight w:val="0"/>
      <w:marTop w:val="0"/>
      <w:marBottom w:val="0"/>
      <w:divBdr>
        <w:top w:val="none" w:sz="0" w:space="0" w:color="auto"/>
        <w:left w:val="none" w:sz="0" w:space="0" w:color="auto"/>
        <w:bottom w:val="none" w:sz="0" w:space="0" w:color="auto"/>
        <w:right w:val="none" w:sz="0" w:space="0" w:color="auto"/>
      </w:divBdr>
    </w:div>
    <w:div w:id="1300841503">
      <w:bodyDiv w:val="1"/>
      <w:marLeft w:val="0"/>
      <w:marRight w:val="0"/>
      <w:marTop w:val="0"/>
      <w:marBottom w:val="0"/>
      <w:divBdr>
        <w:top w:val="none" w:sz="0" w:space="0" w:color="auto"/>
        <w:left w:val="none" w:sz="0" w:space="0" w:color="auto"/>
        <w:bottom w:val="none" w:sz="0" w:space="0" w:color="auto"/>
        <w:right w:val="none" w:sz="0" w:space="0" w:color="auto"/>
      </w:divBdr>
    </w:div>
    <w:div w:id="1338851676">
      <w:bodyDiv w:val="1"/>
      <w:marLeft w:val="0"/>
      <w:marRight w:val="0"/>
      <w:marTop w:val="0"/>
      <w:marBottom w:val="0"/>
      <w:divBdr>
        <w:top w:val="none" w:sz="0" w:space="0" w:color="auto"/>
        <w:left w:val="none" w:sz="0" w:space="0" w:color="auto"/>
        <w:bottom w:val="none" w:sz="0" w:space="0" w:color="auto"/>
        <w:right w:val="none" w:sz="0" w:space="0" w:color="auto"/>
      </w:divBdr>
    </w:div>
    <w:div w:id="1397167141">
      <w:bodyDiv w:val="1"/>
      <w:marLeft w:val="0"/>
      <w:marRight w:val="0"/>
      <w:marTop w:val="0"/>
      <w:marBottom w:val="0"/>
      <w:divBdr>
        <w:top w:val="none" w:sz="0" w:space="0" w:color="auto"/>
        <w:left w:val="none" w:sz="0" w:space="0" w:color="auto"/>
        <w:bottom w:val="none" w:sz="0" w:space="0" w:color="auto"/>
        <w:right w:val="none" w:sz="0" w:space="0" w:color="auto"/>
      </w:divBdr>
    </w:div>
    <w:div w:id="1415542577">
      <w:bodyDiv w:val="1"/>
      <w:marLeft w:val="0"/>
      <w:marRight w:val="0"/>
      <w:marTop w:val="0"/>
      <w:marBottom w:val="0"/>
      <w:divBdr>
        <w:top w:val="none" w:sz="0" w:space="0" w:color="auto"/>
        <w:left w:val="none" w:sz="0" w:space="0" w:color="auto"/>
        <w:bottom w:val="none" w:sz="0" w:space="0" w:color="auto"/>
        <w:right w:val="none" w:sz="0" w:space="0" w:color="auto"/>
      </w:divBdr>
    </w:div>
    <w:div w:id="1463188176">
      <w:bodyDiv w:val="1"/>
      <w:marLeft w:val="0"/>
      <w:marRight w:val="0"/>
      <w:marTop w:val="0"/>
      <w:marBottom w:val="0"/>
      <w:divBdr>
        <w:top w:val="none" w:sz="0" w:space="0" w:color="auto"/>
        <w:left w:val="none" w:sz="0" w:space="0" w:color="auto"/>
        <w:bottom w:val="none" w:sz="0" w:space="0" w:color="auto"/>
        <w:right w:val="none" w:sz="0" w:space="0" w:color="auto"/>
      </w:divBdr>
    </w:div>
    <w:div w:id="1500542529">
      <w:bodyDiv w:val="1"/>
      <w:marLeft w:val="0"/>
      <w:marRight w:val="0"/>
      <w:marTop w:val="0"/>
      <w:marBottom w:val="0"/>
      <w:divBdr>
        <w:top w:val="none" w:sz="0" w:space="0" w:color="auto"/>
        <w:left w:val="none" w:sz="0" w:space="0" w:color="auto"/>
        <w:bottom w:val="none" w:sz="0" w:space="0" w:color="auto"/>
        <w:right w:val="none" w:sz="0" w:space="0" w:color="auto"/>
      </w:divBdr>
    </w:div>
    <w:div w:id="1536652299">
      <w:bodyDiv w:val="1"/>
      <w:marLeft w:val="0"/>
      <w:marRight w:val="0"/>
      <w:marTop w:val="0"/>
      <w:marBottom w:val="0"/>
      <w:divBdr>
        <w:top w:val="none" w:sz="0" w:space="0" w:color="auto"/>
        <w:left w:val="none" w:sz="0" w:space="0" w:color="auto"/>
        <w:bottom w:val="none" w:sz="0" w:space="0" w:color="auto"/>
        <w:right w:val="none" w:sz="0" w:space="0" w:color="auto"/>
      </w:divBdr>
    </w:div>
    <w:div w:id="1567229407">
      <w:bodyDiv w:val="1"/>
      <w:marLeft w:val="0"/>
      <w:marRight w:val="0"/>
      <w:marTop w:val="0"/>
      <w:marBottom w:val="0"/>
      <w:divBdr>
        <w:top w:val="none" w:sz="0" w:space="0" w:color="auto"/>
        <w:left w:val="none" w:sz="0" w:space="0" w:color="auto"/>
        <w:bottom w:val="none" w:sz="0" w:space="0" w:color="auto"/>
        <w:right w:val="none" w:sz="0" w:space="0" w:color="auto"/>
      </w:divBdr>
    </w:div>
    <w:div w:id="1573347744">
      <w:bodyDiv w:val="1"/>
      <w:marLeft w:val="0"/>
      <w:marRight w:val="0"/>
      <w:marTop w:val="0"/>
      <w:marBottom w:val="0"/>
      <w:divBdr>
        <w:top w:val="none" w:sz="0" w:space="0" w:color="auto"/>
        <w:left w:val="none" w:sz="0" w:space="0" w:color="auto"/>
        <w:bottom w:val="none" w:sz="0" w:space="0" w:color="auto"/>
        <w:right w:val="none" w:sz="0" w:space="0" w:color="auto"/>
      </w:divBdr>
    </w:div>
    <w:div w:id="1624919162">
      <w:bodyDiv w:val="1"/>
      <w:marLeft w:val="0"/>
      <w:marRight w:val="0"/>
      <w:marTop w:val="0"/>
      <w:marBottom w:val="0"/>
      <w:divBdr>
        <w:top w:val="none" w:sz="0" w:space="0" w:color="auto"/>
        <w:left w:val="none" w:sz="0" w:space="0" w:color="auto"/>
        <w:bottom w:val="none" w:sz="0" w:space="0" w:color="auto"/>
        <w:right w:val="none" w:sz="0" w:space="0" w:color="auto"/>
      </w:divBdr>
    </w:div>
    <w:div w:id="1628051991">
      <w:bodyDiv w:val="1"/>
      <w:marLeft w:val="0"/>
      <w:marRight w:val="0"/>
      <w:marTop w:val="0"/>
      <w:marBottom w:val="0"/>
      <w:divBdr>
        <w:top w:val="none" w:sz="0" w:space="0" w:color="auto"/>
        <w:left w:val="none" w:sz="0" w:space="0" w:color="auto"/>
        <w:bottom w:val="none" w:sz="0" w:space="0" w:color="auto"/>
        <w:right w:val="none" w:sz="0" w:space="0" w:color="auto"/>
      </w:divBdr>
    </w:div>
    <w:div w:id="1691879988">
      <w:bodyDiv w:val="1"/>
      <w:marLeft w:val="0"/>
      <w:marRight w:val="0"/>
      <w:marTop w:val="0"/>
      <w:marBottom w:val="0"/>
      <w:divBdr>
        <w:top w:val="none" w:sz="0" w:space="0" w:color="auto"/>
        <w:left w:val="none" w:sz="0" w:space="0" w:color="auto"/>
        <w:bottom w:val="none" w:sz="0" w:space="0" w:color="auto"/>
        <w:right w:val="none" w:sz="0" w:space="0" w:color="auto"/>
      </w:divBdr>
    </w:div>
    <w:div w:id="1694259083">
      <w:bodyDiv w:val="1"/>
      <w:marLeft w:val="0"/>
      <w:marRight w:val="0"/>
      <w:marTop w:val="0"/>
      <w:marBottom w:val="0"/>
      <w:divBdr>
        <w:top w:val="none" w:sz="0" w:space="0" w:color="auto"/>
        <w:left w:val="none" w:sz="0" w:space="0" w:color="auto"/>
        <w:bottom w:val="none" w:sz="0" w:space="0" w:color="auto"/>
        <w:right w:val="none" w:sz="0" w:space="0" w:color="auto"/>
      </w:divBdr>
    </w:div>
    <w:div w:id="1741322189">
      <w:bodyDiv w:val="1"/>
      <w:marLeft w:val="0"/>
      <w:marRight w:val="0"/>
      <w:marTop w:val="0"/>
      <w:marBottom w:val="0"/>
      <w:divBdr>
        <w:top w:val="none" w:sz="0" w:space="0" w:color="auto"/>
        <w:left w:val="none" w:sz="0" w:space="0" w:color="auto"/>
        <w:bottom w:val="none" w:sz="0" w:space="0" w:color="auto"/>
        <w:right w:val="none" w:sz="0" w:space="0" w:color="auto"/>
      </w:divBdr>
    </w:div>
    <w:div w:id="1779107548">
      <w:bodyDiv w:val="1"/>
      <w:marLeft w:val="0"/>
      <w:marRight w:val="0"/>
      <w:marTop w:val="0"/>
      <w:marBottom w:val="0"/>
      <w:divBdr>
        <w:top w:val="none" w:sz="0" w:space="0" w:color="auto"/>
        <w:left w:val="none" w:sz="0" w:space="0" w:color="auto"/>
        <w:bottom w:val="none" w:sz="0" w:space="0" w:color="auto"/>
        <w:right w:val="none" w:sz="0" w:space="0" w:color="auto"/>
      </w:divBdr>
    </w:div>
    <w:div w:id="1779838398">
      <w:bodyDiv w:val="1"/>
      <w:marLeft w:val="0"/>
      <w:marRight w:val="0"/>
      <w:marTop w:val="0"/>
      <w:marBottom w:val="0"/>
      <w:divBdr>
        <w:top w:val="none" w:sz="0" w:space="0" w:color="auto"/>
        <w:left w:val="none" w:sz="0" w:space="0" w:color="auto"/>
        <w:bottom w:val="none" w:sz="0" w:space="0" w:color="auto"/>
        <w:right w:val="none" w:sz="0" w:space="0" w:color="auto"/>
      </w:divBdr>
    </w:div>
    <w:div w:id="1824540480">
      <w:bodyDiv w:val="1"/>
      <w:marLeft w:val="0"/>
      <w:marRight w:val="0"/>
      <w:marTop w:val="0"/>
      <w:marBottom w:val="0"/>
      <w:divBdr>
        <w:top w:val="none" w:sz="0" w:space="0" w:color="auto"/>
        <w:left w:val="none" w:sz="0" w:space="0" w:color="auto"/>
        <w:bottom w:val="none" w:sz="0" w:space="0" w:color="auto"/>
        <w:right w:val="none" w:sz="0" w:space="0" w:color="auto"/>
      </w:divBdr>
    </w:div>
    <w:div w:id="1851069220">
      <w:bodyDiv w:val="1"/>
      <w:marLeft w:val="0"/>
      <w:marRight w:val="0"/>
      <w:marTop w:val="0"/>
      <w:marBottom w:val="0"/>
      <w:divBdr>
        <w:top w:val="none" w:sz="0" w:space="0" w:color="auto"/>
        <w:left w:val="none" w:sz="0" w:space="0" w:color="auto"/>
        <w:bottom w:val="none" w:sz="0" w:space="0" w:color="auto"/>
        <w:right w:val="none" w:sz="0" w:space="0" w:color="auto"/>
      </w:divBdr>
    </w:div>
    <w:div w:id="1856773332">
      <w:bodyDiv w:val="1"/>
      <w:marLeft w:val="0"/>
      <w:marRight w:val="0"/>
      <w:marTop w:val="0"/>
      <w:marBottom w:val="0"/>
      <w:divBdr>
        <w:top w:val="none" w:sz="0" w:space="0" w:color="auto"/>
        <w:left w:val="none" w:sz="0" w:space="0" w:color="auto"/>
        <w:bottom w:val="none" w:sz="0" w:space="0" w:color="auto"/>
        <w:right w:val="none" w:sz="0" w:space="0" w:color="auto"/>
      </w:divBdr>
    </w:div>
    <w:div w:id="1875922430">
      <w:bodyDiv w:val="1"/>
      <w:marLeft w:val="0"/>
      <w:marRight w:val="0"/>
      <w:marTop w:val="0"/>
      <w:marBottom w:val="0"/>
      <w:divBdr>
        <w:top w:val="none" w:sz="0" w:space="0" w:color="auto"/>
        <w:left w:val="none" w:sz="0" w:space="0" w:color="auto"/>
        <w:bottom w:val="none" w:sz="0" w:space="0" w:color="auto"/>
        <w:right w:val="none" w:sz="0" w:space="0" w:color="auto"/>
      </w:divBdr>
    </w:div>
    <w:div w:id="1924950310">
      <w:bodyDiv w:val="1"/>
      <w:marLeft w:val="0"/>
      <w:marRight w:val="0"/>
      <w:marTop w:val="0"/>
      <w:marBottom w:val="0"/>
      <w:divBdr>
        <w:top w:val="none" w:sz="0" w:space="0" w:color="auto"/>
        <w:left w:val="none" w:sz="0" w:space="0" w:color="auto"/>
        <w:bottom w:val="none" w:sz="0" w:space="0" w:color="auto"/>
        <w:right w:val="none" w:sz="0" w:space="0" w:color="auto"/>
      </w:divBdr>
    </w:div>
    <w:div w:id="1943149394">
      <w:bodyDiv w:val="1"/>
      <w:marLeft w:val="0"/>
      <w:marRight w:val="0"/>
      <w:marTop w:val="0"/>
      <w:marBottom w:val="0"/>
      <w:divBdr>
        <w:top w:val="none" w:sz="0" w:space="0" w:color="auto"/>
        <w:left w:val="none" w:sz="0" w:space="0" w:color="auto"/>
        <w:bottom w:val="none" w:sz="0" w:space="0" w:color="auto"/>
        <w:right w:val="none" w:sz="0" w:space="0" w:color="auto"/>
      </w:divBdr>
    </w:div>
    <w:div w:id="1955361659">
      <w:bodyDiv w:val="1"/>
      <w:marLeft w:val="0"/>
      <w:marRight w:val="0"/>
      <w:marTop w:val="0"/>
      <w:marBottom w:val="0"/>
      <w:divBdr>
        <w:top w:val="none" w:sz="0" w:space="0" w:color="auto"/>
        <w:left w:val="none" w:sz="0" w:space="0" w:color="auto"/>
        <w:bottom w:val="none" w:sz="0" w:space="0" w:color="auto"/>
        <w:right w:val="none" w:sz="0" w:space="0" w:color="auto"/>
      </w:divBdr>
    </w:div>
    <w:div w:id="2079085924">
      <w:bodyDiv w:val="1"/>
      <w:marLeft w:val="0"/>
      <w:marRight w:val="0"/>
      <w:marTop w:val="0"/>
      <w:marBottom w:val="0"/>
      <w:divBdr>
        <w:top w:val="none" w:sz="0" w:space="0" w:color="auto"/>
        <w:left w:val="none" w:sz="0" w:space="0" w:color="auto"/>
        <w:bottom w:val="none" w:sz="0" w:space="0" w:color="auto"/>
        <w:right w:val="none" w:sz="0" w:space="0" w:color="auto"/>
      </w:divBdr>
    </w:div>
    <w:div w:id="21444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C1D31-DC82-426C-A6A7-4380FDF5F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5918</Words>
  <Characters>33632</Characters>
  <Application>Microsoft Office Word</Application>
  <DocSecurity>0</DocSecurity>
  <Lines>280</Lines>
  <Paragraphs>78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REGULAMENTO DO</vt:lpstr>
      <vt:lpstr>REGULAMENTO DO</vt:lpstr>
    </vt:vector>
  </TitlesOfParts>
  <Company>ABN AMRO Bank N.V.</Company>
  <LinksUpToDate>false</LinksUpToDate>
  <CharactersWithSpaces>39472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DO</dc:title>
  <dc:subject/>
  <dc:creator>VRFR</dc:creator>
  <cp:keywords/>
  <dc:description>SP - 099084-00002 - 970958v1</dc:description>
  <cp:lastModifiedBy>Tiago Almeida Dias de Sousa</cp:lastModifiedBy>
  <cp:revision>2</cp:revision>
  <cp:lastPrinted>2024-08-14T13:18:00Z</cp:lastPrinted>
  <dcterms:created xsi:type="dcterms:W3CDTF">2024-08-14T14:49:00Z</dcterms:created>
  <dcterms:modified xsi:type="dcterms:W3CDTF">2024-08-14T14:49:00Z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SP - 099084-00002 - 970958v1 </vt:lpwstr>
  </property>
  <property fmtid="{D5CDD505-2E9C-101B-9397-08002B2CF9AE}" pid="3" name="_NewReviewCycle">
    <vt:lpwstr/>
  </property>
  <property fmtid="{D5CDD505-2E9C-101B-9397-08002B2CF9AE}" pid="4" name="MSIP_Label_0c2abd79-57a9-4473-8700-c843f76a1e37_Enabled">
    <vt:lpwstr>true</vt:lpwstr>
  </property>
  <property fmtid="{D5CDD505-2E9C-101B-9397-08002B2CF9AE}" pid="5" name="MSIP_Label_0c2abd79-57a9-4473-8700-c843f76a1e37_SetDate">
    <vt:lpwstr>2023-05-10T15:30:46Z</vt:lpwstr>
  </property>
  <property fmtid="{D5CDD505-2E9C-101B-9397-08002B2CF9AE}" pid="6" name="MSIP_Label_0c2abd79-57a9-4473-8700-c843f76a1e37_Method">
    <vt:lpwstr>Privileged</vt:lpwstr>
  </property>
  <property fmtid="{D5CDD505-2E9C-101B-9397-08002B2CF9AE}" pid="7" name="MSIP_Label_0c2abd79-57a9-4473-8700-c843f76a1e37_Name">
    <vt:lpwstr>Internal</vt:lpwstr>
  </property>
  <property fmtid="{D5CDD505-2E9C-101B-9397-08002B2CF9AE}" pid="8" name="MSIP_Label_0c2abd79-57a9-4473-8700-c843f76a1e37_SiteId">
    <vt:lpwstr>35595a02-4d6d-44ac-99e1-f9ab4cd872db</vt:lpwstr>
  </property>
  <property fmtid="{D5CDD505-2E9C-101B-9397-08002B2CF9AE}" pid="9" name="MSIP_Label_0c2abd79-57a9-4473-8700-c843f76a1e37_ActionId">
    <vt:lpwstr>96ad047d-464a-4b45-95a6-ab266a5d71d4</vt:lpwstr>
  </property>
  <property fmtid="{D5CDD505-2E9C-101B-9397-08002B2CF9AE}" pid="10" name="MSIP_Label_0c2abd79-57a9-4473-8700-c843f76a1e37_ContentBits">
    <vt:lpwstr>0</vt:lpwstr>
  </property>
</Properties>
</file>