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A4C77" w14:textId="09A70E0C" w:rsidR="005A5D94" w:rsidRDefault="00CC6F6D" w:rsidP="00C1354F">
      <w:pPr>
        <w:keepNext/>
        <w:spacing w:after="0" w:line="280" w:lineRule="atLeast"/>
        <w:jc w:val="both"/>
        <w:outlineLvl w:val="5"/>
        <w:rPr>
          <w:rFonts w:ascii="Tahoma" w:hAnsi="Tahoma" w:cs="Tahoma"/>
          <w:sz w:val="21"/>
          <w:szCs w:val="21"/>
        </w:rPr>
      </w:pPr>
      <w:r w:rsidRPr="00AD0B76">
        <w:rPr>
          <w:rFonts w:ascii="Tahoma" w:hAnsi="Tahoma" w:cs="Tahoma"/>
          <w:bCs/>
          <w:sz w:val="21"/>
          <w:szCs w:val="21"/>
        </w:rPr>
        <w:t xml:space="preserve">O PRESENTE REGULAMENTO É PARTE INTEGRANTE DA ATA DE ASSEMBLEIA GERAL DE COTISTAS DO </w:t>
      </w:r>
      <w:r w:rsidR="008C54BB" w:rsidRPr="008C54BB">
        <w:rPr>
          <w:rFonts w:ascii="Tahoma" w:hAnsi="Tahoma" w:cs="Tahoma"/>
          <w:bCs/>
          <w:sz w:val="21"/>
          <w:szCs w:val="21"/>
        </w:rPr>
        <w:t>SANTANDER PB GFP MULTIMERCADO CRÉDITO PRIVADO FUNDO DE INVESTIMENTO EM COTAS DE FUNDOS DE INVESTIMENTO</w:t>
      </w:r>
      <w:r w:rsidRPr="00AD0B76">
        <w:rPr>
          <w:rFonts w:ascii="Tahoma" w:hAnsi="Tahoma" w:cs="Tahoma"/>
          <w:bCs/>
          <w:sz w:val="21"/>
          <w:szCs w:val="21"/>
        </w:rPr>
        <w:t xml:space="preserve">, REALIZADA EM </w:t>
      </w:r>
      <w:r w:rsidR="00B45DF8">
        <w:rPr>
          <w:rFonts w:ascii="Tahoma" w:hAnsi="Tahoma" w:cs="Tahoma"/>
          <w:sz w:val="21"/>
          <w:szCs w:val="21"/>
        </w:rPr>
        <w:t>05/04/2024.</w:t>
      </w:r>
    </w:p>
    <w:p w14:paraId="4990F500" w14:textId="77777777" w:rsidR="000228D7" w:rsidRDefault="000228D7" w:rsidP="00C1354F">
      <w:pPr>
        <w:keepNext/>
        <w:spacing w:after="0" w:line="280" w:lineRule="atLeast"/>
        <w:jc w:val="both"/>
        <w:outlineLvl w:val="5"/>
        <w:rPr>
          <w:rFonts w:ascii="Tahoma" w:hAnsi="Tahoma" w:cs="Tahoma"/>
          <w:sz w:val="21"/>
          <w:szCs w:val="21"/>
        </w:rPr>
      </w:pPr>
    </w:p>
    <w:p w14:paraId="4AC7B84F" w14:textId="77777777" w:rsidR="00726E8A" w:rsidRPr="00726E8A" w:rsidRDefault="00726E8A" w:rsidP="00726E8A">
      <w:pPr>
        <w:keepNext/>
        <w:spacing w:after="0" w:line="240" w:lineRule="auto"/>
        <w:jc w:val="center"/>
        <w:outlineLvl w:val="5"/>
        <w:rPr>
          <w:rFonts w:ascii="Tahoma" w:eastAsia="Times New Roman" w:hAnsi="Tahoma" w:cs="Tahoma"/>
          <w:bCs/>
          <w:sz w:val="21"/>
          <w:szCs w:val="21"/>
          <w:lang w:eastAsia="pt-BR"/>
        </w:rPr>
      </w:pPr>
    </w:p>
    <w:p w14:paraId="6AF6901B" w14:textId="77777777" w:rsidR="00726E8A" w:rsidRPr="00726E8A" w:rsidRDefault="00726E8A" w:rsidP="00726E8A">
      <w:pPr>
        <w:keepNext/>
        <w:spacing w:after="0" w:line="240" w:lineRule="auto"/>
        <w:jc w:val="center"/>
        <w:outlineLvl w:val="5"/>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REGULAMENTO DO</w:t>
      </w:r>
      <w:bookmarkStart w:id="0" w:name="OLE_LINK4"/>
    </w:p>
    <w:p w14:paraId="10033ABF"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bookmarkStart w:id="1" w:name="_Hlk87262276"/>
      <w:bookmarkEnd w:id="0"/>
      <w:r w:rsidRPr="00726E8A">
        <w:rPr>
          <w:rFonts w:ascii="Tahoma" w:eastAsia="Times New Roman" w:hAnsi="Tahoma" w:cs="Tahoma"/>
          <w:b/>
          <w:sz w:val="21"/>
          <w:szCs w:val="21"/>
          <w:lang w:eastAsia="pt-BR"/>
        </w:rPr>
        <w:t xml:space="preserve">SANTANDER </w:t>
      </w:r>
      <w:r w:rsidRPr="00726E8A">
        <w:rPr>
          <w:rFonts w:ascii="Tahoma" w:eastAsia="Times New Roman" w:hAnsi="Tahoma"/>
          <w:b/>
          <w:sz w:val="21"/>
          <w:szCs w:val="21"/>
          <w:lang w:eastAsia="pt-BR"/>
        </w:rPr>
        <w:t>PB GFP MULTIMERCADO CRÉDITO PRIVADO</w:t>
      </w:r>
      <w:r w:rsidRPr="00726E8A">
        <w:rPr>
          <w:rFonts w:ascii="Tahoma" w:eastAsia="Times New Roman" w:hAnsi="Tahoma" w:cs="Tahoma"/>
          <w:b/>
          <w:sz w:val="21"/>
          <w:szCs w:val="21"/>
          <w:lang w:eastAsia="pt-BR"/>
        </w:rPr>
        <w:t xml:space="preserve"> </w:t>
      </w:r>
      <w:r w:rsidRPr="00726E8A">
        <w:rPr>
          <w:rFonts w:ascii="Tahoma" w:eastAsia="Times New Roman" w:hAnsi="Tahoma"/>
          <w:b/>
          <w:sz w:val="21"/>
          <w:szCs w:val="21"/>
          <w:lang w:eastAsia="pt-BR"/>
        </w:rPr>
        <w:t>FUNDO DE INVESTIMENTO EM COTAS DE FUNDOS DE INVESTIMENTO</w:t>
      </w:r>
    </w:p>
    <w:bookmarkEnd w:id="1"/>
    <w:p w14:paraId="66F16A41"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 xml:space="preserve">CNPJ n.º </w:t>
      </w:r>
      <w:bookmarkStart w:id="2" w:name="_Hlk162283353"/>
      <w:bookmarkStart w:id="3" w:name="_Hlk87262284"/>
      <w:r w:rsidRPr="00726E8A">
        <w:rPr>
          <w:rFonts w:ascii="Tahoma" w:eastAsia="Times New Roman" w:hAnsi="Tahoma"/>
          <w:b/>
          <w:sz w:val="21"/>
          <w:szCs w:val="21"/>
          <w:lang w:eastAsia="pt-BR"/>
        </w:rPr>
        <w:t>20.977.524/0001-44</w:t>
      </w:r>
      <w:r w:rsidRPr="00726E8A">
        <w:rPr>
          <w:rFonts w:ascii="Tahoma" w:eastAsia="Times New Roman" w:hAnsi="Tahoma" w:cs="Tahoma"/>
          <w:b/>
          <w:sz w:val="21"/>
          <w:szCs w:val="21"/>
          <w:lang w:eastAsia="pt-BR"/>
        </w:rPr>
        <w:t xml:space="preserve"> </w:t>
      </w:r>
      <w:bookmarkEnd w:id="2"/>
    </w:p>
    <w:bookmarkEnd w:id="3"/>
    <w:p w14:paraId="56863AA5"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p>
    <w:p w14:paraId="7684AF8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B4E6A84"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PRIMEIRA – DO FUNDO</w:t>
      </w:r>
    </w:p>
    <w:p w14:paraId="6A5924B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8E172DD" w14:textId="77777777" w:rsidR="00726E8A" w:rsidRPr="00726E8A" w:rsidRDefault="00726E8A" w:rsidP="00726E8A">
      <w:pPr>
        <w:spacing w:after="0" w:line="240" w:lineRule="auto"/>
        <w:jc w:val="both"/>
        <w:rPr>
          <w:rFonts w:ascii="Tahoma" w:eastAsia="Times New Roman" w:hAnsi="Tahoma" w:cs="Tahoma"/>
          <w:b/>
          <w:color w:val="000000"/>
          <w:sz w:val="21"/>
          <w:szCs w:val="21"/>
          <w:u w:val="single"/>
          <w:lang w:eastAsia="pt-BR"/>
        </w:rPr>
      </w:pPr>
      <w:r w:rsidRPr="00726E8A">
        <w:rPr>
          <w:rFonts w:ascii="Tahoma" w:eastAsia="Times New Roman" w:hAnsi="Tahoma" w:cs="Tahoma"/>
          <w:sz w:val="21"/>
          <w:szCs w:val="21"/>
          <w:lang w:eastAsia="pt-BR"/>
        </w:rPr>
        <w:t xml:space="preserve">1.1. </w:t>
      </w:r>
      <w:r w:rsidRPr="00726E8A">
        <w:rPr>
          <w:rFonts w:ascii="Tahoma" w:eastAsia="Times New Roman" w:hAnsi="Tahoma" w:cs="Tahoma"/>
          <w:sz w:val="21"/>
          <w:szCs w:val="21"/>
          <w:lang w:eastAsia="pt-BR"/>
        </w:rPr>
        <w:tab/>
        <w:t>O</w:t>
      </w:r>
      <w:r w:rsidRPr="00726E8A">
        <w:rPr>
          <w:rFonts w:ascii="Tahoma" w:eastAsia="Times New Roman" w:hAnsi="Tahoma" w:cs="Tahoma"/>
          <w:b/>
          <w:sz w:val="21"/>
          <w:szCs w:val="21"/>
          <w:lang w:eastAsia="pt-BR"/>
        </w:rPr>
        <w:t xml:space="preserve"> SANTANDER </w:t>
      </w:r>
      <w:r w:rsidRPr="00726E8A">
        <w:rPr>
          <w:rFonts w:ascii="Tahoma" w:eastAsia="Times New Roman" w:hAnsi="Tahoma"/>
          <w:b/>
          <w:sz w:val="21"/>
          <w:szCs w:val="21"/>
          <w:lang w:eastAsia="pt-BR"/>
        </w:rPr>
        <w:t>PB GFP MULTIMERCADO CRÉDITO PRIVADO</w:t>
      </w:r>
      <w:r w:rsidRPr="00726E8A">
        <w:rPr>
          <w:rFonts w:ascii="Tahoma" w:eastAsia="Times New Roman" w:hAnsi="Tahoma" w:cs="Tahoma"/>
          <w:b/>
          <w:sz w:val="21"/>
          <w:szCs w:val="21"/>
          <w:lang w:eastAsia="pt-BR"/>
        </w:rPr>
        <w:t xml:space="preserve"> </w:t>
      </w:r>
      <w:r w:rsidRPr="00726E8A">
        <w:rPr>
          <w:rFonts w:ascii="Tahoma" w:eastAsia="Times New Roman" w:hAnsi="Tahoma"/>
          <w:b/>
          <w:sz w:val="21"/>
          <w:szCs w:val="21"/>
          <w:lang w:eastAsia="pt-BR"/>
        </w:rPr>
        <w:t>FUNDO DE INVESTIMENTO EM COTAS DE FUNDOS DE INVESTIMENTO</w:t>
      </w:r>
      <w:r w:rsidRPr="00726E8A">
        <w:rPr>
          <w:rFonts w:ascii="Tahoma" w:eastAsia="Times New Roman" w:hAnsi="Tahoma" w:cs="Tahoma"/>
          <w:b/>
          <w:sz w:val="21"/>
          <w:szCs w:val="21"/>
          <w:lang w:eastAsia="pt-BR"/>
        </w:rPr>
        <w:t xml:space="preserve"> </w:t>
      </w:r>
      <w:r w:rsidRPr="00726E8A">
        <w:rPr>
          <w:rFonts w:ascii="Tahoma" w:eastAsia="Times New Roman" w:hAnsi="Tahoma" w:cs="Tahoma"/>
          <w:sz w:val="21"/>
          <w:szCs w:val="21"/>
          <w:lang w:eastAsia="pt-BR"/>
        </w:rPr>
        <w:t xml:space="preserve">(“FUNDO”) é uma comunhão de recursos, constituído sob a forma de condomínio </w:t>
      </w:r>
      <w:r w:rsidRPr="00726E8A">
        <w:rPr>
          <w:rFonts w:ascii="Tahoma" w:eastAsia="Times New Roman" w:hAnsi="Tahoma" w:cs="Tahoma"/>
          <w:color w:val="000000"/>
          <w:sz w:val="21"/>
          <w:szCs w:val="21"/>
          <w:lang w:eastAsia="pt-BR"/>
        </w:rPr>
        <w:t>aberto, com prazo de duração indeterminado (“Prazo de Duração”), sendo regido pelo presente regulamento (“Regulamento”) e pela legislação e regulamentação em vigor.</w:t>
      </w:r>
    </w:p>
    <w:p w14:paraId="7C007CF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9C64913"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 xml:space="preserve">CLÁUSULA SEGUNDA – DO </w:t>
      </w:r>
      <w:proofErr w:type="gramStart"/>
      <w:r w:rsidRPr="00726E8A">
        <w:rPr>
          <w:rFonts w:ascii="Tahoma" w:eastAsia="Times New Roman" w:hAnsi="Tahoma" w:cs="Tahoma"/>
          <w:b/>
          <w:sz w:val="21"/>
          <w:szCs w:val="21"/>
          <w:lang w:eastAsia="pt-BR"/>
        </w:rPr>
        <w:t>PÚBLICO ALVO</w:t>
      </w:r>
      <w:proofErr w:type="gramEnd"/>
      <w:r w:rsidRPr="00726E8A">
        <w:rPr>
          <w:rFonts w:ascii="Tahoma" w:eastAsia="Times New Roman" w:hAnsi="Tahoma" w:cs="Tahoma"/>
          <w:b/>
          <w:sz w:val="21"/>
          <w:szCs w:val="21"/>
          <w:lang w:eastAsia="pt-BR"/>
        </w:rPr>
        <w:t xml:space="preserve"> </w:t>
      </w:r>
    </w:p>
    <w:p w14:paraId="06EE2CC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A39989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2.1.</w:t>
      </w:r>
      <w:r w:rsidRPr="00726E8A">
        <w:rPr>
          <w:rFonts w:ascii="Tahoma" w:eastAsia="Times New Roman" w:hAnsi="Tahoma" w:cs="Tahoma"/>
          <w:sz w:val="21"/>
          <w:szCs w:val="21"/>
          <w:lang w:eastAsia="pt-BR"/>
        </w:rPr>
        <w:tab/>
        <w:t xml:space="preserve">O FUNDO é destinado a receber aplicações de um grupo reservado de investidores profissionais, assim definidos nos termos da regulamentação em vigor da Comissão de Valores Mobiliários (“Investidores Profissionais” e “CVM”, respectivamente), integrantes do segmento Private Banking do Santander, </w:t>
      </w:r>
      <w:r w:rsidRPr="00726E8A">
        <w:rPr>
          <w:rFonts w:ascii="Tahoma" w:eastAsia="Times New Roman" w:hAnsi="Tahoma" w:cs="Tahoma"/>
          <w:bCs/>
          <w:sz w:val="21"/>
          <w:szCs w:val="21"/>
          <w:lang w:eastAsia="pt-BR"/>
        </w:rPr>
        <w:t>a critério do ADMINISTRADOR,</w:t>
      </w:r>
      <w:r w:rsidRPr="00726E8A">
        <w:rPr>
          <w:rFonts w:ascii="Tahoma" w:eastAsia="Times New Roman" w:hAnsi="Tahoma" w:cs="Tahoma"/>
          <w:sz w:val="21"/>
          <w:szCs w:val="21"/>
          <w:lang w:eastAsia="pt-BR"/>
        </w:rPr>
        <w:t xml:space="preserve"> que conhecem, entendem e aceitam os riscos descritos neste Regulamento, aos quais os investimentos do FUNDO estão expostos em razão dos mercados de atuação do FUNDO (“Cotistas”).</w:t>
      </w:r>
    </w:p>
    <w:p w14:paraId="0E9F330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C7504C9" w14:textId="77777777" w:rsidR="00726E8A" w:rsidRPr="00726E8A" w:rsidRDefault="00726E8A" w:rsidP="00726E8A">
      <w:pPr>
        <w:pBdr>
          <w:bottom w:val="single" w:sz="6" w:space="1" w:color="auto"/>
        </w:pBd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2.2.</w:t>
      </w:r>
      <w:r w:rsidRPr="00726E8A">
        <w:rPr>
          <w:rFonts w:ascii="Tahoma" w:eastAsia="Times New Roman" w:hAnsi="Tahoma" w:cs="Tahoma"/>
          <w:sz w:val="21"/>
          <w:szCs w:val="21"/>
          <w:lang w:eastAsia="pt-BR"/>
        </w:rPr>
        <w:tab/>
        <w:t xml:space="preserve">O enquadramento dos Cotistas no </w:t>
      </w:r>
      <w:proofErr w:type="gramStart"/>
      <w:r w:rsidRPr="00726E8A">
        <w:rPr>
          <w:rFonts w:ascii="Tahoma" w:eastAsia="Times New Roman" w:hAnsi="Tahoma" w:cs="Tahoma"/>
          <w:sz w:val="21"/>
          <w:szCs w:val="21"/>
          <w:lang w:eastAsia="pt-BR"/>
        </w:rPr>
        <w:t>Público Alvo</w:t>
      </w:r>
      <w:proofErr w:type="gramEnd"/>
      <w:r w:rsidRPr="00726E8A">
        <w:rPr>
          <w:rFonts w:ascii="Tahoma" w:eastAsia="Times New Roman" w:hAnsi="Tahoma" w:cs="Tahoma"/>
          <w:sz w:val="21"/>
          <w:szCs w:val="21"/>
          <w:lang w:eastAsia="pt-BR"/>
        </w:rPr>
        <w:t xml:space="preserve"> descrito no item anterior será verificado pelo distribuidor das cotas do FUNDO, no ato do ingresso do Cotista.</w:t>
      </w:r>
    </w:p>
    <w:p w14:paraId="00454ED1" w14:textId="77777777" w:rsidR="00726E8A" w:rsidRPr="00726E8A" w:rsidRDefault="00726E8A" w:rsidP="00726E8A">
      <w:pPr>
        <w:pBdr>
          <w:bottom w:val="single" w:sz="6" w:space="1" w:color="auto"/>
        </w:pBdr>
        <w:spacing w:after="0" w:line="240" w:lineRule="auto"/>
        <w:jc w:val="both"/>
        <w:rPr>
          <w:rFonts w:ascii="Tahoma" w:eastAsia="Times New Roman" w:hAnsi="Tahoma" w:cs="Tahoma"/>
          <w:sz w:val="21"/>
          <w:szCs w:val="21"/>
          <w:lang w:eastAsia="pt-BR"/>
        </w:rPr>
      </w:pPr>
    </w:p>
    <w:p w14:paraId="7DED5973"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TERCEIRA – DO OBJETIVO E DA POLÍTICA DE INVESTIMENTO</w:t>
      </w:r>
    </w:p>
    <w:p w14:paraId="158D937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35EA8F9"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3.1. O FUNDO tem por objetivo investir em ativos financeiros e/ou modalidades operacionais que envolvam diversos fatores de risco, sem o compromisso de concentração em nenhum fator em especial, por meio da aplicação de seus recursos, preponderantemente, em cotas de fundos de investimento e/ou fundos de investimento em cotas de fundos de investimento (“Fundos Investidos”). </w:t>
      </w:r>
    </w:p>
    <w:p w14:paraId="11853E83"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p w14:paraId="3FBBEA5A"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3.1.1. Tal objetivo de investimento não constitui garantia ou promessa de rentabilidade pelo ADMINISTRADOR e pelo GESTOR.</w:t>
      </w:r>
    </w:p>
    <w:p w14:paraId="271A5278"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p w14:paraId="37DA7BEB"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3.2. Para atingir o objetivo de investimento descrito acima, o FUNDO alocará seus recursos de acordo com as regras e limites previstos nos quadros a seguir:</w:t>
      </w:r>
    </w:p>
    <w:p w14:paraId="53D0B44C"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tbl>
      <w:tblPr>
        <w:tblW w:w="9356" w:type="dxa"/>
        <w:jc w:val="center"/>
        <w:tblCellMar>
          <w:left w:w="70" w:type="dxa"/>
          <w:right w:w="70" w:type="dxa"/>
        </w:tblCellMar>
        <w:tblLook w:val="04A0" w:firstRow="1" w:lastRow="0" w:firstColumn="1" w:lastColumn="0" w:noHBand="0" w:noVBand="1"/>
      </w:tblPr>
      <w:tblGrid>
        <w:gridCol w:w="1502"/>
        <w:gridCol w:w="5019"/>
        <w:gridCol w:w="1417"/>
        <w:gridCol w:w="1418"/>
      </w:tblGrid>
      <w:tr w:rsidR="00726E8A" w:rsidRPr="00726E8A" w14:paraId="77875C69" w14:textId="77777777" w:rsidTr="00654576">
        <w:trPr>
          <w:trHeight w:val="283"/>
          <w:jc w:val="center"/>
        </w:trPr>
        <w:tc>
          <w:tcPr>
            <w:tcW w:w="6521" w:type="dxa"/>
            <w:gridSpan w:val="2"/>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14:paraId="08A19DDB"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COMPOSIÇÃO DA CARTEIRA DO FUNDO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B3190A8"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47A43510" w14:textId="77777777" w:rsidTr="00654576">
        <w:trPr>
          <w:trHeight w:val="283"/>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EF1311E" w14:textId="77777777" w:rsidR="00726E8A" w:rsidRPr="00726E8A" w:rsidRDefault="00726E8A" w:rsidP="00726E8A">
            <w:pPr>
              <w:spacing w:after="0" w:line="240" w:lineRule="auto"/>
              <w:rPr>
                <w:rFonts w:ascii="Tahoma" w:eastAsia="Times New Roman" w:hAnsi="Tahoma" w:cs="Tahoma"/>
                <w:b/>
                <w:bCs/>
                <w:color w:val="000000"/>
                <w:sz w:val="21"/>
                <w:szCs w:val="21"/>
                <w:lang w:eastAsia="pt-BR"/>
              </w:rPr>
            </w:pPr>
          </w:p>
        </w:tc>
        <w:tc>
          <w:tcPr>
            <w:tcW w:w="1417" w:type="dxa"/>
            <w:tcBorders>
              <w:top w:val="single" w:sz="4" w:space="0" w:color="auto"/>
              <w:left w:val="nil"/>
              <w:bottom w:val="single" w:sz="4" w:space="0" w:color="auto"/>
              <w:right w:val="single" w:sz="4" w:space="0" w:color="auto"/>
            </w:tcBorders>
            <w:shd w:val="clear" w:color="auto" w:fill="D9D9D9"/>
            <w:noWrap/>
            <w:vAlign w:val="center"/>
            <w:hideMark/>
          </w:tcPr>
          <w:p w14:paraId="25F600E0"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Mín.</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98C54F5"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b/>
                <w:bCs/>
                <w:color w:val="000000"/>
                <w:sz w:val="21"/>
                <w:szCs w:val="21"/>
                <w:lang w:eastAsia="pt-BR"/>
              </w:rPr>
              <w:t>Máx.</w:t>
            </w:r>
          </w:p>
        </w:tc>
      </w:tr>
      <w:tr w:rsidR="00726E8A" w:rsidRPr="00726E8A" w14:paraId="0AD6072D" w14:textId="77777777" w:rsidTr="00654576">
        <w:trPr>
          <w:trHeight w:val="283"/>
          <w:jc w:val="center"/>
        </w:trPr>
        <w:tc>
          <w:tcPr>
            <w:tcW w:w="6521" w:type="dxa"/>
            <w:gridSpan w:val="2"/>
            <w:tcBorders>
              <w:top w:val="nil"/>
              <w:left w:val="single" w:sz="4" w:space="0" w:color="auto"/>
              <w:bottom w:val="single" w:sz="4" w:space="0" w:color="auto"/>
              <w:right w:val="single" w:sz="4" w:space="0" w:color="auto"/>
            </w:tcBorders>
            <w:hideMark/>
          </w:tcPr>
          <w:p w14:paraId="01947C89"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sz w:val="21"/>
                <w:szCs w:val="21"/>
                <w:lang w:eastAsia="pt-BR"/>
              </w:rPr>
              <w:t>Cotas de fundos de investimento e cotas de fundos de investimento em cotas de qualquer classe CVM, desde que registrados no âmbito da Instrução CVM 555, de 17 de dezembro de 2014 (“Instrução CVM 555”) e cotas de fundos de índice (“Fundos Investidos”)</w:t>
            </w:r>
          </w:p>
        </w:tc>
        <w:tc>
          <w:tcPr>
            <w:tcW w:w="1417" w:type="dxa"/>
            <w:tcBorders>
              <w:top w:val="single" w:sz="4" w:space="0" w:color="auto"/>
              <w:left w:val="nil"/>
              <w:bottom w:val="single" w:sz="4" w:space="0" w:color="auto"/>
              <w:right w:val="single" w:sz="4" w:space="0" w:color="auto"/>
            </w:tcBorders>
            <w:noWrap/>
            <w:vAlign w:val="center"/>
            <w:hideMark/>
          </w:tcPr>
          <w:p w14:paraId="387A3F74"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95%</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4E11B02"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color w:val="000000"/>
                <w:sz w:val="21"/>
                <w:szCs w:val="21"/>
                <w:lang w:eastAsia="pt-BR"/>
              </w:rPr>
              <w:t>100%</w:t>
            </w:r>
          </w:p>
        </w:tc>
      </w:tr>
      <w:tr w:rsidR="00726E8A" w:rsidRPr="00726E8A" w14:paraId="35343368" w14:textId="77777777" w:rsidTr="00654576">
        <w:trPr>
          <w:trHeight w:val="1273"/>
          <w:jc w:val="center"/>
        </w:trPr>
        <w:tc>
          <w:tcPr>
            <w:tcW w:w="1502" w:type="dxa"/>
            <w:vMerge w:val="restart"/>
            <w:tcBorders>
              <w:top w:val="nil"/>
              <w:left w:val="single" w:sz="4" w:space="0" w:color="auto"/>
              <w:bottom w:val="single" w:sz="4" w:space="0" w:color="auto"/>
              <w:right w:val="single" w:sz="4" w:space="0" w:color="auto"/>
            </w:tcBorders>
            <w:vAlign w:val="center"/>
            <w:hideMark/>
          </w:tcPr>
          <w:p w14:paraId="4FDE0EF5"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Dentro do limite previsto na linha acima</w:t>
            </w:r>
          </w:p>
        </w:tc>
        <w:tc>
          <w:tcPr>
            <w:tcW w:w="5019" w:type="dxa"/>
            <w:tcBorders>
              <w:top w:val="nil"/>
              <w:left w:val="single" w:sz="4" w:space="0" w:color="auto"/>
              <w:bottom w:val="single" w:sz="4" w:space="0" w:color="auto"/>
              <w:right w:val="single" w:sz="4" w:space="0" w:color="auto"/>
            </w:tcBorders>
            <w:vAlign w:val="center"/>
            <w:hideMark/>
          </w:tcPr>
          <w:p w14:paraId="14F09D0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Cotas de Fundos de Investimento Imobiliário - FII, </w:t>
            </w:r>
            <w:r w:rsidRPr="00726E8A">
              <w:rPr>
                <w:rFonts w:ascii="Tahoma" w:eastAsia="Times New Roman" w:hAnsi="Tahoma" w:cs="Tahoma"/>
                <w:color w:val="000000"/>
                <w:sz w:val="21"/>
                <w:szCs w:val="21"/>
                <w:lang w:eastAsia="pt-BR"/>
              </w:rPr>
              <w:t>Fundos de Investimento em Direitos Creditórios – FIDC, Fundos de Investimento em Cotas de Fundos de Investimento em Direitos Creditórios – FICFIDC e Fundos de Investimento em Participações – FIP</w:t>
            </w:r>
          </w:p>
        </w:tc>
        <w:tc>
          <w:tcPr>
            <w:tcW w:w="1417" w:type="dxa"/>
            <w:vMerge w:val="restart"/>
            <w:tcBorders>
              <w:top w:val="single" w:sz="4" w:space="0" w:color="auto"/>
              <w:left w:val="nil"/>
              <w:bottom w:val="single" w:sz="4" w:space="0" w:color="auto"/>
              <w:right w:val="single" w:sz="4" w:space="0" w:color="auto"/>
            </w:tcBorders>
            <w:noWrap/>
            <w:vAlign w:val="center"/>
            <w:hideMark/>
          </w:tcPr>
          <w:p w14:paraId="6DC4EF14"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0%</w:t>
            </w:r>
          </w:p>
        </w:tc>
        <w:tc>
          <w:tcPr>
            <w:tcW w:w="1418" w:type="dxa"/>
            <w:vMerge w:val="restart"/>
            <w:tcBorders>
              <w:top w:val="single" w:sz="4" w:space="0" w:color="auto"/>
              <w:left w:val="single" w:sz="4" w:space="0" w:color="auto"/>
              <w:bottom w:val="single" w:sz="4" w:space="0" w:color="auto"/>
              <w:right w:val="single" w:sz="4" w:space="0" w:color="auto"/>
            </w:tcBorders>
            <w:noWrap/>
            <w:vAlign w:val="center"/>
            <w:hideMark/>
          </w:tcPr>
          <w:p w14:paraId="3714D4CB"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100%</w:t>
            </w:r>
          </w:p>
        </w:tc>
      </w:tr>
      <w:tr w:rsidR="00726E8A" w:rsidRPr="00726E8A" w14:paraId="6884E090" w14:textId="77777777" w:rsidTr="00654576">
        <w:trPr>
          <w:trHeight w:val="283"/>
          <w:jc w:val="center"/>
        </w:trPr>
        <w:tc>
          <w:tcPr>
            <w:tcW w:w="0" w:type="auto"/>
            <w:vMerge/>
            <w:tcBorders>
              <w:top w:val="nil"/>
              <w:left w:val="single" w:sz="4" w:space="0" w:color="auto"/>
              <w:bottom w:val="single" w:sz="4" w:space="0" w:color="auto"/>
              <w:right w:val="single" w:sz="4" w:space="0" w:color="auto"/>
            </w:tcBorders>
            <w:vAlign w:val="center"/>
            <w:hideMark/>
          </w:tcPr>
          <w:p w14:paraId="2EA4F772" w14:textId="77777777" w:rsidR="00726E8A" w:rsidRPr="00726E8A" w:rsidRDefault="00726E8A" w:rsidP="00726E8A">
            <w:pPr>
              <w:spacing w:after="0" w:line="240" w:lineRule="auto"/>
              <w:rPr>
                <w:rFonts w:ascii="Tahoma" w:eastAsia="Times New Roman" w:hAnsi="Tahoma" w:cs="Tahoma"/>
                <w:sz w:val="21"/>
                <w:szCs w:val="21"/>
                <w:lang w:eastAsia="pt-BR"/>
              </w:rPr>
            </w:pPr>
          </w:p>
        </w:tc>
        <w:tc>
          <w:tcPr>
            <w:tcW w:w="5019" w:type="dxa"/>
            <w:tcBorders>
              <w:top w:val="single" w:sz="4" w:space="0" w:color="auto"/>
              <w:left w:val="single" w:sz="4" w:space="0" w:color="auto"/>
              <w:bottom w:val="single" w:sz="4" w:space="0" w:color="auto"/>
              <w:right w:val="single" w:sz="4" w:space="0" w:color="auto"/>
            </w:tcBorders>
            <w:vAlign w:val="center"/>
            <w:hideMark/>
          </w:tcPr>
          <w:p w14:paraId="09B5A20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Cotas de F</w:t>
            </w:r>
            <w:r w:rsidRPr="00726E8A">
              <w:rPr>
                <w:rFonts w:ascii="Tahoma" w:eastAsia="Times New Roman" w:hAnsi="Tahoma" w:cs="Tahoma"/>
                <w:color w:val="000000"/>
                <w:sz w:val="21"/>
                <w:szCs w:val="21"/>
                <w:lang w:eastAsia="pt-BR"/>
              </w:rPr>
              <w:t>undos de Investimento em Direitos Creditórios Não – Padronizados -</w:t>
            </w:r>
            <w:r w:rsidRPr="00726E8A">
              <w:rPr>
                <w:rFonts w:ascii="Tahoma" w:eastAsia="Times New Roman" w:hAnsi="Tahoma" w:cs="Tahoma"/>
                <w:sz w:val="21"/>
                <w:szCs w:val="21"/>
                <w:lang w:eastAsia="pt-BR"/>
              </w:rPr>
              <w:t xml:space="preserve"> FIDC-NP e </w:t>
            </w:r>
            <w:r w:rsidRPr="00726E8A">
              <w:rPr>
                <w:rFonts w:ascii="Tahoma" w:eastAsia="Times New Roman" w:hAnsi="Tahoma" w:cs="Tahoma"/>
                <w:color w:val="000000"/>
                <w:sz w:val="21"/>
                <w:szCs w:val="21"/>
                <w:lang w:eastAsia="pt-BR"/>
              </w:rPr>
              <w:t xml:space="preserve">Fundos de Investimento em Cotas de Fundos de </w:t>
            </w:r>
            <w:r w:rsidRPr="00726E8A">
              <w:rPr>
                <w:rFonts w:ascii="Tahoma" w:eastAsia="Times New Roman" w:hAnsi="Tahoma" w:cs="Tahoma"/>
                <w:color w:val="000000"/>
                <w:sz w:val="21"/>
                <w:szCs w:val="21"/>
                <w:lang w:eastAsia="pt-BR"/>
              </w:rPr>
              <w:lastRenderedPageBreak/>
              <w:t xml:space="preserve">Investimento em Direitos Creditórios Não – Padronizados - </w:t>
            </w:r>
            <w:r w:rsidRPr="00726E8A">
              <w:rPr>
                <w:rFonts w:ascii="Tahoma" w:eastAsia="Times New Roman" w:hAnsi="Tahoma" w:cs="Tahoma"/>
                <w:sz w:val="21"/>
                <w:szCs w:val="21"/>
                <w:lang w:eastAsia="pt-BR"/>
              </w:rPr>
              <w:t>FICFIDC-NP</w:t>
            </w:r>
          </w:p>
        </w:tc>
        <w:tc>
          <w:tcPr>
            <w:tcW w:w="0" w:type="auto"/>
            <w:vMerge/>
            <w:tcBorders>
              <w:top w:val="single" w:sz="4" w:space="0" w:color="auto"/>
              <w:left w:val="nil"/>
              <w:bottom w:val="single" w:sz="4" w:space="0" w:color="auto"/>
              <w:right w:val="single" w:sz="4" w:space="0" w:color="auto"/>
            </w:tcBorders>
            <w:vAlign w:val="center"/>
            <w:hideMark/>
          </w:tcPr>
          <w:p w14:paraId="18151F84"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66B6EF"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r>
      <w:tr w:rsidR="00726E8A" w:rsidRPr="00726E8A" w14:paraId="04BD869B"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hideMark/>
          </w:tcPr>
          <w:p w14:paraId="4CA7EA53" w14:textId="77777777" w:rsidR="00726E8A" w:rsidRPr="00726E8A" w:rsidRDefault="00726E8A" w:rsidP="00726E8A">
            <w:pPr>
              <w:spacing w:after="0" w:line="240" w:lineRule="auto"/>
              <w:rPr>
                <w:rFonts w:ascii="Tahoma" w:eastAsia="Times New Roman" w:hAnsi="Tahoma" w:cs="Tahoma"/>
                <w:sz w:val="21"/>
                <w:szCs w:val="21"/>
                <w:lang w:eastAsia="pt-BR"/>
              </w:rPr>
            </w:pPr>
            <w:r w:rsidRPr="00726E8A">
              <w:rPr>
                <w:rFonts w:ascii="Tahoma" w:eastAsia="Times New Roman" w:hAnsi="Tahoma" w:cs="Tahoma"/>
                <w:sz w:val="21"/>
                <w:szCs w:val="21"/>
                <w:lang w:eastAsia="pt-BR"/>
              </w:rPr>
              <w:t>Depósitos à vista</w:t>
            </w:r>
          </w:p>
        </w:tc>
        <w:tc>
          <w:tcPr>
            <w:tcW w:w="1417" w:type="dxa"/>
            <w:vMerge w:val="restart"/>
            <w:tcBorders>
              <w:top w:val="single" w:sz="4" w:space="0" w:color="auto"/>
              <w:left w:val="nil"/>
              <w:bottom w:val="nil"/>
              <w:right w:val="single" w:sz="4" w:space="0" w:color="auto"/>
            </w:tcBorders>
            <w:noWrap/>
            <w:vAlign w:val="center"/>
            <w:hideMark/>
          </w:tcPr>
          <w:p w14:paraId="60D54F36"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0%</w:t>
            </w:r>
          </w:p>
        </w:tc>
        <w:tc>
          <w:tcPr>
            <w:tcW w:w="1418" w:type="dxa"/>
            <w:vMerge w:val="restart"/>
            <w:tcBorders>
              <w:top w:val="single" w:sz="4" w:space="0" w:color="auto"/>
              <w:left w:val="single" w:sz="4" w:space="0" w:color="auto"/>
              <w:bottom w:val="nil"/>
              <w:right w:val="single" w:sz="4" w:space="0" w:color="auto"/>
            </w:tcBorders>
            <w:noWrap/>
            <w:vAlign w:val="center"/>
            <w:hideMark/>
          </w:tcPr>
          <w:p w14:paraId="724CBB62"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5%</w:t>
            </w:r>
          </w:p>
        </w:tc>
      </w:tr>
      <w:tr w:rsidR="00726E8A" w:rsidRPr="00726E8A" w14:paraId="7DDDDA81"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hideMark/>
          </w:tcPr>
          <w:p w14:paraId="75E1A047" w14:textId="77777777" w:rsidR="00726E8A" w:rsidRPr="00726E8A" w:rsidRDefault="00726E8A" w:rsidP="00726E8A">
            <w:pPr>
              <w:spacing w:after="0" w:line="240" w:lineRule="auto"/>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Títulos Públicos Federais </w:t>
            </w:r>
          </w:p>
        </w:tc>
        <w:tc>
          <w:tcPr>
            <w:tcW w:w="0" w:type="auto"/>
            <w:vMerge/>
            <w:tcBorders>
              <w:top w:val="single" w:sz="4" w:space="0" w:color="auto"/>
              <w:left w:val="nil"/>
              <w:bottom w:val="nil"/>
              <w:right w:val="single" w:sz="4" w:space="0" w:color="auto"/>
            </w:tcBorders>
            <w:vAlign w:val="center"/>
            <w:hideMark/>
          </w:tcPr>
          <w:p w14:paraId="6BCEB7EE"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c>
          <w:tcPr>
            <w:tcW w:w="0" w:type="auto"/>
            <w:vMerge/>
            <w:tcBorders>
              <w:top w:val="single" w:sz="4" w:space="0" w:color="auto"/>
              <w:left w:val="single" w:sz="4" w:space="0" w:color="auto"/>
              <w:bottom w:val="nil"/>
              <w:right w:val="single" w:sz="4" w:space="0" w:color="auto"/>
            </w:tcBorders>
            <w:vAlign w:val="center"/>
            <w:hideMark/>
          </w:tcPr>
          <w:p w14:paraId="74731447"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r>
      <w:tr w:rsidR="00726E8A" w:rsidRPr="00726E8A" w14:paraId="5AB19A8E"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hideMark/>
          </w:tcPr>
          <w:p w14:paraId="43148AA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Títulos de Renda Fixa de emissão de instituição financeira</w:t>
            </w:r>
          </w:p>
        </w:tc>
        <w:tc>
          <w:tcPr>
            <w:tcW w:w="0" w:type="auto"/>
            <w:vMerge/>
            <w:tcBorders>
              <w:top w:val="single" w:sz="4" w:space="0" w:color="auto"/>
              <w:left w:val="nil"/>
              <w:bottom w:val="nil"/>
              <w:right w:val="single" w:sz="4" w:space="0" w:color="auto"/>
            </w:tcBorders>
            <w:vAlign w:val="center"/>
            <w:hideMark/>
          </w:tcPr>
          <w:p w14:paraId="061862B8"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c>
          <w:tcPr>
            <w:tcW w:w="0" w:type="auto"/>
            <w:vMerge/>
            <w:tcBorders>
              <w:top w:val="single" w:sz="4" w:space="0" w:color="auto"/>
              <w:left w:val="single" w:sz="4" w:space="0" w:color="auto"/>
              <w:bottom w:val="nil"/>
              <w:right w:val="single" w:sz="4" w:space="0" w:color="auto"/>
            </w:tcBorders>
            <w:vAlign w:val="center"/>
            <w:hideMark/>
          </w:tcPr>
          <w:p w14:paraId="708FE0D7"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r>
      <w:tr w:rsidR="00726E8A" w:rsidRPr="00726E8A" w14:paraId="031EFD78"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hideMark/>
          </w:tcPr>
          <w:p w14:paraId="6A831C90" w14:textId="77777777" w:rsidR="00726E8A" w:rsidRPr="00726E8A" w:rsidRDefault="00726E8A" w:rsidP="00726E8A">
            <w:pPr>
              <w:spacing w:after="0" w:line="240" w:lineRule="auto"/>
              <w:rPr>
                <w:rFonts w:ascii="Tahoma" w:eastAsia="Times New Roman" w:hAnsi="Tahoma" w:cs="Tahoma"/>
                <w:sz w:val="21"/>
                <w:szCs w:val="21"/>
                <w:lang w:eastAsia="pt-BR"/>
              </w:rPr>
            </w:pPr>
            <w:r w:rsidRPr="00726E8A">
              <w:rPr>
                <w:rFonts w:ascii="Tahoma" w:eastAsia="Times New Roman" w:hAnsi="Tahoma" w:cs="Tahoma"/>
                <w:sz w:val="21"/>
                <w:szCs w:val="21"/>
                <w:lang w:eastAsia="pt-BR"/>
              </w:rPr>
              <w:t>Operações compromissadas</w:t>
            </w:r>
          </w:p>
        </w:tc>
        <w:tc>
          <w:tcPr>
            <w:tcW w:w="0" w:type="auto"/>
            <w:vMerge/>
            <w:tcBorders>
              <w:top w:val="single" w:sz="4" w:space="0" w:color="auto"/>
              <w:left w:val="nil"/>
              <w:bottom w:val="nil"/>
              <w:right w:val="single" w:sz="4" w:space="0" w:color="auto"/>
            </w:tcBorders>
            <w:vAlign w:val="center"/>
            <w:hideMark/>
          </w:tcPr>
          <w:p w14:paraId="42EBBE7E"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c>
          <w:tcPr>
            <w:tcW w:w="0" w:type="auto"/>
            <w:vMerge/>
            <w:tcBorders>
              <w:top w:val="single" w:sz="4" w:space="0" w:color="auto"/>
              <w:left w:val="single" w:sz="4" w:space="0" w:color="auto"/>
              <w:bottom w:val="nil"/>
              <w:right w:val="single" w:sz="4" w:space="0" w:color="auto"/>
            </w:tcBorders>
            <w:vAlign w:val="center"/>
            <w:hideMark/>
          </w:tcPr>
          <w:p w14:paraId="68F7BD1D" w14:textId="77777777" w:rsidR="00726E8A" w:rsidRPr="00726E8A" w:rsidRDefault="00726E8A" w:rsidP="00726E8A">
            <w:pPr>
              <w:spacing w:after="0" w:line="240" w:lineRule="auto"/>
              <w:rPr>
                <w:rFonts w:ascii="Tahoma" w:eastAsia="Times New Roman" w:hAnsi="Tahoma" w:cs="Tahoma"/>
                <w:b/>
                <w:color w:val="000000"/>
                <w:sz w:val="21"/>
                <w:szCs w:val="21"/>
                <w:lang w:eastAsia="pt-BR"/>
              </w:rPr>
            </w:pPr>
          </w:p>
        </w:tc>
      </w:tr>
      <w:tr w:rsidR="00726E8A" w:rsidRPr="00726E8A" w14:paraId="517973BE"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56EEA8B4"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xml:space="preserve">CRÉDITO PRIVADO </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1CCADF81"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DED27BD"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Limite aplicável</w:t>
            </w:r>
          </w:p>
          <w:p w14:paraId="7E1A4942"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311B4E48" w14:textId="77777777" w:rsidTr="00654576">
        <w:trPr>
          <w:trHeight w:val="960"/>
          <w:jc w:val="center"/>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14:paraId="3B5A2926"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Ativos de crédito privado e/ou títulos públicos que não da União, considerando-se a consolidação dos investimentos do FUNDO e dos Fundos Investidos</w:t>
            </w:r>
          </w:p>
        </w:tc>
        <w:tc>
          <w:tcPr>
            <w:tcW w:w="1417" w:type="dxa"/>
            <w:tcBorders>
              <w:top w:val="single" w:sz="4" w:space="0" w:color="auto"/>
              <w:left w:val="nil"/>
              <w:bottom w:val="single" w:sz="4" w:space="0" w:color="auto"/>
              <w:right w:val="single" w:sz="4" w:space="0" w:color="auto"/>
            </w:tcBorders>
            <w:vAlign w:val="center"/>
            <w:hideMark/>
          </w:tcPr>
          <w:p w14:paraId="0CE96A94"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single" w:sz="4" w:space="0" w:color="auto"/>
              <w:left w:val="nil"/>
              <w:bottom w:val="single" w:sz="4" w:space="0" w:color="auto"/>
              <w:right w:val="single" w:sz="4" w:space="0" w:color="auto"/>
            </w:tcBorders>
            <w:vAlign w:val="center"/>
            <w:hideMark/>
          </w:tcPr>
          <w:p w14:paraId="71AA6616" w14:textId="77777777" w:rsidR="00726E8A" w:rsidRPr="00726E8A" w:rsidRDefault="00726E8A" w:rsidP="00726E8A">
            <w:pPr>
              <w:spacing w:after="0" w:line="240" w:lineRule="auto"/>
              <w:jc w:val="center"/>
              <w:rPr>
                <w:rFonts w:ascii="Tahoma" w:eastAsia="Times New Roman" w:hAnsi="Tahoma" w:cs="Tahoma"/>
                <w:b/>
                <w:color w:val="000000"/>
                <w:sz w:val="21"/>
                <w:szCs w:val="21"/>
                <w:highlight w:val="yellow"/>
                <w:lang w:eastAsia="pt-BR"/>
              </w:rPr>
            </w:pPr>
            <w:r w:rsidRPr="00726E8A">
              <w:rPr>
                <w:rFonts w:ascii="Tahoma" w:eastAsia="Times New Roman" w:hAnsi="Tahoma" w:cs="Tahoma"/>
                <w:b/>
                <w:color w:val="000000"/>
                <w:sz w:val="21"/>
                <w:szCs w:val="21"/>
                <w:lang w:eastAsia="pt-BR"/>
              </w:rPr>
              <w:t>Até 100%</w:t>
            </w:r>
          </w:p>
        </w:tc>
      </w:tr>
      <w:tr w:rsidR="00726E8A" w:rsidRPr="00726E8A" w14:paraId="4EF072F3" w14:textId="77777777" w:rsidTr="00654576">
        <w:trPr>
          <w:trHeight w:val="397"/>
          <w:jc w:val="center"/>
        </w:trPr>
        <w:tc>
          <w:tcPr>
            <w:tcW w:w="652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7F96F665"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INVESTIMENTO NO EXTERIOR</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5D778384"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Permitido / Vedado</w:t>
            </w:r>
          </w:p>
        </w:tc>
        <w:tc>
          <w:tcPr>
            <w:tcW w:w="1418"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4CFD3E7C"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Limite aplicável</w:t>
            </w:r>
          </w:p>
          <w:p w14:paraId="2A530B97"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3E556FAE" w14:textId="77777777" w:rsidTr="00654576">
        <w:trPr>
          <w:trHeight w:val="283"/>
          <w:jc w:val="center"/>
        </w:trPr>
        <w:tc>
          <w:tcPr>
            <w:tcW w:w="6521" w:type="dxa"/>
            <w:gridSpan w:val="2"/>
            <w:tcBorders>
              <w:top w:val="single" w:sz="4" w:space="0" w:color="auto"/>
              <w:left w:val="single" w:sz="4" w:space="0" w:color="auto"/>
              <w:bottom w:val="single" w:sz="4" w:space="0" w:color="auto"/>
              <w:right w:val="single" w:sz="4" w:space="0" w:color="auto"/>
            </w:tcBorders>
            <w:vAlign w:val="center"/>
            <w:hideMark/>
          </w:tcPr>
          <w:p w14:paraId="7976BEF9"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 xml:space="preserve">Ativos financeiros negociados no exterior que tenham a mesma </w:t>
            </w:r>
            <w:r w:rsidRPr="00726E8A">
              <w:rPr>
                <w:rFonts w:ascii="Tahoma" w:eastAsia="Times New Roman" w:hAnsi="Tahoma" w:cs="Tahoma"/>
                <w:sz w:val="21"/>
                <w:szCs w:val="21"/>
                <w:lang w:eastAsia="pt-BR"/>
              </w:rPr>
              <w:t xml:space="preserve">natureza econômica dos ativos financeiros no Brasil </w:t>
            </w:r>
            <w:r w:rsidRPr="00726E8A">
              <w:rPr>
                <w:rFonts w:ascii="Tahoma" w:eastAsia="Times New Roman" w:hAnsi="Tahoma" w:cs="Tahoma"/>
                <w:color w:val="000000"/>
                <w:sz w:val="21"/>
                <w:szCs w:val="21"/>
                <w:lang w:eastAsia="pt-BR"/>
              </w:rPr>
              <w:t xml:space="preserve">e/ou Brazilian Depositary </w:t>
            </w:r>
            <w:proofErr w:type="spellStart"/>
            <w:r w:rsidRPr="00726E8A">
              <w:rPr>
                <w:rFonts w:ascii="Tahoma" w:eastAsia="Times New Roman" w:hAnsi="Tahoma" w:cs="Tahoma"/>
                <w:color w:val="000000"/>
                <w:sz w:val="21"/>
                <w:szCs w:val="21"/>
                <w:lang w:eastAsia="pt-BR"/>
              </w:rPr>
              <w:t>Receipt</w:t>
            </w:r>
            <w:proofErr w:type="spellEnd"/>
            <w:r w:rsidRPr="00726E8A">
              <w:rPr>
                <w:rFonts w:ascii="Tahoma" w:eastAsia="Times New Roman" w:hAnsi="Tahoma" w:cs="Tahoma"/>
                <w:color w:val="000000"/>
                <w:sz w:val="21"/>
                <w:szCs w:val="21"/>
                <w:lang w:eastAsia="pt-BR"/>
              </w:rPr>
              <w:t xml:space="preserve"> - Nível I (exceto no caso de fundos de investimento que adotem o sufixo Ações – BDR-Nível I)</w:t>
            </w:r>
            <w:r w:rsidRPr="00726E8A">
              <w:rPr>
                <w:rFonts w:ascii="Tahoma" w:eastAsia="Times New Roman" w:hAnsi="Tahoma" w:cs="Tahoma"/>
                <w:sz w:val="21"/>
                <w:szCs w:val="21"/>
                <w:lang w:eastAsia="pt-BR"/>
              </w:rPr>
              <w:t xml:space="preserve">, considerando-se a consolidação dos investimentos dos Fundos </w:t>
            </w:r>
            <w:r w:rsidRPr="00726E8A">
              <w:rPr>
                <w:rFonts w:ascii="Tahoma" w:eastAsia="Times New Roman" w:hAnsi="Tahoma" w:cs="Tahoma"/>
                <w:color w:val="000000"/>
                <w:sz w:val="21"/>
                <w:szCs w:val="21"/>
                <w:lang w:eastAsia="pt-BR"/>
              </w:rPr>
              <w:t>Investidos</w:t>
            </w:r>
          </w:p>
        </w:tc>
        <w:tc>
          <w:tcPr>
            <w:tcW w:w="1417" w:type="dxa"/>
            <w:tcBorders>
              <w:top w:val="single" w:sz="4" w:space="0" w:color="auto"/>
              <w:left w:val="nil"/>
              <w:bottom w:val="single" w:sz="4" w:space="0" w:color="auto"/>
              <w:right w:val="single" w:sz="4" w:space="0" w:color="auto"/>
            </w:tcBorders>
            <w:vAlign w:val="center"/>
            <w:hideMark/>
          </w:tcPr>
          <w:p w14:paraId="5B894978"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single" w:sz="4" w:space="0" w:color="auto"/>
              <w:left w:val="nil"/>
              <w:bottom w:val="single" w:sz="4" w:space="0" w:color="auto"/>
              <w:right w:val="single" w:sz="4" w:space="0" w:color="auto"/>
            </w:tcBorders>
            <w:noWrap/>
            <w:vAlign w:val="center"/>
            <w:hideMark/>
          </w:tcPr>
          <w:p w14:paraId="3CD479E7"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sz w:val="21"/>
                <w:szCs w:val="21"/>
                <w:lang w:eastAsia="pt-BR"/>
              </w:rPr>
              <w:t>Até 40%</w:t>
            </w:r>
          </w:p>
        </w:tc>
      </w:tr>
      <w:tr w:rsidR="00726E8A" w:rsidRPr="00726E8A" w14:paraId="13AA4CEF" w14:textId="77777777" w:rsidTr="00654576">
        <w:trPr>
          <w:trHeight w:val="283"/>
          <w:jc w:val="center"/>
        </w:trPr>
        <w:tc>
          <w:tcPr>
            <w:tcW w:w="9356" w:type="dxa"/>
            <w:gridSpan w:val="4"/>
            <w:tcBorders>
              <w:top w:val="single" w:sz="4" w:space="0" w:color="auto"/>
              <w:left w:val="single" w:sz="4" w:space="0" w:color="auto"/>
              <w:bottom w:val="single" w:sz="4" w:space="0" w:color="auto"/>
              <w:right w:val="single" w:sz="4" w:space="0" w:color="auto"/>
            </w:tcBorders>
            <w:vAlign w:val="center"/>
            <w:hideMark/>
          </w:tcPr>
          <w:p w14:paraId="6EAA3B1A" w14:textId="77777777" w:rsidR="00726E8A" w:rsidRPr="00726E8A" w:rsidRDefault="00726E8A" w:rsidP="00726E8A">
            <w:pPr>
              <w:spacing w:after="0" w:line="240" w:lineRule="auto"/>
              <w:jc w:val="both"/>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As aplicações pelos Fundos Investidos em ativos financeiros no exterior não são cumulativamente consideradas no cálculo dos correspondentes limites de concentração por emissor e por modalidade de ativo financeiro aplicáveis aos ativos domésticos.</w:t>
            </w:r>
          </w:p>
        </w:tc>
      </w:tr>
    </w:tbl>
    <w:p w14:paraId="0756234D" w14:textId="77777777" w:rsidR="00726E8A" w:rsidRPr="00726E8A" w:rsidRDefault="00726E8A" w:rsidP="00726E8A">
      <w:pPr>
        <w:spacing w:after="0" w:line="240" w:lineRule="auto"/>
        <w:rPr>
          <w:rFonts w:ascii="Tahoma" w:eastAsia="Times New Roman" w:hAnsi="Tahoma" w:cs="Tahoma"/>
          <w:b/>
          <w:sz w:val="21"/>
          <w:szCs w:val="21"/>
          <w:lang w:eastAsia="pt-BR"/>
        </w:rPr>
      </w:pPr>
    </w:p>
    <w:p w14:paraId="0E94F67A"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DOS FUNDOS INVESTIDOS</w:t>
      </w:r>
    </w:p>
    <w:p w14:paraId="03C04DF6"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tbl>
      <w:tblPr>
        <w:tblW w:w="9356" w:type="dxa"/>
        <w:jc w:val="center"/>
        <w:tblCellMar>
          <w:left w:w="70" w:type="dxa"/>
          <w:right w:w="70" w:type="dxa"/>
        </w:tblCellMar>
        <w:tblLook w:val="04A0" w:firstRow="1" w:lastRow="0" w:firstColumn="1" w:lastColumn="0" w:noHBand="0" w:noVBand="1"/>
      </w:tblPr>
      <w:tblGrid>
        <w:gridCol w:w="6521"/>
        <w:gridCol w:w="1417"/>
        <w:gridCol w:w="1418"/>
      </w:tblGrid>
      <w:tr w:rsidR="00726E8A" w:rsidRPr="00726E8A" w14:paraId="3920DC8C"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037B8D38"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COMPOSIÇÃO DA CARTEIRA</w:t>
            </w:r>
          </w:p>
        </w:tc>
        <w:tc>
          <w:tcPr>
            <w:tcW w:w="2835" w:type="dxa"/>
            <w:gridSpan w:val="2"/>
            <w:tcBorders>
              <w:top w:val="single" w:sz="4" w:space="0" w:color="auto"/>
              <w:left w:val="nil"/>
              <w:bottom w:val="single" w:sz="4" w:space="0" w:color="auto"/>
              <w:right w:val="single" w:sz="4" w:space="0" w:color="auto"/>
            </w:tcBorders>
            <w:shd w:val="clear" w:color="auto" w:fill="D9D9D9"/>
            <w:noWrap/>
            <w:vAlign w:val="center"/>
            <w:hideMark/>
          </w:tcPr>
          <w:p w14:paraId="35E54F52"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12BEF4C4"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vAlign w:val="center"/>
            <w:hideMark/>
          </w:tcPr>
          <w:p w14:paraId="3CB9C5F2"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Quaisquer ativos financeiros e/ou modalidades operacionais permitidos pela regulamentação em vigor</w:t>
            </w:r>
          </w:p>
        </w:tc>
        <w:tc>
          <w:tcPr>
            <w:tcW w:w="2835" w:type="dxa"/>
            <w:gridSpan w:val="2"/>
            <w:tcBorders>
              <w:top w:val="nil"/>
              <w:left w:val="nil"/>
              <w:bottom w:val="single" w:sz="4" w:space="0" w:color="auto"/>
              <w:right w:val="single" w:sz="4" w:space="0" w:color="auto"/>
            </w:tcBorders>
            <w:noWrap/>
            <w:vAlign w:val="center"/>
            <w:hideMark/>
          </w:tcPr>
          <w:p w14:paraId="3DEB9BA6"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r w:rsidR="00726E8A" w:rsidRPr="00726E8A" w14:paraId="326D81B5"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C0C54A"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xml:space="preserve">DERIVATIVOS </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785D89A9"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Permitido/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7771A2C"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Limite aplicável</w:t>
            </w:r>
          </w:p>
          <w:p w14:paraId="6F33D489"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2D3A22D6"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noWrap/>
            <w:vAlign w:val="center"/>
            <w:hideMark/>
          </w:tcPr>
          <w:p w14:paraId="2E15D2FF" w14:textId="77777777" w:rsidR="00726E8A" w:rsidRPr="00726E8A" w:rsidRDefault="00726E8A" w:rsidP="00726E8A">
            <w:pPr>
              <w:spacing w:after="0" w:line="240" w:lineRule="auto"/>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Proteção da carteira (</w:t>
            </w:r>
            <w:r w:rsidRPr="00726E8A">
              <w:rPr>
                <w:rFonts w:ascii="Tahoma" w:eastAsia="Times New Roman" w:hAnsi="Tahoma" w:cs="Tahoma"/>
                <w:i/>
                <w:color w:val="000000"/>
                <w:sz w:val="21"/>
                <w:szCs w:val="21"/>
                <w:lang w:eastAsia="pt-BR"/>
              </w:rPr>
              <w:t>hedge</w:t>
            </w:r>
            <w:r w:rsidRPr="00726E8A">
              <w:rPr>
                <w:rFonts w:ascii="Tahoma" w:eastAsia="Times New Roman" w:hAnsi="Tahoma" w:cs="Tahoma"/>
                <w:color w:val="000000"/>
                <w:sz w:val="21"/>
                <w:szCs w:val="21"/>
                <w:lang w:eastAsia="pt-BR"/>
              </w:rPr>
              <w:t>)</w:t>
            </w:r>
          </w:p>
        </w:tc>
        <w:tc>
          <w:tcPr>
            <w:tcW w:w="1417" w:type="dxa"/>
            <w:tcBorders>
              <w:top w:val="single" w:sz="4" w:space="0" w:color="auto"/>
              <w:left w:val="nil"/>
              <w:bottom w:val="single" w:sz="4" w:space="0" w:color="auto"/>
              <w:right w:val="single" w:sz="4" w:space="0" w:color="auto"/>
            </w:tcBorders>
            <w:vAlign w:val="center"/>
            <w:hideMark/>
          </w:tcPr>
          <w:p w14:paraId="164C5D1A"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single" w:sz="4" w:space="0" w:color="auto"/>
              <w:left w:val="nil"/>
              <w:bottom w:val="single" w:sz="4" w:space="0" w:color="auto"/>
              <w:right w:val="single" w:sz="4" w:space="0" w:color="auto"/>
            </w:tcBorders>
            <w:noWrap/>
            <w:vAlign w:val="center"/>
            <w:hideMark/>
          </w:tcPr>
          <w:p w14:paraId="0A9C6778"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r w:rsidR="00726E8A" w:rsidRPr="00726E8A" w14:paraId="700343A3" w14:textId="77777777" w:rsidTr="00654576">
        <w:trPr>
          <w:trHeight w:val="283"/>
          <w:jc w:val="center"/>
        </w:trPr>
        <w:tc>
          <w:tcPr>
            <w:tcW w:w="6521" w:type="dxa"/>
            <w:tcBorders>
              <w:top w:val="nil"/>
              <w:left w:val="single" w:sz="4" w:space="0" w:color="auto"/>
              <w:bottom w:val="single" w:sz="4" w:space="0" w:color="auto"/>
              <w:right w:val="single" w:sz="4" w:space="0" w:color="auto"/>
            </w:tcBorders>
            <w:noWrap/>
            <w:vAlign w:val="center"/>
            <w:hideMark/>
          </w:tcPr>
          <w:p w14:paraId="2A574715" w14:textId="77777777" w:rsidR="00726E8A" w:rsidRPr="00726E8A" w:rsidRDefault="00726E8A" w:rsidP="00726E8A">
            <w:pPr>
              <w:spacing w:after="0" w:line="240" w:lineRule="auto"/>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Assunção de risco</w:t>
            </w:r>
          </w:p>
        </w:tc>
        <w:tc>
          <w:tcPr>
            <w:tcW w:w="1417" w:type="dxa"/>
            <w:tcBorders>
              <w:top w:val="nil"/>
              <w:left w:val="nil"/>
              <w:bottom w:val="single" w:sz="4" w:space="0" w:color="auto"/>
              <w:right w:val="single" w:sz="4" w:space="0" w:color="auto"/>
            </w:tcBorders>
            <w:vAlign w:val="center"/>
            <w:hideMark/>
          </w:tcPr>
          <w:p w14:paraId="714EB436"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nil"/>
              <w:left w:val="nil"/>
              <w:bottom w:val="single" w:sz="4" w:space="0" w:color="auto"/>
              <w:right w:val="single" w:sz="4" w:space="0" w:color="auto"/>
            </w:tcBorders>
            <w:noWrap/>
            <w:vAlign w:val="center"/>
            <w:hideMark/>
          </w:tcPr>
          <w:p w14:paraId="736475AC"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r w:rsidR="00726E8A" w:rsidRPr="00726E8A" w14:paraId="3E7EF18E" w14:textId="77777777" w:rsidTr="00654576">
        <w:trPr>
          <w:trHeight w:val="283"/>
          <w:jc w:val="center"/>
        </w:trPr>
        <w:tc>
          <w:tcPr>
            <w:tcW w:w="6521" w:type="dxa"/>
            <w:tcBorders>
              <w:top w:val="nil"/>
              <w:left w:val="single" w:sz="4" w:space="0" w:color="auto"/>
              <w:bottom w:val="single" w:sz="4" w:space="0" w:color="auto"/>
              <w:right w:val="single" w:sz="4" w:space="0" w:color="auto"/>
            </w:tcBorders>
            <w:noWrap/>
            <w:vAlign w:val="center"/>
            <w:hideMark/>
          </w:tcPr>
          <w:p w14:paraId="4846C3AB" w14:textId="77777777" w:rsidR="00726E8A" w:rsidRPr="00726E8A" w:rsidRDefault="00726E8A" w:rsidP="00726E8A">
            <w:pPr>
              <w:spacing w:after="0" w:line="240" w:lineRule="auto"/>
              <w:rPr>
                <w:rFonts w:ascii="Tahoma" w:eastAsia="Times New Roman" w:hAnsi="Tahoma" w:cs="Tahoma"/>
                <w:sz w:val="21"/>
                <w:szCs w:val="21"/>
                <w:lang w:eastAsia="pt-BR"/>
              </w:rPr>
            </w:pPr>
            <w:r w:rsidRPr="00726E8A">
              <w:rPr>
                <w:rFonts w:ascii="Tahoma" w:eastAsia="Times New Roman" w:hAnsi="Tahoma" w:cs="Tahoma"/>
                <w:sz w:val="21"/>
                <w:szCs w:val="21"/>
                <w:lang w:eastAsia="pt-BR"/>
              </w:rPr>
              <w:t>Alavancagem</w:t>
            </w:r>
          </w:p>
        </w:tc>
        <w:tc>
          <w:tcPr>
            <w:tcW w:w="1417" w:type="dxa"/>
            <w:tcBorders>
              <w:top w:val="nil"/>
              <w:left w:val="nil"/>
              <w:bottom w:val="single" w:sz="4" w:space="0" w:color="auto"/>
              <w:right w:val="single" w:sz="4" w:space="0" w:color="auto"/>
            </w:tcBorders>
            <w:vAlign w:val="center"/>
            <w:hideMark/>
          </w:tcPr>
          <w:p w14:paraId="5DCD4FE9"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nil"/>
              <w:left w:val="nil"/>
              <w:bottom w:val="single" w:sz="4" w:space="0" w:color="auto"/>
              <w:right w:val="single" w:sz="4" w:space="0" w:color="auto"/>
            </w:tcBorders>
            <w:noWrap/>
            <w:vAlign w:val="center"/>
            <w:hideMark/>
          </w:tcPr>
          <w:p w14:paraId="287F80DA"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Sem limite máximo definido</w:t>
            </w:r>
          </w:p>
        </w:tc>
      </w:tr>
    </w:tbl>
    <w:p w14:paraId="27059D91"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D7A9A5F" w14:textId="77777777" w:rsidR="00726E8A" w:rsidRPr="00726E8A" w:rsidRDefault="00726E8A" w:rsidP="00726E8A">
      <w:pP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DAS OPERAÇÕES COM O ADMINISTRADOR, GESTOR E LIGADAS PELO FUNDO E/OU PELOS FUNDOS INVESTIDOS</w:t>
      </w:r>
    </w:p>
    <w:p w14:paraId="0380E810" w14:textId="77777777" w:rsidR="00726E8A" w:rsidRPr="00726E8A" w:rsidRDefault="00726E8A" w:rsidP="00726E8A">
      <w:pPr>
        <w:spacing w:after="0" w:line="240" w:lineRule="auto"/>
        <w:rPr>
          <w:rFonts w:ascii="Tahoma" w:eastAsia="Times New Roman" w:hAnsi="Tahoma" w:cs="Tahoma"/>
          <w:sz w:val="21"/>
          <w:szCs w:val="21"/>
          <w:lang w:eastAsia="pt-BR"/>
        </w:rPr>
      </w:pPr>
    </w:p>
    <w:tbl>
      <w:tblPr>
        <w:tblW w:w="9356" w:type="dxa"/>
        <w:jc w:val="center"/>
        <w:tblCellMar>
          <w:left w:w="70" w:type="dxa"/>
          <w:right w:w="70" w:type="dxa"/>
        </w:tblCellMar>
        <w:tblLook w:val="04A0" w:firstRow="1" w:lastRow="0" w:firstColumn="1" w:lastColumn="0" w:noHBand="0" w:noVBand="1"/>
      </w:tblPr>
      <w:tblGrid>
        <w:gridCol w:w="6521"/>
        <w:gridCol w:w="1417"/>
        <w:gridCol w:w="1418"/>
      </w:tblGrid>
      <w:tr w:rsidR="00726E8A" w:rsidRPr="00726E8A" w14:paraId="04669BF3"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3534E1C"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xml:space="preserve">OPERAÇÕES COM O ADMINISTRADOR, GESTOR E LIGADAS </w:t>
            </w:r>
          </w:p>
        </w:tc>
        <w:tc>
          <w:tcPr>
            <w:tcW w:w="141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2DE846AA"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Permitido/ Vedado</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2EBADF8"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Limite aplicável</w:t>
            </w:r>
          </w:p>
          <w:p w14:paraId="667DD523" w14:textId="77777777" w:rsidR="00726E8A" w:rsidRPr="00726E8A" w:rsidRDefault="00726E8A" w:rsidP="00726E8A">
            <w:pPr>
              <w:spacing w:after="0" w:line="240" w:lineRule="auto"/>
              <w:jc w:val="center"/>
              <w:rPr>
                <w:rFonts w:ascii="Tahoma" w:eastAsia="Times New Roman" w:hAnsi="Tahoma" w:cs="Tahoma"/>
                <w:b/>
                <w:bCs/>
                <w:color w:val="000000"/>
                <w:sz w:val="21"/>
                <w:szCs w:val="21"/>
                <w:lang w:eastAsia="pt-BR"/>
              </w:rPr>
            </w:pPr>
            <w:r w:rsidRPr="00726E8A">
              <w:rPr>
                <w:rFonts w:ascii="Tahoma" w:eastAsia="Times New Roman" w:hAnsi="Tahoma" w:cs="Tahoma"/>
                <w:b/>
                <w:bCs/>
                <w:color w:val="000000"/>
                <w:sz w:val="21"/>
                <w:szCs w:val="21"/>
                <w:lang w:eastAsia="pt-BR"/>
              </w:rPr>
              <w:t>(% do PL)</w:t>
            </w:r>
          </w:p>
        </w:tc>
      </w:tr>
      <w:tr w:rsidR="00726E8A" w:rsidRPr="00726E8A" w14:paraId="1E07D400"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vAlign w:val="center"/>
            <w:hideMark/>
          </w:tcPr>
          <w:p w14:paraId="6F7972E5"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 xml:space="preserve">Títulos ou valores mobiliários de emissão do ADMINISTRADOR, do GESTOR ou de empresas a eles ligadas, </w:t>
            </w:r>
            <w:r w:rsidRPr="00726E8A">
              <w:rPr>
                <w:rFonts w:ascii="Tahoma" w:eastAsia="Times New Roman" w:hAnsi="Tahoma" w:cs="Tahoma"/>
                <w:sz w:val="21"/>
                <w:szCs w:val="21"/>
                <w:lang w:eastAsia="pt-BR"/>
              </w:rPr>
              <w:t>considerando-se a consolidação dos investimentos do FUNDO e dos Fundos Investidos, sendo vedada a aquisição de ações do ADMINISTRADOR,</w:t>
            </w:r>
            <w:r w:rsidRPr="00726E8A">
              <w:rPr>
                <w:rFonts w:ascii="Tahoma" w:eastAsia="Times New Roman" w:hAnsi="Tahoma" w:cs="Tahoma"/>
                <w:color w:val="000000"/>
                <w:sz w:val="21"/>
                <w:szCs w:val="21"/>
                <w:lang w:eastAsia="pt-BR"/>
              </w:rPr>
              <w:t xml:space="preserve"> </w:t>
            </w:r>
            <w:r w:rsidRPr="00726E8A">
              <w:rPr>
                <w:rFonts w:ascii="Tahoma" w:eastAsia="Times New Roman" w:hAnsi="Tahoma" w:cs="Tahoma"/>
                <w:sz w:val="21"/>
                <w:szCs w:val="21"/>
                <w:lang w:eastAsia="pt-BR"/>
              </w:rPr>
              <w:t>exceto nas hipóteses em que o Fundo Investido busque reproduzir índice de mercado do qual estas ações façam parte, exclusivamente na proporção desta participação</w:t>
            </w:r>
          </w:p>
        </w:tc>
        <w:tc>
          <w:tcPr>
            <w:tcW w:w="1417" w:type="dxa"/>
            <w:tcBorders>
              <w:top w:val="single" w:sz="4" w:space="0" w:color="auto"/>
              <w:left w:val="nil"/>
              <w:bottom w:val="single" w:sz="4" w:space="0" w:color="auto"/>
              <w:right w:val="single" w:sz="4" w:space="0" w:color="auto"/>
            </w:tcBorders>
            <w:vAlign w:val="center"/>
            <w:hideMark/>
          </w:tcPr>
          <w:p w14:paraId="2139AF2F"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single" w:sz="4" w:space="0" w:color="auto"/>
              <w:left w:val="nil"/>
              <w:bottom w:val="single" w:sz="4" w:space="0" w:color="auto"/>
              <w:right w:val="single" w:sz="4" w:space="0" w:color="auto"/>
            </w:tcBorders>
            <w:noWrap/>
            <w:vAlign w:val="center"/>
            <w:hideMark/>
          </w:tcPr>
          <w:p w14:paraId="3D025872"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r w:rsidR="00726E8A" w:rsidRPr="00726E8A" w14:paraId="4BFB0BEF" w14:textId="77777777" w:rsidTr="00654576">
        <w:trPr>
          <w:trHeight w:val="283"/>
          <w:jc w:val="center"/>
        </w:trPr>
        <w:tc>
          <w:tcPr>
            <w:tcW w:w="6521" w:type="dxa"/>
            <w:tcBorders>
              <w:top w:val="nil"/>
              <w:left w:val="single" w:sz="4" w:space="0" w:color="auto"/>
              <w:bottom w:val="single" w:sz="4" w:space="0" w:color="auto"/>
              <w:right w:val="single" w:sz="4" w:space="0" w:color="auto"/>
            </w:tcBorders>
            <w:vAlign w:val="center"/>
            <w:hideMark/>
          </w:tcPr>
          <w:p w14:paraId="2D5CBB86"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Cotas de fundos de investimento administrados pelo ADMINISTRADOR, GESTOR ou empresas a eles ligadas</w:t>
            </w:r>
          </w:p>
        </w:tc>
        <w:tc>
          <w:tcPr>
            <w:tcW w:w="1417" w:type="dxa"/>
            <w:tcBorders>
              <w:top w:val="nil"/>
              <w:left w:val="nil"/>
              <w:bottom w:val="single" w:sz="4" w:space="0" w:color="auto"/>
              <w:right w:val="single" w:sz="4" w:space="0" w:color="auto"/>
            </w:tcBorders>
            <w:vAlign w:val="center"/>
            <w:hideMark/>
          </w:tcPr>
          <w:p w14:paraId="5992CE02"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Permitido</w:t>
            </w:r>
          </w:p>
        </w:tc>
        <w:tc>
          <w:tcPr>
            <w:tcW w:w="1418" w:type="dxa"/>
            <w:tcBorders>
              <w:top w:val="nil"/>
              <w:left w:val="nil"/>
              <w:bottom w:val="single" w:sz="4" w:space="0" w:color="auto"/>
              <w:right w:val="single" w:sz="4" w:space="0" w:color="auto"/>
            </w:tcBorders>
            <w:noWrap/>
            <w:vAlign w:val="center"/>
            <w:hideMark/>
          </w:tcPr>
          <w:p w14:paraId="6FF603C2"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r w:rsidR="00726E8A" w:rsidRPr="00726E8A" w14:paraId="5216BA68" w14:textId="77777777" w:rsidTr="00654576">
        <w:trPr>
          <w:trHeight w:val="283"/>
          <w:jc w:val="center"/>
        </w:trPr>
        <w:tc>
          <w:tcPr>
            <w:tcW w:w="6521" w:type="dxa"/>
            <w:tcBorders>
              <w:top w:val="single" w:sz="4" w:space="0" w:color="auto"/>
              <w:left w:val="single" w:sz="4" w:space="0" w:color="auto"/>
              <w:bottom w:val="single" w:sz="4" w:space="0" w:color="auto"/>
              <w:right w:val="single" w:sz="4" w:space="0" w:color="auto"/>
            </w:tcBorders>
            <w:vAlign w:val="center"/>
            <w:hideMark/>
          </w:tcPr>
          <w:p w14:paraId="79059D5F"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t xml:space="preserve">Operações tendo como contraparte o ADMINISTRADOR, o GESTOR e empresas a eles ligadas, bem como fundos de investimento, clubes </w:t>
            </w:r>
            <w:r w:rsidRPr="00726E8A">
              <w:rPr>
                <w:rFonts w:ascii="Tahoma" w:eastAsia="Times New Roman" w:hAnsi="Tahoma" w:cs="Tahoma"/>
                <w:color w:val="000000"/>
                <w:sz w:val="21"/>
                <w:szCs w:val="21"/>
                <w:lang w:eastAsia="pt-BR"/>
              </w:rPr>
              <w:lastRenderedPageBreak/>
              <w:t>de investimento e/ou carteiras administradas pelo ADMINISTRADOR, pelo GESTOR ou por empresas a eles ligadas</w:t>
            </w:r>
          </w:p>
        </w:tc>
        <w:tc>
          <w:tcPr>
            <w:tcW w:w="1417" w:type="dxa"/>
            <w:tcBorders>
              <w:top w:val="single" w:sz="4" w:space="0" w:color="auto"/>
              <w:left w:val="nil"/>
              <w:bottom w:val="single" w:sz="4" w:space="0" w:color="auto"/>
              <w:right w:val="single" w:sz="4" w:space="0" w:color="auto"/>
            </w:tcBorders>
            <w:vAlign w:val="center"/>
            <w:hideMark/>
          </w:tcPr>
          <w:p w14:paraId="677345A3" w14:textId="77777777" w:rsidR="00726E8A" w:rsidRPr="00726E8A" w:rsidRDefault="00726E8A" w:rsidP="00726E8A">
            <w:pPr>
              <w:spacing w:after="0" w:line="240" w:lineRule="auto"/>
              <w:jc w:val="center"/>
              <w:rPr>
                <w:rFonts w:ascii="Tahoma" w:eastAsia="Times New Roman" w:hAnsi="Tahoma" w:cs="Tahoma"/>
                <w:color w:val="000000"/>
                <w:sz w:val="21"/>
                <w:szCs w:val="21"/>
                <w:lang w:eastAsia="pt-BR"/>
              </w:rPr>
            </w:pPr>
            <w:r w:rsidRPr="00726E8A">
              <w:rPr>
                <w:rFonts w:ascii="Tahoma" w:eastAsia="Times New Roman" w:hAnsi="Tahoma" w:cs="Tahoma"/>
                <w:color w:val="000000"/>
                <w:sz w:val="21"/>
                <w:szCs w:val="21"/>
                <w:lang w:eastAsia="pt-BR"/>
              </w:rPr>
              <w:lastRenderedPageBreak/>
              <w:t>Permitido</w:t>
            </w:r>
          </w:p>
        </w:tc>
        <w:tc>
          <w:tcPr>
            <w:tcW w:w="1418" w:type="dxa"/>
            <w:tcBorders>
              <w:top w:val="single" w:sz="4" w:space="0" w:color="auto"/>
              <w:left w:val="nil"/>
              <w:bottom w:val="single" w:sz="4" w:space="0" w:color="auto"/>
              <w:right w:val="single" w:sz="4" w:space="0" w:color="auto"/>
            </w:tcBorders>
            <w:noWrap/>
            <w:vAlign w:val="center"/>
            <w:hideMark/>
          </w:tcPr>
          <w:p w14:paraId="4C436F6E" w14:textId="77777777" w:rsidR="00726E8A" w:rsidRPr="00726E8A" w:rsidRDefault="00726E8A" w:rsidP="00726E8A">
            <w:pPr>
              <w:spacing w:after="0" w:line="240" w:lineRule="auto"/>
              <w:jc w:val="center"/>
              <w:rPr>
                <w:rFonts w:ascii="Tahoma" w:eastAsia="Times New Roman" w:hAnsi="Tahoma" w:cs="Tahoma"/>
                <w:b/>
                <w:color w:val="000000"/>
                <w:sz w:val="21"/>
                <w:szCs w:val="21"/>
                <w:lang w:eastAsia="pt-BR"/>
              </w:rPr>
            </w:pPr>
            <w:r w:rsidRPr="00726E8A">
              <w:rPr>
                <w:rFonts w:ascii="Tahoma" w:eastAsia="Times New Roman" w:hAnsi="Tahoma" w:cs="Tahoma"/>
                <w:b/>
                <w:color w:val="000000"/>
                <w:sz w:val="21"/>
                <w:szCs w:val="21"/>
                <w:lang w:eastAsia="pt-BR"/>
              </w:rPr>
              <w:t>Até 100%</w:t>
            </w:r>
          </w:p>
        </w:tc>
      </w:tr>
    </w:tbl>
    <w:p w14:paraId="4CFA13C1"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p w14:paraId="30D4A323"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3.3. O FUNDO poderá, a critério do GESTOR, investir em cotas de fundos de investimento de diversos gestores, inclusive em fundos de investimento administrados pelo ADMINISTRADOR ou empresas a ele ligadas, podendo concentrar a totalidade de suas aplicações em cotas de um mesmo fundo de investimento.</w:t>
      </w:r>
    </w:p>
    <w:p w14:paraId="68834F41"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p w14:paraId="10844CC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3.4. Os limites indicados nos quadros acima serão considerados em conjunto e cumulativamente.</w:t>
      </w:r>
    </w:p>
    <w:p w14:paraId="3E8231C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3BD789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3.5. Observado o disposto nos quadros acima, cada Fundo Investido observará os limites por emissor e por modalidade de ativo previstos na regulamentação aplicável.</w:t>
      </w:r>
    </w:p>
    <w:p w14:paraId="36C70627"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C43D7D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3.6. O FUNDO não será obrigado a consolidar as aplicações em cotas de fundos de índice negociados em mercados organizados e em cotas de Fundos Investidos cujas carteiras sejam geridas por terceiros não ligados ao ADMINISTRADOR ou ao GESTOR do FUNDO. </w:t>
      </w:r>
    </w:p>
    <w:p w14:paraId="21BC2C7F"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B03D25D"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3.7. O FUNDO e os Fundos Investidos podem realizar operações compromissadas de acordo com a regulamentação do Conselho Monetário Nacional utilizando como objeto os ativos financeiros que possam integrar a sua Carteira, devendo, nos termos da regulamentação aplicável, serem observados os limites por emissor e ativo previstos no quadro acima.</w:t>
      </w:r>
    </w:p>
    <w:p w14:paraId="6CAA0589"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1A34B1C"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3.8. O FUNDO e os Fundos Investidos poderão utilizar seus ativos financeiros para a prestação de garantias de operações próprias, bem como emprestar e tomar ativos financeiros em empréstimo, desde que tais operações de empréstimo sejam cursadas exclusivamente através de serviço autorizado pelo Banco Central do Brasil ("BACEN") ou pela CVM.</w:t>
      </w:r>
    </w:p>
    <w:p w14:paraId="0085523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5AF775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3.9. Ficam vedadas as aplicações pelo FUNDO em cotas de fundos de investimento que invistam diretamente no FUNDO.</w:t>
      </w:r>
    </w:p>
    <w:p w14:paraId="07825EB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F7929A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3.10. O ADMINISTRADOR, o GESTOR e qualquer empresa pertencente ao mesmo conglomerado financeiro, bem como diretores, gerentes e funcionários dessas empresas poderão ter posições </w:t>
      </w:r>
      <w:proofErr w:type="gramStart"/>
      <w:r w:rsidRPr="00726E8A">
        <w:rPr>
          <w:rFonts w:ascii="Tahoma" w:eastAsia="Times New Roman" w:hAnsi="Tahoma" w:cs="Tahoma"/>
          <w:sz w:val="21"/>
          <w:szCs w:val="21"/>
          <w:lang w:eastAsia="pt-BR"/>
        </w:rPr>
        <w:t>em, subscrever ou operar</w:t>
      </w:r>
      <w:proofErr w:type="gramEnd"/>
      <w:r w:rsidRPr="00726E8A">
        <w:rPr>
          <w:rFonts w:ascii="Tahoma" w:eastAsia="Times New Roman" w:hAnsi="Tahoma" w:cs="Tahoma"/>
          <w:sz w:val="21"/>
          <w:szCs w:val="21"/>
          <w:lang w:eastAsia="pt-BR"/>
        </w:rPr>
        <w:t xml:space="preserve"> com ativos financeiros que integrem ou venham a integrar a CARTEIRA do FUNDO e/ou a carteira dos Fundos Investidos.</w:t>
      </w:r>
    </w:p>
    <w:p w14:paraId="563EC0B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074300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3.11. O FUNDO e/ou os Fundos Investidos poderão realizar suas operações por meio de instituições autorizadas a operar no mercado de títulos e/ou valores mobiliários, ligadas ou não ao ADMINISTRADOR, ao GESTOR e às empresas a eles ligadas, podendo, inclusive, direta ou indiretamente, adquirir ativos financeiros que sejam objeto de oferta pública ou privada, que sejam coordenadas, lideradas, ou das quais participem as referidas instituições.</w:t>
      </w:r>
    </w:p>
    <w:p w14:paraId="4462F174" w14:textId="77777777" w:rsidR="00726E8A" w:rsidRPr="00726E8A" w:rsidRDefault="00726E8A" w:rsidP="00726E8A">
      <w:pPr>
        <w:tabs>
          <w:tab w:val="left" w:pos="426"/>
          <w:tab w:val="left" w:pos="1843"/>
        </w:tabs>
        <w:spacing w:after="0" w:line="240" w:lineRule="auto"/>
        <w:jc w:val="both"/>
        <w:rPr>
          <w:rFonts w:ascii="Tahoma" w:eastAsia="Times New Roman" w:hAnsi="Tahoma" w:cs="Tahoma"/>
          <w:sz w:val="21"/>
          <w:szCs w:val="21"/>
          <w:lang w:eastAsia="pt-BR"/>
        </w:rPr>
      </w:pPr>
    </w:p>
    <w:p w14:paraId="22D5CD7A"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 xml:space="preserve">CLÁUSULA QUARTA –DOS RISCOS </w:t>
      </w:r>
    </w:p>
    <w:p w14:paraId="7F388F1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7D67A63"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r w:rsidRPr="00726E8A">
        <w:rPr>
          <w:rFonts w:ascii="Tahoma" w:eastAsia="Times New Roman" w:hAnsi="Tahoma" w:cs="Tahoma"/>
          <w:sz w:val="21"/>
          <w:szCs w:val="21"/>
          <w:lang w:eastAsia="pt-BR"/>
        </w:rPr>
        <w:t>4.1.</w:t>
      </w:r>
      <w:r w:rsidRPr="00726E8A">
        <w:rPr>
          <w:rFonts w:ascii="Tahoma" w:eastAsia="Times New Roman" w:hAnsi="Tahoma" w:cs="Tahoma"/>
          <w:sz w:val="21"/>
          <w:szCs w:val="21"/>
          <w:lang w:eastAsia="pt-BR"/>
        </w:rPr>
        <w:tab/>
      </w:r>
      <w:r w:rsidRPr="00726E8A">
        <w:rPr>
          <w:rFonts w:ascii="Tahoma" w:eastAsia="Times New Roman" w:hAnsi="Tahoma" w:cs="Tahoma"/>
          <w:color w:val="000000"/>
          <w:sz w:val="21"/>
          <w:szCs w:val="21"/>
          <w:lang w:eastAsia="pt-BR"/>
        </w:rPr>
        <w:t>O FUNDO e seus Cotistas estão sujeitos, principalmente, aos seguintes fatores risco:</w:t>
      </w:r>
    </w:p>
    <w:p w14:paraId="3A220CBE" w14:textId="77777777" w:rsidR="00726E8A" w:rsidRPr="00726E8A" w:rsidRDefault="00726E8A" w:rsidP="00726E8A">
      <w:pPr>
        <w:spacing w:after="0" w:line="240" w:lineRule="auto"/>
        <w:jc w:val="both"/>
        <w:rPr>
          <w:rFonts w:ascii="Tahoma" w:eastAsia="Times New Roman" w:hAnsi="Tahoma" w:cs="Tahoma"/>
          <w:color w:val="000000"/>
          <w:sz w:val="21"/>
          <w:szCs w:val="21"/>
          <w:lang w:eastAsia="pt-BR"/>
        </w:rPr>
      </w:pPr>
    </w:p>
    <w:p w14:paraId="474FBAA0" w14:textId="77777777" w:rsidR="00726E8A" w:rsidRPr="00726E8A" w:rsidRDefault="00726E8A" w:rsidP="00726E8A">
      <w:pPr>
        <w:spacing w:after="0" w:line="240" w:lineRule="auto"/>
        <w:contextualSpacing/>
        <w:jc w:val="both"/>
        <w:rPr>
          <w:rFonts w:ascii="Tahoma" w:eastAsia="Times New Roman" w:hAnsi="Tahoma" w:cs="Tahoma"/>
          <w:sz w:val="21"/>
          <w:szCs w:val="21"/>
          <w:highlight w:val="yellow"/>
          <w:lang w:eastAsia="pt-BR"/>
        </w:rPr>
      </w:pPr>
      <w:r w:rsidRPr="00726E8A">
        <w:rPr>
          <w:rFonts w:ascii="Tahoma" w:eastAsia="Times New Roman" w:hAnsi="Tahoma" w:cs="Tahoma"/>
          <w:b/>
          <w:sz w:val="21"/>
          <w:szCs w:val="21"/>
          <w:lang w:eastAsia="pt-BR"/>
        </w:rPr>
        <w:t>Risco de Mercado:</w:t>
      </w:r>
      <w:r w:rsidRPr="00726E8A">
        <w:rPr>
          <w:rFonts w:ascii="Tahoma" w:eastAsia="Times New Roman" w:hAnsi="Tahoma" w:cs="Tahoma"/>
          <w:sz w:val="21"/>
          <w:szCs w:val="21"/>
          <w:lang w:eastAsia="pt-BR"/>
        </w:rPr>
        <w:t xml:space="preserve"> Os valores dos ativos financeiros e derivativos integrantes da CARTEIRA do FUNDO e/ou dos Fundos Investidos são suscetíveis às oscilações decorrentes das flutuações de preços e cotações de mercado, bem como das taxas de juros e dos resultados de seus emissores. Nos casos em que houver queda do valor destes ativos, o patrimônio líquido do FUNDO poderá ser afetado negativamente. </w:t>
      </w:r>
    </w:p>
    <w:p w14:paraId="58B771A7"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p>
    <w:p w14:paraId="108FF23B"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b/>
          <w:sz w:val="21"/>
          <w:szCs w:val="21"/>
          <w:lang w:eastAsia="pt-BR"/>
        </w:rPr>
        <w:t>Risco de Crédito:</w:t>
      </w:r>
      <w:r w:rsidRPr="00726E8A">
        <w:rPr>
          <w:rFonts w:ascii="Tahoma" w:eastAsia="Times New Roman" w:hAnsi="Tahoma" w:cs="Tahoma"/>
          <w:sz w:val="21"/>
          <w:szCs w:val="21"/>
          <w:lang w:eastAsia="pt-BR"/>
        </w:rPr>
        <w:t xml:space="preserve"> Consiste no risco de os emissores dos ativos financeiros e/ou das contrapartes das transações do FUNDO e/ou dos Fundos Investidos não cumprirem suas obrigações de pagamento (principal e juros) e/ou de liquidação das operações contratadas. Ocorrendo tais hipóteses, o patrimônio líquido do FUNDO poderá ser afetado negativamente.</w:t>
      </w:r>
    </w:p>
    <w:p w14:paraId="7D4C7DBF"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p>
    <w:p w14:paraId="7A81110D"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b/>
          <w:sz w:val="21"/>
          <w:szCs w:val="21"/>
          <w:lang w:eastAsia="pt-BR"/>
        </w:rPr>
        <w:t>Risco de Liquidez</w:t>
      </w:r>
      <w:r w:rsidRPr="00726E8A">
        <w:rPr>
          <w:rFonts w:ascii="Tahoma" w:eastAsia="Times New Roman" w:hAnsi="Tahoma" w:cs="Tahoma"/>
          <w:sz w:val="21"/>
          <w:szCs w:val="21"/>
          <w:lang w:eastAsia="pt-BR"/>
        </w:rPr>
        <w:t xml:space="preserve">: Caracteriza-se pela possibilidade de redução ou mesmo inexistência de demanda pelos ativos financeiros integrantes da CARTEIRA do FUNDO e/ou dos Fundos Investidos, nos respectivos mercados em que são negociados. Em virtude de tais riscos, o GESTOR do FUNDO poderá encontrar dificuldades para liquidar posições ou negociar tais ativos financeiros no tempo e pelo preço desejados, podendo, inclusive, ser obrigado a </w:t>
      </w:r>
      <w:r w:rsidRPr="00726E8A">
        <w:rPr>
          <w:rFonts w:ascii="Tahoma" w:eastAsia="Times New Roman" w:hAnsi="Tahoma" w:cs="Tahoma"/>
          <w:sz w:val="21"/>
          <w:szCs w:val="21"/>
          <w:lang w:eastAsia="pt-BR"/>
        </w:rPr>
        <w:lastRenderedPageBreak/>
        <w:t>aceitar descontos nos preços de forma a viabilizar a negociação ou a efetuar resgates de cotas fora dos prazos estabelecidos no Regulamento do FUNDO.</w:t>
      </w:r>
    </w:p>
    <w:p w14:paraId="44782BEA" w14:textId="77777777" w:rsidR="00726E8A" w:rsidRPr="00726E8A" w:rsidRDefault="00726E8A" w:rsidP="00726E8A">
      <w:pPr>
        <w:spacing w:after="0" w:line="240" w:lineRule="auto"/>
        <w:jc w:val="both"/>
        <w:rPr>
          <w:rFonts w:ascii="Tahoma" w:eastAsia="Times New Roman" w:hAnsi="Tahoma" w:cs="Tahoma"/>
          <w:b/>
          <w:bCs/>
          <w:color w:val="000000"/>
          <w:sz w:val="21"/>
          <w:szCs w:val="21"/>
          <w:lang w:eastAsia="pt-BR"/>
        </w:rPr>
      </w:pPr>
    </w:p>
    <w:p w14:paraId="51398427"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pt-BR"/>
        </w:rPr>
        <w:t>Risco Decorrente da Precificação dos Ativos</w:t>
      </w:r>
      <w:r w:rsidRPr="00726E8A">
        <w:rPr>
          <w:rFonts w:ascii="Tahoma" w:eastAsia="Times New Roman" w:hAnsi="Tahoma" w:cs="Tahoma"/>
          <w:bCs/>
          <w:color w:val="000000"/>
          <w:sz w:val="21"/>
          <w:szCs w:val="21"/>
          <w:lang w:eastAsia="pt-BR"/>
        </w:rPr>
        <w:t xml:space="preserve"> </w:t>
      </w:r>
      <w:r w:rsidRPr="00726E8A">
        <w:rPr>
          <w:rFonts w:ascii="Tahoma" w:eastAsia="Times New Roman" w:hAnsi="Tahoma" w:cs="Tahoma"/>
          <w:b/>
          <w:bCs/>
          <w:color w:val="000000"/>
          <w:sz w:val="21"/>
          <w:szCs w:val="21"/>
          <w:lang w:eastAsia="pt-BR"/>
        </w:rPr>
        <w:t>Financeiros</w:t>
      </w:r>
      <w:r w:rsidRPr="00726E8A">
        <w:rPr>
          <w:rFonts w:ascii="Tahoma" w:eastAsia="Times New Roman" w:hAnsi="Tahoma" w:cs="Tahoma"/>
          <w:b/>
          <w:color w:val="000000"/>
          <w:sz w:val="21"/>
          <w:szCs w:val="21"/>
          <w:lang w:eastAsia="pt-BR"/>
        </w:rPr>
        <w:t>:</w:t>
      </w:r>
      <w:r w:rsidRPr="00726E8A">
        <w:rPr>
          <w:rFonts w:ascii="Tahoma" w:eastAsia="Times New Roman" w:hAnsi="Tahoma" w:cs="Tahoma"/>
          <w:color w:val="000000"/>
          <w:sz w:val="21"/>
          <w:szCs w:val="21"/>
          <w:lang w:eastAsia="pt-BR"/>
        </w:rPr>
        <w:t xml:space="preserve"> A precificação dos ativos</w:t>
      </w:r>
      <w:r w:rsidRPr="00726E8A">
        <w:rPr>
          <w:rFonts w:ascii="Tahoma" w:eastAsia="Times New Roman" w:hAnsi="Tahoma" w:cs="Tahoma"/>
          <w:bCs/>
          <w:color w:val="000000"/>
          <w:sz w:val="21"/>
          <w:szCs w:val="21"/>
          <w:lang w:eastAsia="pt-BR"/>
        </w:rPr>
        <w:t xml:space="preserve"> financeiros</w:t>
      </w:r>
      <w:r w:rsidRPr="00726E8A">
        <w:rPr>
          <w:rFonts w:ascii="Tahoma" w:eastAsia="Times New Roman" w:hAnsi="Tahoma" w:cs="Tahoma"/>
          <w:color w:val="000000"/>
          <w:sz w:val="21"/>
          <w:szCs w:val="21"/>
          <w:lang w:eastAsia="pt-BR"/>
        </w:rPr>
        <w:t xml:space="preserve"> integrantes da CARTEIRA do FUNDO </w:t>
      </w:r>
      <w:r w:rsidRPr="00726E8A">
        <w:rPr>
          <w:rFonts w:ascii="Tahoma" w:eastAsia="Times New Roman" w:hAnsi="Tahoma" w:cs="Tahoma"/>
          <w:sz w:val="21"/>
          <w:szCs w:val="21"/>
          <w:lang w:eastAsia="pt-BR"/>
        </w:rPr>
        <w:t>e/ou dos Fundos Investidos</w:t>
      </w:r>
      <w:r w:rsidRPr="00726E8A">
        <w:rPr>
          <w:rFonts w:ascii="Tahoma" w:eastAsia="Times New Roman" w:hAnsi="Tahoma" w:cs="Tahoma"/>
          <w:color w:val="000000"/>
          <w:sz w:val="21"/>
          <w:szCs w:val="21"/>
          <w:lang w:eastAsia="pt-BR"/>
        </w:rPr>
        <w:t xml:space="preserve"> é realizada de acordo com os critérios e procedimentos estabelecidos na regulamentação em vigor. Referidos critérios, tais como os de marcação a mercado, poderão ocasionar variações nos valores dos ativos</w:t>
      </w:r>
      <w:r w:rsidRPr="00726E8A">
        <w:rPr>
          <w:rFonts w:ascii="Tahoma" w:eastAsia="Times New Roman" w:hAnsi="Tahoma" w:cs="Tahoma"/>
          <w:bCs/>
          <w:color w:val="000000"/>
          <w:sz w:val="21"/>
          <w:szCs w:val="21"/>
          <w:lang w:eastAsia="pt-BR"/>
        </w:rPr>
        <w:t xml:space="preserve"> financeiros</w:t>
      </w:r>
      <w:r w:rsidRPr="00726E8A">
        <w:rPr>
          <w:rFonts w:ascii="Tahoma" w:eastAsia="Times New Roman" w:hAnsi="Tahoma" w:cs="Tahoma"/>
          <w:color w:val="000000"/>
          <w:sz w:val="21"/>
          <w:szCs w:val="21"/>
          <w:lang w:eastAsia="pt-BR"/>
        </w:rPr>
        <w:t xml:space="preserve"> integrantes da CARTEIRA do FUNDO </w:t>
      </w:r>
      <w:r w:rsidRPr="00726E8A">
        <w:rPr>
          <w:rFonts w:ascii="Tahoma" w:eastAsia="Times New Roman" w:hAnsi="Tahoma" w:cs="Tahoma"/>
          <w:sz w:val="21"/>
          <w:szCs w:val="21"/>
          <w:lang w:eastAsia="pt-BR"/>
        </w:rPr>
        <w:t>e/ou dos Fundos Investidos</w:t>
      </w:r>
      <w:r w:rsidRPr="00726E8A">
        <w:rPr>
          <w:rFonts w:ascii="Tahoma" w:eastAsia="Times New Roman" w:hAnsi="Tahoma" w:cs="Tahoma"/>
          <w:color w:val="000000"/>
          <w:sz w:val="21"/>
          <w:szCs w:val="21"/>
          <w:lang w:eastAsia="pt-BR"/>
        </w:rPr>
        <w:t>, resultando em aumento ou redução no valor das cotas do FUNDO.</w:t>
      </w:r>
    </w:p>
    <w:p w14:paraId="268FA556"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p>
    <w:p w14:paraId="6FC68D8F"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x-none"/>
        </w:rPr>
        <w:t xml:space="preserve">Risco Relacionado aos Fundos Investidos: </w:t>
      </w:r>
      <w:r w:rsidRPr="00726E8A">
        <w:rPr>
          <w:rFonts w:ascii="Tahoma" w:eastAsia="Times New Roman" w:hAnsi="Tahoma" w:cs="Tahoma"/>
          <w:color w:val="000000"/>
          <w:sz w:val="21"/>
          <w:szCs w:val="21"/>
          <w:lang w:eastAsia="x-none"/>
        </w:rPr>
        <w:t>o FUNDO, na qualidade de cotista dos Fundos Investidos, está sujeito a todos os riscos envolvidos nas aplicações realizadas por tais Fundos Investidos. O ADMINISTRADOR e o GESTOR não têm qualquer poder de decisão ou interferência na composição da carteira de investimento ou na definição de estratégias de gestão dos Fundos Investidos geridos por terceiros.</w:t>
      </w:r>
    </w:p>
    <w:p w14:paraId="2F31A56E"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p>
    <w:p w14:paraId="1EA437D1"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pt-BR"/>
        </w:rPr>
        <w:t>Risco de Perdas Patrimoniais</w:t>
      </w:r>
      <w:r w:rsidRPr="00726E8A">
        <w:rPr>
          <w:rFonts w:ascii="Tahoma" w:eastAsia="Times New Roman" w:hAnsi="Tahoma" w:cs="Tahoma"/>
          <w:color w:val="000000"/>
          <w:sz w:val="21"/>
          <w:szCs w:val="21"/>
          <w:lang w:eastAsia="pt-BR"/>
        </w:rPr>
        <w:t xml:space="preserve">: Este FUNDO </w:t>
      </w:r>
      <w:r w:rsidRPr="00726E8A">
        <w:rPr>
          <w:rFonts w:ascii="Tahoma" w:eastAsia="Times New Roman" w:hAnsi="Tahoma" w:cs="Tahoma"/>
          <w:sz w:val="21"/>
          <w:szCs w:val="21"/>
          <w:lang w:eastAsia="pt-BR"/>
        </w:rPr>
        <w:t>e/ou os Fundos Investidos</w:t>
      </w:r>
      <w:r w:rsidRPr="00726E8A">
        <w:rPr>
          <w:rFonts w:ascii="Tahoma" w:eastAsia="Times New Roman" w:hAnsi="Tahoma" w:cs="Tahoma"/>
          <w:color w:val="000000"/>
          <w:sz w:val="21"/>
          <w:szCs w:val="21"/>
          <w:lang w:eastAsia="pt-BR"/>
        </w:rPr>
        <w:t xml:space="preserve"> utilizam estratégias, inclusive com derivativos, que podem resultar em significativas perdas patrimoniais para seus cotistas, podendo inclusive acarretar perdas superiores ao capital aplicado e a consequente obrigação dos cotistas de aportarem recursos adicionais para cobrir o prejuízo do FUNDO quando solicitado pelo ADMINISTRADOR, conforme previsto na regulamentação em vigor.</w:t>
      </w:r>
    </w:p>
    <w:p w14:paraId="1CFE1203"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p>
    <w:p w14:paraId="5A05C2B2"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b/>
          <w:sz w:val="21"/>
          <w:szCs w:val="21"/>
          <w:lang w:eastAsia="pt-BR"/>
        </w:rPr>
        <w:t>Risco de Concentração:</w:t>
      </w:r>
      <w:r w:rsidRPr="00726E8A">
        <w:rPr>
          <w:rFonts w:ascii="Tahoma" w:eastAsia="Times New Roman" w:hAnsi="Tahoma" w:cs="Tahoma"/>
          <w:sz w:val="21"/>
          <w:szCs w:val="21"/>
          <w:lang w:eastAsia="pt-BR"/>
        </w:rPr>
        <w:t xml:space="preserve"> A concentração dos investimentos realizados pelo FUNDO e/ou pelos Fundos Investidos em determinado(s) emissor(es) pode aumentar a exposição da CARTEIRA do FUNDO aos riscos mencionados em seu Regulamento, ocasionando volatilidade no valor de suas cotas.</w:t>
      </w:r>
    </w:p>
    <w:p w14:paraId="2A0B1D0D"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p>
    <w:p w14:paraId="07665544"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pt-BR"/>
        </w:rPr>
        <w:t>Risco Cambial</w:t>
      </w:r>
      <w:r w:rsidRPr="00726E8A">
        <w:rPr>
          <w:rFonts w:ascii="Tahoma" w:eastAsia="Times New Roman" w:hAnsi="Tahoma" w:cs="Tahoma"/>
          <w:color w:val="000000"/>
          <w:sz w:val="21"/>
          <w:szCs w:val="21"/>
          <w:lang w:eastAsia="pt-BR"/>
        </w:rPr>
        <w:t>: O cenário político e as condições socioeconômicas nacionais e internacionais podem afetar o mercado financeiro resultando em alterações significativas nas taxas de juros e câmbio, nos preços dos papéis e nos ativos financeiros em geral. Tais variações podem afetar negativamente o desempenho do FUNDO e/ou dos Fundos Investidos.</w:t>
      </w:r>
    </w:p>
    <w:p w14:paraId="7BE1C780"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p>
    <w:p w14:paraId="1FAF6360"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pt-BR"/>
        </w:rPr>
        <w:t>Risco de Concentração em Créditos Privados</w:t>
      </w:r>
      <w:r w:rsidRPr="00726E8A">
        <w:rPr>
          <w:rFonts w:ascii="Tahoma" w:eastAsia="Times New Roman" w:hAnsi="Tahoma" w:cs="Tahoma"/>
          <w:color w:val="000000"/>
          <w:sz w:val="21"/>
          <w:szCs w:val="21"/>
          <w:lang w:eastAsia="pt-BR"/>
        </w:rPr>
        <w:t xml:space="preserve">: Em decorrência do FUNDO poder realizar aplicações, diretamente ou por meio </w:t>
      </w:r>
      <w:r w:rsidRPr="00726E8A">
        <w:rPr>
          <w:rFonts w:ascii="Tahoma" w:eastAsia="Times New Roman" w:hAnsi="Tahoma" w:cs="Tahoma"/>
          <w:sz w:val="21"/>
          <w:szCs w:val="21"/>
          <w:lang w:eastAsia="pt-BR"/>
        </w:rPr>
        <w:t>dos Fundos Investidos</w:t>
      </w:r>
      <w:r w:rsidRPr="00726E8A">
        <w:rPr>
          <w:rFonts w:ascii="Tahoma" w:eastAsia="Times New Roman" w:hAnsi="Tahoma" w:cs="Tahoma"/>
          <w:color w:val="000000"/>
          <w:sz w:val="21"/>
          <w:szCs w:val="21"/>
          <w:lang w:eastAsia="pt-BR"/>
        </w:rPr>
        <w:t xml:space="preserve">, em ativos financeiros ou modalidades operacionais de responsabilidade de pessoas físicas ou jurídicas de direito privado e/ou títulos públicos que não da União, observado o limite máximo previsto em sua política de investimento, o FUNDO está sujeito a risco de perda substancial de seu patrimônio líquido em caso de eventos que acarretem o não pagamento dos ativos financeiros integrantes da carteira do FUNDO e/ou dos </w:t>
      </w:r>
      <w:r w:rsidRPr="00726E8A">
        <w:rPr>
          <w:rFonts w:ascii="Tahoma" w:eastAsia="Times New Roman" w:hAnsi="Tahoma" w:cs="Tahoma"/>
          <w:sz w:val="21"/>
          <w:szCs w:val="21"/>
          <w:lang w:eastAsia="pt-BR"/>
        </w:rPr>
        <w:t>Fundos Investidos</w:t>
      </w:r>
      <w:r w:rsidRPr="00726E8A">
        <w:rPr>
          <w:rFonts w:ascii="Tahoma" w:eastAsia="Times New Roman" w:hAnsi="Tahoma" w:cs="Tahoma"/>
          <w:color w:val="000000"/>
          <w:sz w:val="21"/>
          <w:szCs w:val="21"/>
          <w:lang w:eastAsia="pt-BR"/>
        </w:rPr>
        <w:t xml:space="preserve">, inclusive por força de intervenção, liquidação, regime de administração temporária, falência, recuperação judicial ou extrajudicial dos emissores responsáveis pelos ativos financeiros do FUNDO e/ou dos </w:t>
      </w:r>
      <w:r w:rsidRPr="00726E8A">
        <w:rPr>
          <w:rFonts w:ascii="Tahoma" w:eastAsia="Times New Roman" w:hAnsi="Tahoma" w:cs="Tahoma"/>
          <w:sz w:val="21"/>
          <w:szCs w:val="21"/>
          <w:lang w:eastAsia="pt-BR"/>
        </w:rPr>
        <w:t>Fundos Investidos</w:t>
      </w:r>
      <w:r w:rsidRPr="00726E8A">
        <w:rPr>
          <w:rFonts w:ascii="Tahoma" w:eastAsia="Times New Roman" w:hAnsi="Tahoma" w:cs="Tahoma"/>
          <w:color w:val="000000"/>
          <w:sz w:val="21"/>
          <w:szCs w:val="21"/>
          <w:lang w:eastAsia="pt-BR"/>
        </w:rPr>
        <w:t xml:space="preserve">. </w:t>
      </w:r>
    </w:p>
    <w:p w14:paraId="268426AE"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p>
    <w:p w14:paraId="36CC9BA8" w14:textId="77777777" w:rsidR="00726E8A" w:rsidRPr="00726E8A" w:rsidRDefault="00726E8A" w:rsidP="00726E8A">
      <w:pPr>
        <w:spacing w:after="0" w:line="240" w:lineRule="auto"/>
        <w:contextualSpacing/>
        <w:jc w:val="both"/>
        <w:rPr>
          <w:rFonts w:ascii="Tahoma" w:eastAsia="Times New Roman" w:hAnsi="Tahoma" w:cs="Tahoma"/>
          <w:color w:val="000000"/>
          <w:sz w:val="21"/>
          <w:szCs w:val="21"/>
          <w:lang w:eastAsia="pt-BR"/>
        </w:rPr>
      </w:pPr>
      <w:r w:rsidRPr="00726E8A">
        <w:rPr>
          <w:rFonts w:ascii="Tahoma" w:eastAsia="Times New Roman" w:hAnsi="Tahoma" w:cs="Tahoma"/>
          <w:b/>
          <w:color w:val="000000"/>
          <w:sz w:val="21"/>
          <w:szCs w:val="21"/>
          <w:lang w:eastAsia="pt-BR"/>
        </w:rPr>
        <w:t>Risco de Mercado Externo</w:t>
      </w:r>
      <w:r w:rsidRPr="00726E8A">
        <w:rPr>
          <w:rFonts w:ascii="Tahoma" w:eastAsia="Times New Roman" w:hAnsi="Tahoma" w:cs="Tahoma"/>
          <w:color w:val="000000"/>
          <w:sz w:val="21"/>
          <w:szCs w:val="21"/>
          <w:lang w:eastAsia="pt-BR"/>
        </w:rPr>
        <w:t xml:space="preserve">: O FUNDO </w:t>
      </w:r>
      <w:r w:rsidRPr="00726E8A">
        <w:rPr>
          <w:rFonts w:ascii="Tahoma" w:eastAsia="Times New Roman" w:hAnsi="Tahoma" w:cs="Tahoma"/>
          <w:sz w:val="21"/>
          <w:szCs w:val="21"/>
          <w:lang w:eastAsia="pt-BR"/>
        </w:rPr>
        <w:t>e/ou os Fundos Investidos</w:t>
      </w:r>
      <w:r w:rsidRPr="00726E8A">
        <w:rPr>
          <w:rFonts w:ascii="Tahoma" w:eastAsia="Times New Roman" w:hAnsi="Tahoma" w:cs="Tahoma"/>
          <w:color w:val="000000"/>
          <w:sz w:val="21"/>
          <w:szCs w:val="21"/>
          <w:lang w:eastAsia="pt-BR"/>
        </w:rPr>
        <w:t xml:space="preserve"> poderão manter em sua CARTEIRA ativos financeiros negociados no exterior e, consequentemente, sua performance pode ser afetada por requisitos legais ou regulatórios, por exigências tributárias relativas a todos os países nos quais ele invista ou, ainda, pela variação do Real em relação a outras moedas. Os investimentos do FUNDO </w:t>
      </w:r>
      <w:r w:rsidRPr="00726E8A">
        <w:rPr>
          <w:rFonts w:ascii="Tahoma" w:eastAsia="Times New Roman" w:hAnsi="Tahoma" w:cs="Tahoma"/>
          <w:sz w:val="21"/>
          <w:szCs w:val="21"/>
          <w:lang w:eastAsia="pt-BR"/>
        </w:rPr>
        <w:t>e/ou dos Fundos Investidos</w:t>
      </w:r>
      <w:r w:rsidRPr="00726E8A">
        <w:rPr>
          <w:rFonts w:ascii="Tahoma" w:eastAsia="Times New Roman" w:hAnsi="Tahoma" w:cs="Tahoma"/>
          <w:color w:val="000000"/>
          <w:sz w:val="21"/>
          <w:szCs w:val="21"/>
          <w:lang w:eastAsia="pt-BR"/>
        </w:rPr>
        <w:t xml:space="preserve"> estarão expostos a alterações nas condições política, econômica ou social nos países onde investe, o que pode afetar negativamente o valor de seus ativos financeiros. Podem ocorrer atrasos na transferência de juros, dividendos, ganhos de capital ou principal, entre países onde o FUNDO </w:t>
      </w:r>
      <w:r w:rsidRPr="00726E8A">
        <w:rPr>
          <w:rFonts w:ascii="Tahoma" w:eastAsia="Times New Roman" w:hAnsi="Tahoma" w:cs="Tahoma"/>
          <w:sz w:val="21"/>
          <w:szCs w:val="21"/>
          <w:lang w:eastAsia="pt-BR"/>
        </w:rPr>
        <w:t>e/ou os Fundos Investidos</w:t>
      </w:r>
      <w:r w:rsidRPr="00726E8A">
        <w:rPr>
          <w:rFonts w:ascii="Tahoma" w:eastAsia="Times New Roman" w:hAnsi="Tahoma" w:cs="Tahoma"/>
          <w:color w:val="000000"/>
          <w:sz w:val="21"/>
          <w:szCs w:val="21"/>
          <w:lang w:eastAsia="pt-BR"/>
        </w:rPr>
        <w:t xml:space="preserve"> invistam e o Brasil, o que pode interferir na liquidez e no desempenho do FUNDO. As operações do FUNDO </w:t>
      </w:r>
      <w:r w:rsidRPr="00726E8A">
        <w:rPr>
          <w:rFonts w:ascii="Tahoma" w:eastAsia="Times New Roman" w:hAnsi="Tahoma" w:cs="Tahoma"/>
          <w:sz w:val="21"/>
          <w:szCs w:val="21"/>
          <w:lang w:eastAsia="pt-BR"/>
        </w:rPr>
        <w:t>e/ou dos Fundos Investidos</w:t>
      </w:r>
      <w:r w:rsidRPr="00726E8A">
        <w:rPr>
          <w:rFonts w:ascii="Tahoma" w:eastAsia="Times New Roman" w:hAnsi="Tahoma" w:cs="Tahoma"/>
          <w:color w:val="000000"/>
          <w:sz w:val="21"/>
          <w:szCs w:val="21"/>
          <w:lang w:eastAsia="pt-BR"/>
        </w:rPr>
        <w:t xml:space="preserve"> poderão ser executadas em bolsas de valores, de mercadoria e futuros ou registradas em sistema de registro, de custódia ou de liquidação financeira de diferentes países que podem estar sujeitos a distintos níveis de regulamentação e supervisionados por autoridades locais reconhecidas, entretanto não existem garantias acerca da integridade das transações e nem, tampouco, sobre a igualdade de condições de acesso aos mercados locais.</w:t>
      </w:r>
    </w:p>
    <w:p w14:paraId="627C4995" w14:textId="77777777" w:rsidR="00726E8A" w:rsidRPr="00726E8A" w:rsidRDefault="00726E8A" w:rsidP="00726E8A">
      <w:pPr>
        <w:spacing w:after="0" w:line="240" w:lineRule="auto"/>
        <w:ind w:left="540"/>
        <w:contextualSpacing/>
        <w:jc w:val="both"/>
        <w:rPr>
          <w:rFonts w:ascii="Tahoma" w:eastAsia="Times New Roman" w:hAnsi="Tahoma" w:cs="Tahoma"/>
          <w:color w:val="000000"/>
          <w:sz w:val="21"/>
          <w:szCs w:val="21"/>
          <w:lang w:eastAsia="pt-BR"/>
        </w:rPr>
      </w:pPr>
    </w:p>
    <w:p w14:paraId="551FB2E4" w14:textId="77777777" w:rsidR="00726E8A" w:rsidRPr="00726E8A" w:rsidRDefault="00726E8A" w:rsidP="00726E8A">
      <w:pPr>
        <w:spacing w:after="0" w:line="240" w:lineRule="auto"/>
        <w:jc w:val="both"/>
        <w:rPr>
          <w:rFonts w:ascii="Tahoma" w:eastAsia="Times New Roman" w:hAnsi="Tahoma" w:cs="Tahoma"/>
          <w:b/>
          <w:sz w:val="21"/>
          <w:szCs w:val="21"/>
          <w:lang w:eastAsia="pt-BR"/>
        </w:rPr>
      </w:pPr>
      <w:r w:rsidRPr="00726E8A">
        <w:rPr>
          <w:rFonts w:ascii="Tahoma" w:eastAsia="Times New Roman" w:hAnsi="Tahoma" w:cs="Tahoma"/>
          <w:b/>
          <w:bCs/>
          <w:color w:val="000000"/>
          <w:sz w:val="21"/>
          <w:szCs w:val="21"/>
          <w:lang w:eastAsia="pt-BR"/>
        </w:rPr>
        <w:t xml:space="preserve">Risco do Tratamento Fiscal: </w:t>
      </w:r>
      <w:r w:rsidRPr="00726E8A">
        <w:rPr>
          <w:rFonts w:ascii="Tahoma" w:eastAsia="Times New Roman" w:hAnsi="Tahoma" w:cs="Tahoma"/>
          <w:bCs/>
          <w:iCs/>
          <w:color w:val="000000"/>
          <w:sz w:val="21"/>
          <w:szCs w:val="21"/>
          <w:lang w:eastAsia="pt-BR"/>
        </w:rPr>
        <w:t>O FUNDO tentará obter o tratamento fiscal previsto para fundos de investimento de longo prazo previsto na regulamentação fiscal vigente, de modo que não há garantia de que o Fundo terá o tratamento tributário perseguido, sendo que, caso o Fundo seja descaracterizado, passará a ter tratamento tributário aplicável aos fundos de investimento de curto prazo.</w:t>
      </w:r>
    </w:p>
    <w:p w14:paraId="3C1EC5E5" w14:textId="77777777" w:rsidR="00726E8A" w:rsidRPr="00726E8A" w:rsidRDefault="00726E8A" w:rsidP="00726E8A">
      <w:pPr>
        <w:spacing w:after="0" w:line="240" w:lineRule="auto"/>
        <w:ind w:left="540"/>
        <w:contextualSpacing/>
        <w:jc w:val="both"/>
        <w:rPr>
          <w:rFonts w:ascii="Tahoma" w:eastAsia="Times New Roman" w:hAnsi="Tahoma" w:cs="Tahoma"/>
          <w:color w:val="000000"/>
          <w:sz w:val="21"/>
          <w:szCs w:val="21"/>
          <w:lang w:eastAsia="pt-BR"/>
        </w:rPr>
      </w:pPr>
    </w:p>
    <w:p w14:paraId="039ABFB5" w14:textId="77777777" w:rsidR="00726E8A" w:rsidRPr="00726E8A" w:rsidRDefault="00726E8A" w:rsidP="00726E8A">
      <w:p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b/>
          <w:sz w:val="21"/>
          <w:szCs w:val="21"/>
          <w:lang w:eastAsia="pt-BR"/>
        </w:rPr>
        <w:t>Risco Regulatório:</w:t>
      </w:r>
      <w:r w:rsidRPr="00726E8A">
        <w:rPr>
          <w:rFonts w:ascii="Tahoma" w:eastAsia="Times New Roman" w:hAnsi="Tahoma" w:cs="Tahoma"/>
          <w:sz w:val="21"/>
          <w:szCs w:val="21"/>
          <w:lang w:eastAsia="pt-BR"/>
        </w:rPr>
        <w:t xml:space="preserve"> </w:t>
      </w:r>
      <w:r w:rsidRPr="00726E8A">
        <w:rPr>
          <w:rFonts w:ascii="Tahoma" w:eastAsia="Times New Roman" w:hAnsi="Tahoma" w:cs="Tahoma"/>
          <w:color w:val="000000"/>
          <w:sz w:val="21"/>
          <w:szCs w:val="21"/>
          <w:lang w:eastAsia="pt-BR"/>
        </w:rPr>
        <w:t xml:space="preserve">As eventuais alterações e/ou interpretações das normas ou leis aplicáveis ao FUNDO, e/ou aos Fundos Investidos e/ou aos Cotistas, tanto pela CVM quanto por reguladores específicos a cada segmento de investidores (Previc, Susep, Ministério da Seguridade Social, dentre outros), incluindo, mas não se limitando, </w:t>
      </w:r>
      <w:r w:rsidRPr="00726E8A">
        <w:rPr>
          <w:rFonts w:ascii="Tahoma" w:eastAsia="Times New Roman" w:hAnsi="Tahoma" w:cs="Tahoma"/>
          <w:color w:val="000000"/>
          <w:sz w:val="21"/>
          <w:szCs w:val="21"/>
          <w:lang w:eastAsia="pt-BR"/>
        </w:rPr>
        <w:lastRenderedPageBreak/>
        <w:t>àquelas referentes a tributos e às regras e condições de investimento, podem causar um efeito adverso relevante ao FUNDO e/ou aos Fundos Investidos, como, por exemplo, eventual impacto no preço dos ativos financeiros e/ou na performance das posições financeiras adquiridas pelo FUNDO, bem como a necessidade do FUNDO se desfazer de ativos que de outra forma permaneceriam em sua Carteira</w:t>
      </w:r>
      <w:r w:rsidRPr="00726E8A">
        <w:rPr>
          <w:rFonts w:ascii="Tahoma" w:eastAsia="Times New Roman" w:hAnsi="Tahoma" w:cs="Tahoma"/>
          <w:sz w:val="21"/>
          <w:szCs w:val="21"/>
          <w:lang w:eastAsia="pt-BR"/>
        </w:rPr>
        <w:t>.</w:t>
      </w:r>
    </w:p>
    <w:p w14:paraId="62B92A3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4965BC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4.2. Por motivos alheios ao ADMINISTRADOR ou ao GESTOR, tais como moratória, inadimplência de pagamentos, fechamento parcial ou total dos mercados, inexistência de liquidez nos mercados em que os Ativos Financeiros do FUNDO são negociados, alteração da política monetária, mudança nas regras ou características aplicáveis aos Ativos Financeiros integrantes da Carteira ou mesmo resgates excessivos no FUNDO, poderá ocorrer redução no valor das cotas ou mesmo perda do capital investido pelos Cotistas.</w:t>
      </w:r>
    </w:p>
    <w:p w14:paraId="474C81B1"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D184262"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4.3. O ADMINISTRADOR e o GESTOR não poderão, em hipótese alguma, ser responsabilizados por qualquer resultado negativo na rentabilidade do FUNDO e dos Fundos Investidos, depreciação dos ativos financeiros da Carteira do FUNDO e/ou dos Fundos Investidos, descumprimento dos limites legais estabelecidos nos regulamentos dos Fundos Investidos (exceto no caso de Fundos Investidos administrados e geridos pelo ADMINISTRADOR e pelo GESTOR, respectivamente), por eventuais prejuízos em caso de liquidação do FUNDO e/ou dos Fundos Investidos ou resgate de cotas com valor reduzido, sendo o ADMINISTRADOR e o GESTOR responsáveis tão somente por perdas ou prejuízos resultantes de comprovado erro ou má-fé de sua parte, respectivamente.</w:t>
      </w:r>
    </w:p>
    <w:p w14:paraId="06B796B3"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C1D167C"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4.4. As aplicações realizadas no FUNDO e nos Fundos Investidos não contam com a garantia do ADMINISTRADOR, do GESTOR, de qualquer empresa pertencente ao seu conglomerado financeiro, de qualquer mecanismo de seguro ou do Fundo Garantidor de Créditos - FGC.</w:t>
      </w:r>
    </w:p>
    <w:p w14:paraId="12F47B8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83298EB"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QUINTA – DA ADMINISTRAÇÃO E DOS PRESTADORES DE SERVIÇOS</w:t>
      </w:r>
    </w:p>
    <w:p w14:paraId="58214AC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03ECB94" w14:textId="77777777" w:rsidR="00726E8A" w:rsidRPr="00726E8A" w:rsidRDefault="00726E8A" w:rsidP="00726E8A">
      <w:pPr>
        <w:spacing w:after="0" w:line="276" w:lineRule="auto"/>
        <w:jc w:val="both"/>
        <w:rPr>
          <w:rFonts w:ascii="Tahoma" w:eastAsia="Times New Roman" w:hAnsi="Tahoma" w:cs="Tahoma"/>
          <w:lang w:eastAsia="pt-BR"/>
        </w:rPr>
      </w:pPr>
      <w:r w:rsidRPr="00726E8A">
        <w:rPr>
          <w:rFonts w:ascii="Tahoma" w:eastAsia="Times New Roman" w:hAnsi="Tahoma" w:cs="Tahoma"/>
          <w:lang w:eastAsia="pt-BR"/>
        </w:rPr>
        <w:t xml:space="preserve">5.1. O FUNDO é administrado e gerido pela </w:t>
      </w:r>
      <w:r w:rsidRPr="00726E8A">
        <w:rPr>
          <w:rFonts w:ascii="Tahoma" w:eastAsia="Times New Roman" w:hAnsi="Tahoma" w:cs="Tahoma"/>
          <w:b/>
          <w:bCs/>
          <w:lang w:eastAsia="pt-BR"/>
        </w:rPr>
        <w:t>SANTANDER DISTRIBUIDORA DE TÍTULOS E VALORES MOBILIÁRIOS S.A.</w:t>
      </w:r>
      <w:r w:rsidRPr="00726E8A">
        <w:rPr>
          <w:rFonts w:ascii="Tahoma" w:eastAsia="Times New Roman" w:hAnsi="Tahoma" w:cs="Tahoma"/>
          <w:lang w:eastAsia="pt-BR"/>
        </w:rPr>
        <w:t xml:space="preserve">, com sede na Rua João Brícola, 24 – 16º e 17º andares – Centro Histórico, São Paulo/SP, inscrita no CNPJ sob nº 03.502.968/0001-04 e credenciada na CVM para a administração e gestão de carteiras conforme Ato Declaratório CVM nº 20006, de 28/07/2022 (“ADMINISTRADOR” e “GESTOR”). </w:t>
      </w:r>
    </w:p>
    <w:p w14:paraId="541495FA"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4CA6DE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5.2. Os serviços de custódia, tesouraria, controladoria e processamento dos Ativos Financeiros integrantes da Carteira do FUNDO serão realizados pela </w:t>
      </w:r>
      <w:r w:rsidRPr="00726E8A">
        <w:rPr>
          <w:rFonts w:ascii="Tahoma" w:eastAsia="Times New Roman" w:hAnsi="Tahoma" w:cs="Tahoma"/>
          <w:b/>
          <w:bCs/>
          <w:sz w:val="21"/>
          <w:szCs w:val="21"/>
          <w:lang w:eastAsia="pt-BR"/>
        </w:rPr>
        <w:t>S3 CACEIS BRASIL DISTRIBUIDORA DE TÍTULOS E VALORES MOBILIÁRIOS S.A.</w:t>
      </w:r>
      <w:r w:rsidRPr="00726E8A">
        <w:rPr>
          <w:rFonts w:ascii="Tahoma" w:eastAsia="Times New Roman" w:hAnsi="Tahoma" w:cs="Tahoma"/>
          <w:sz w:val="21"/>
          <w:szCs w:val="21"/>
          <w:lang w:eastAsia="pt-BR"/>
        </w:rPr>
        <w:t>, com sede na Rua Amador Bueno, nº 474, 1º andar, Bloco D, Santo Amaro, São Paulo/SP., inscrita no CNPJ nº 62.318.407/0001-19, e credenciado na CVM para exercer a custódia de valores mobiliários conforme Ato Declaratório CVM nº 12.676, de 07/11/2012 (“CUSTODIANTE”).</w:t>
      </w:r>
    </w:p>
    <w:p w14:paraId="54E7788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F07E10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5.3. As informações sobre os prestadores de serviços de distribuição das cotas do FUNDO e de controladoria e processamento do passivo do FUNDO (escrituração de cotas) ficarão disponíveis para consulta, no site da CVM.</w:t>
      </w:r>
    </w:p>
    <w:p w14:paraId="7C50D1C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38C083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5.4. O ADMINISTRADOR poderá contratar terceiros, em nome do FUNDO, para prestação de demais serviços. </w:t>
      </w:r>
    </w:p>
    <w:p w14:paraId="6E24393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EB3C9E5"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SEXTA – DA REMUNERAÇÃO E DEMAIS ENCARGOS</w:t>
      </w:r>
    </w:p>
    <w:p w14:paraId="52554B01"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D2B461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6.1. Pela prestação dos serviços de administração do FUNDO, incluindo os serviços de administração propriamente dita e os demais serviços indicados na Cláusula Quinta acima, com exceção dos serviços de custódia e de auditoria independente, o FUNDO pagará a seguinte remuneração (“Taxas de Administração”):</w:t>
      </w:r>
    </w:p>
    <w:p w14:paraId="702CF3A9"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78C9EA6"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b/>
          <w:bCs/>
          <w:sz w:val="21"/>
          <w:szCs w:val="21"/>
          <w:lang w:eastAsia="pt-BR"/>
        </w:rPr>
        <w:t xml:space="preserve">Taxa de Administração Mínima: </w:t>
      </w:r>
      <w:r w:rsidRPr="00726E8A">
        <w:rPr>
          <w:rFonts w:ascii="Tahoma" w:eastAsia="Times New Roman" w:hAnsi="Tahoma"/>
          <w:sz w:val="21"/>
          <w:szCs w:val="21"/>
          <w:lang w:eastAsia="pt-BR"/>
        </w:rPr>
        <w:t>Percentual indicado abaixo, calculado sobre o valor do patrimônio líquido do FUNDO, observado o valor mínimo de R$ 20.000,00 ao ano, o que for maior.</w:t>
      </w:r>
    </w:p>
    <w:p w14:paraId="38AEEA59" w14:textId="77777777" w:rsidR="00726E8A" w:rsidRPr="00726E8A" w:rsidRDefault="00726E8A" w:rsidP="00726E8A">
      <w:pPr>
        <w:spacing w:after="0" w:line="240" w:lineRule="auto"/>
        <w:jc w:val="both"/>
        <w:rPr>
          <w:rFonts w:ascii="Tahoma" w:eastAsia="Times New Roman" w:hAnsi="Tahoma"/>
          <w:sz w:val="21"/>
          <w:szCs w:val="21"/>
          <w:lang w:eastAsia="pt-BR"/>
        </w:rPr>
      </w:pPr>
    </w:p>
    <w:tbl>
      <w:tblPr>
        <w:tblW w:w="8212" w:type="dxa"/>
        <w:jc w:val="center"/>
        <w:tblCellMar>
          <w:left w:w="0" w:type="dxa"/>
          <w:right w:w="0" w:type="dxa"/>
        </w:tblCellMar>
        <w:tblLook w:val="04A0" w:firstRow="1" w:lastRow="0" w:firstColumn="1" w:lastColumn="0" w:noHBand="0" w:noVBand="1"/>
      </w:tblPr>
      <w:tblGrid>
        <w:gridCol w:w="6086"/>
        <w:gridCol w:w="2126"/>
      </w:tblGrid>
      <w:tr w:rsidR="00726E8A" w:rsidRPr="00726E8A" w14:paraId="3D2BD2BD" w14:textId="77777777" w:rsidTr="00654576">
        <w:trPr>
          <w:trHeight w:val="551"/>
          <w:jc w:val="center"/>
        </w:trPr>
        <w:tc>
          <w:tcPr>
            <w:tcW w:w="6086" w:type="dxa"/>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96119F9" w14:textId="77777777" w:rsidR="00726E8A" w:rsidRPr="00726E8A" w:rsidRDefault="00726E8A" w:rsidP="00726E8A">
            <w:pPr>
              <w:spacing w:after="0" w:line="240" w:lineRule="auto"/>
              <w:jc w:val="center"/>
              <w:rPr>
                <w:rFonts w:ascii="Tahoma" w:eastAsia="Times New Roman" w:hAnsi="Tahoma"/>
                <w:b/>
                <w:bCs/>
                <w:sz w:val="21"/>
                <w:szCs w:val="21"/>
                <w:lang w:eastAsia="pt-BR"/>
              </w:rPr>
            </w:pPr>
            <w:r w:rsidRPr="00726E8A">
              <w:rPr>
                <w:rFonts w:ascii="Tahoma" w:eastAsia="Times New Roman" w:hAnsi="Tahoma"/>
                <w:b/>
                <w:bCs/>
                <w:sz w:val="21"/>
                <w:szCs w:val="21"/>
                <w:lang w:eastAsia="pt-BR"/>
              </w:rPr>
              <w:t>Total do Patrimônio Líquido do FUNDO</w:t>
            </w:r>
          </w:p>
        </w:tc>
        <w:tc>
          <w:tcPr>
            <w:tcW w:w="2126"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0D2E1D6F" w14:textId="77777777" w:rsidR="00726E8A" w:rsidRPr="00726E8A" w:rsidRDefault="00726E8A" w:rsidP="00726E8A">
            <w:pPr>
              <w:spacing w:after="0" w:line="240" w:lineRule="auto"/>
              <w:jc w:val="center"/>
              <w:rPr>
                <w:rFonts w:ascii="Tahoma" w:eastAsia="Times New Roman" w:hAnsi="Tahoma"/>
                <w:b/>
                <w:bCs/>
                <w:sz w:val="21"/>
                <w:szCs w:val="21"/>
                <w:lang w:eastAsia="pt-BR"/>
              </w:rPr>
            </w:pPr>
            <w:r w:rsidRPr="00726E8A">
              <w:rPr>
                <w:rFonts w:ascii="Tahoma" w:eastAsia="Times New Roman" w:hAnsi="Tahoma"/>
                <w:b/>
                <w:bCs/>
                <w:sz w:val="21"/>
                <w:szCs w:val="21"/>
                <w:lang w:eastAsia="pt-BR"/>
              </w:rPr>
              <w:t xml:space="preserve">Taxa de Administração </w:t>
            </w:r>
          </w:p>
        </w:tc>
      </w:tr>
      <w:tr w:rsidR="00726E8A" w:rsidRPr="00726E8A" w14:paraId="7A114CF5" w14:textId="77777777" w:rsidTr="00654576">
        <w:trPr>
          <w:trHeight w:val="269"/>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554064F7"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t>Até R$ 7.500.000,00 (inclusive)</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26E3C70"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0,50% a.a.</w:t>
            </w:r>
          </w:p>
        </w:tc>
      </w:tr>
      <w:tr w:rsidR="00726E8A" w:rsidRPr="00726E8A" w14:paraId="7E9C4123" w14:textId="77777777" w:rsidTr="00654576">
        <w:trPr>
          <w:trHeight w:val="424"/>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4C23CA8"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t>Acima de R$ 7.500.000,00 até R$ 10.000.000,00 (inclusive)</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2A9DB101"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0,40% a.a.</w:t>
            </w:r>
          </w:p>
        </w:tc>
      </w:tr>
      <w:tr w:rsidR="00726E8A" w:rsidRPr="00726E8A" w14:paraId="6A6BCCD7" w14:textId="77777777" w:rsidTr="00654576">
        <w:trPr>
          <w:trHeight w:val="424"/>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B7BCA62"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t>Acima de R$ 10.000.000,00 até R$ 15.000.000,00 (inclusive)</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670FF661"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0,35% a.a.</w:t>
            </w:r>
          </w:p>
        </w:tc>
      </w:tr>
      <w:tr w:rsidR="00726E8A" w:rsidRPr="00726E8A" w14:paraId="3268D0D4" w14:textId="77777777" w:rsidTr="00654576">
        <w:trPr>
          <w:trHeight w:val="424"/>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49E39A2"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lastRenderedPageBreak/>
              <w:t>Acima de R$ 15.000.000,00 até R$ 20.000.000,00 (inclusive)</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515DA6A"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0,30% a.a.</w:t>
            </w:r>
          </w:p>
        </w:tc>
      </w:tr>
      <w:tr w:rsidR="00726E8A" w:rsidRPr="00726E8A" w14:paraId="5856FB86" w14:textId="77777777" w:rsidTr="00654576">
        <w:trPr>
          <w:trHeight w:val="424"/>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A2010F4"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t>Acima de R$ 20.000.000,00 até R$ 30.000.000,00 (inclusive)</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B376CD5"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0,25% a.a.</w:t>
            </w:r>
          </w:p>
        </w:tc>
      </w:tr>
      <w:tr w:rsidR="00726E8A" w:rsidRPr="00726E8A" w14:paraId="2F543249" w14:textId="77777777" w:rsidTr="00654576">
        <w:trPr>
          <w:trHeight w:val="429"/>
          <w:jc w:val="center"/>
        </w:trPr>
        <w:tc>
          <w:tcPr>
            <w:tcW w:w="6086"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1BFC1CD9" w14:textId="77777777" w:rsidR="00726E8A" w:rsidRPr="00726E8A" w:rsidRDefault="00726E8A" w:rsidP="00726E8A">
            <w:pPr>
              <w:spacing w:after="0" w:line="240" w:lineRule="auto"/>
              <w:jc w:val="both"/>
              <w:rPr>
                <w:rFonts w:ascii="Tahoma" w:eastAsia="Times New Roman" w:hAnsi="Tahoma"/>
                <w:sz w:val="21"/>
                <w:szCs w:val="21"/>
                <w:lang w:eastAsia="pt-BR"/>
              </w:rPr>
            </w:pPr>
            <w:r w:rsidRPr="00726E8A">
              <w:rPr>
                <w:rFonts w:ascii="Tahoma" w:eastAsia="Times New Roman" w:hAnsi="Tahoma"/>
                <w:sz w:val="21"/>
                <w:szCs w:val="21"/>
                <w:lang w:eastAsia="pt-BR"/>
              </w:rPr>
              <w:t>Acima de R$ 30.000.000,00</w:t>
            </w:r>
          </w:p>
        </w:tc>
        <w:tc>
          <w:tcPr>
            <w:tcW w:w="2126"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31EB6A27" w14:textId="77777777" w:rsidR="00726E8A" w:rsidRPr="00726E8A" w:rsidRDefault="00726E8A" w:rsidP="00726E8A">
            <w:pPr>
              <w:spacing w:after="0" w:line="240" w:lineRule="auto"/>
              <w:jc w:val="center"/>
              <w:rPr>
                <w:rFonts w:ascii="Tahoma" w:eastAsia="Times New Roman" w:hAnsi="Tahoma"/>
                <w:sz w:val="21"/>
                <w:szCs w:val="21"/>
                <w:lang w:eastAsia="pt-BR"/>
              </w:rPr>
            </w:pPr>
            <w:r w:rsidRPr="00726E8A">
              <w:rPr>
                <w:rFonts w:ascii="Tahoma" w:eastAsia="Times New Roman" w:hAnsi="Tahoma"/>
                <w:sz w:val="21"/>
                <w:szCs w:val="21"/>
                <w:lang w:eastAsia="pt-BR"/>
              </w:rPr>
              <w:t>0,20% a.a.</w:t>
            </w:r>
          </w:p>
        </w:tc>
      </w:tr>
    </w:tbl>
    <w:p w14:paraId="4C19E55F" w14:textId="77777777" w:rsidR="00726E8A" w:rsidRPr="00726E8A" w:rsidRDefault="00726E8A" w:rsidP="00726E8A">
      <w:pPr>
        <w:spacing w:after="0" w:line="240" w:lineRule="auto"/>
        <w:jc w:val="both"/>
        <w:rPr>
          <w:rFonts w:ascii="Tahoma" w:eastAsia="Times New Roman" w:hAnsi="Tahoma"/>
          <w:sz w:val="21"/>
          <w:szCs w:val="21"/>
          <w:lang w:eastAsia="pt-BR"/>
        </w:rPr>
      </w:pPr>
    </w:p>
    <w:p w14:paraId="188158F6"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b/>
          <w:bCs/>
          <w:sz w:val="21"/>
          <w:szCs w:val="21"/>
          <w:lang w:eastAsia="pt-BR"/>
        </w:rPr>
        <w:t>Taxa de Administração Máxima</w:t>
      </w:r>
      <w:r w:rsidRPr="00726E8A">
        <w:rPr>
          <w:rFonts w:ascii="Tahoma" w:eastAsia="Times New Roman" w:hAnsi="Tahoma" w:cs="Tahoma"/>
          <w:sz w:val="21"/>
          <w:szCs w:val="21"/>
          <w:lang w:eastAsia="pt-BR"/>
        </w:rPr>
        <w:t>: O FUNDO poderá aplicar seus recursos em fundos de investimento que cobram taxa de administração. Nesse caso, o valor da taxa de administração final a ser paga pelo FUNDO será o somatório da Taxa de Administração Mínima e das taxas de administração dos fundos de investimento nos quais o FUNDO aplica.</w:t>
      </w:r>
    </w:p>
    <w:p w14:paraId="353E9AFA"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DCC38D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6.1.1. A Taxa de Administração será calculada e provisionada por dia útil sobre o valor do patrimônio líquido do FUNDO do dia útil imediatamente anterior, mediante divisão da taxa anual por </w:t>
      </w:r>
      <w:proofErr w:type="gramStart"/>
      <w:r w:rsidRPr="00726E8A">
        <w:rPr>
          <w:rFonts w:ascii="Tahoma" w:eastAsia="Times New Roman" w:hAnsi="Tahoma" w:cs="Tahoma"/>
          <w:sz w:val="21"/>
          <w:szCs w:val="21"/>
          <w:lang w:eastAsia="pt-BR"/>
        </w:rPr>
        <w:t>252  dias</w:t>
      </w:r>
      <w:proofErr w:type="gramEnd"/>
      <w:r w:rsidRPr="00726E8A">
        <w:rPr>
          <w:rFonts w:ascii="Tahoma" w:eastAsia="Times New Roman" w:hAnsi="Tahoma" w:cs="Tahoma"/>
          <w:sz w:val="21"/>
          <w:szCs w:val="21"/>
          <w:lang w:eastAsia="pt-BR"/>
        </w:rPr>
        <w:t>, sendo paga mensalmente, até o 5º dia útil do mês subsequente.</w:t>
      </w:r>
    </w:p>
    <w:p w14:paraId="5EAD900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37A78E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6.1.2. O FUNDO poderá aplicar seus recursos em fundos de investimento que cobrem taxa de performance, ingresso e saída.</w:t>
      </w:r>
    </w:p>
    <w:p w14:paraId="4C7C8657"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603A8455"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6.2. A taxa máxima de custódia paga pelo FUNDO ao CUSTODIANTE será de 0,015% ao ano sobre o patrimônio líquido do FUNDO.</w:t>
      </w:r>
    </w:p>
    <w:p w14:paraId="3FF38AB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D1D868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6.3. Não haverá cobrança de taxa de performance no FUNDO.</w:t>
      </w:r>
    </w:p>
    <w:p w14:paraId="70BE4F57"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FF6B145"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6.4. Não será cobrada dos </w:t>
      </w:r>
      <w:proofErr w:type="gramStart"/>
      <w:r w:rsidRPr="00726E8A">
        <w:rPr>
          <w:rFonts w:ascii="Tahoma" w:eastAsia="Times New Roman" w:hAnsi="Tahoma" w:cs="Tahoma"/>
          <w:sz w:val="21"/>
          <w:szCs w:val="21"/>
          <w:lang w:eastAsia="pt-BR"/>
        </w:rPr>
        <w:t>Cotistas taxa</w:t>
      </w:r>
      <w:proofErr w:type="gramEnd"/>
      <w:r w:rsidRPr="00726E8A">
        <w:rPr>
          <w:rFonts w:ascii="Tahoma" w:eastAsia="Times New Roman" w:hAnsi="Tahoma" w:cs="Tahoma"/>
          <w:sz w:val="21"/>
          <w:szCs w:val="21"/>
          <w:lang w:eastAsia="pt-BR"/>
        </w:rPr>
        <w:t xml:space="preserve"> de ingresso e de saída quando da realização de aplicação e resgate no FUNDO, respectivamente.</w:t>
      </w:r>
    </w:p>
    <w:p w14:paraId="45FB76D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B0BCB1C"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6.5.</w:t>
      </w:r>
      <w:r w:rsidRPr="00726E8A">
        <w:rPr>
          <w:rFonts w:ascii="Tahoma" w:eastAsia="Times New Roman" w:hAnsi="Tahoma" w:cs="Tahoma"/>
          <w:sz w:val="21"/>
          <w:szCs w:val="21"/>
          <w:lang w:eastAsia="pt-BR"/>
        </w:rPr>
        <w:tab/>
        <w:t>Além das Taxas de Administração e da Taxa de Performance, se houver, constituirão encargos que poderão ser debitados diretamente do FUNDO as seguintes despesas:</w:t>
      </w:r>
    </w:p>
    <w:p w14:paraId="6E7BCE4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EA67E13"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(i) taxas, impostos ou contribuições federais, estaduais, municipais ou autárquicas, que recaiam ou venham a recair sobre os bens, direitos e obrigações do FUNDO;</w:t>
      </w:r>
    </w:p>
    <w:p w14:paraId="743F5C91" w14:textId="77777777" w:rsidR="00726E8A" w:rsidRPr="00726E8A" w:rsidRDefault="00726E8A" w:rsidP="00726E8A">
      <w:pPr>
        <w:spacing w:after="0" w:line="240" w:lineRule="auto"/>
        <w:jc w:val="both"/>
        <w:rPr>
          <w:rFonts w:ascii="Tahoma" w:eastAsia="Arial Unicode MS" w:hAnsi="Tahoma" w:cs="Tahoma"/>
          <w:sz w:val="21"/>
          <w:szCs w:val="21"/>
          <w:lang w:eastAsia="pt-BR"/>
        </w:rPr>
      </w:pPr>
    </w:p>
    <w:p w14:paraId="3DCF1353"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(ii) despesas com o registro de documentos em cartório, impressão, expedição e publicação de relatórios e informações periódicas previstas na regulamentação em vigor;</w:t>
      </w:r>
    </w:p>
    <w:p w14:paraId="4C251950" w14:textId="77777777" w:rsidR="00726E8A" w:rsidRPr="00726E8A" w:rsidRDefault="00726E8A" w:rsidP="00726E8A">
      <w:pPr>
        <w:spacing w:after="0" w:line="240" w:lineRule="auto"/>
        <w:jc w:val="both"/>
        <w:rPr>
          <w:rFonts w:ascii="Tahoma" w:eastAsia="Arial Unicode MS" w:hAnsi="Tahoma" w:cs="Tahoma"/>
          <w:sz w:val="21"/>
          <w:szCs w:val="21"/>
          <w:highlight w:val="yellow"/>
          <w:lang w:eastAsia="pt-BR"/>
        </w:rPr>
      </w:pPr>
    </w:p>
    <w:p w14:paraId="4648FAD0"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(iii) despesas com correspondência de interesse do FUNDO, inclusive comunicações aos Cotistas;</w:t>
      </w:r>
    </w:p>
    <w:p w14:paraId="78CAD4DA" w14:textId="77777777" w:rsidR="00726E8A" w:rsidRPr="00726E8A" w:rsidRDefault="00726E8A" w:rsidP="00726E8A">
      <w:pPr>
        <w:spacing w:after="0" w:line="240" w:lineRule="auto"/>
        <w:jc w:val="both"/>
        <w:rPr>
          <w:rFonts w:ascii="Tahoma" w:eastAsia="Arial Unicode MS" w:hAnsi="Tahoma" w:cs="Tahoma"/>
          <w:sz w:val="21"/>
          <w:szCs w:val="21"/>
          <w:highlight w:val="yellow"/>
          <w:lang w:eastAsia="pt-BR"/>
        </w:rPr>
      </w:pPr>
    </w:p>
    <w:p w14:paraId="1854A07D"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w:t>
      </w:r>
      <w:proofErr w:type="spellStart"/>
      <w:r w:rsidRPr="00726E8A">
        <w:rPr>
          <w:rFonts w:ascii="Tahoma" w:eastAsia="Arial Unicode MS" w:hAnsi="Tahoma" w:cs="Tahoma"/>
          <w:sz w:val="21"/>
          <w:szCs w:val="21"/>
          <w:lang w:eastAsia="pt-BR"/>
        </w:rPr>
        <w:t>iv</w:t>
      </w:r>
      <w:proofErr w:type="spellEnd"/>
      <w:r w:rsidRPr="00726E8A">
        <w:rPr>
          <w:rFonts w:ascii="Tahoma" w:eastAsia="Arial Unicode MS" w:hAnsi="Tahoma" w:cs="Tahoma"/>
          <w:sz w:val="21"/>
          <w:szCs w:val="21"/>
          <w:lang w:eastAsia="pt-BR"/>
        </w:rPr>
        <w:t>) honorários e despesas do auditor independente;</w:t>
      </w:r>
    </w:p>
    <w:p w14:paraId="019DA777" w14:textId="77777777" w:rsidR="00726E8A" w:rsidRPr="00726E8A" w:rsidRDefault="00726E8A" w:rsidP="00726E8A">
      <w:pPr>
        <w:spacing w:after="0" w:line="240" w:lineRule="auto"/>
        <w:jc w:val="both"/>
        <w:rPr>
          <w:rFonts w:ascii="Tahoma" w:eastAsia="Arial Unicode MS" w:hAnsi="Tahoma" w:cs="Tahoma"/>
          <w:sz w:val="21"/>
          <w:szCs w:val="21"/>
          <w:highlight w:val="yellow"/>
          <w:lang w:eastAsia="pt-BR"/>
        </w:rPr>
      </w:pPr>
    </w:p>
    <w:p w14:paraId="182E41B8"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 xml:space="preserve">(v) emolumentos e comissões pagas por operações do FUNDO; </w:t>
      </w:r>
    </w:p>
    <w:p w14:paraId="419C003E" w14:textId="77777777" w:rsidR="00726E8A" w:rsidRPr="00726E8A" w:rsidRDefault="00726E8A" w:rsidP="00726E8A">
      <w:pPr>
        <w:spacing w:after="0" w:line="240" w:lineRule="auto"/>
        <w:jc w:val="both"/>
        <w:rPr>
          <w:rFonts w:ascii="Tahoma" w:eastAsia="Arial Unicode MS" w:hAnsi="Tahoma" w:cs="Tahoma"/>
          <w:sz w:val="21"/>
          <w:szCs w:val="21"/>
          <w:lang w:eastAsia="pt-BR"/>
        </w:rPr>
      </w:pPr>
    </w:p>
    <w:p w14:paraId="18C22C0C"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(vi) honorários de advogado, custas e despesas processuais correlatas, incorridas em razão de defesa dos interesses do FUNDO, em juízo ou fora dele, inclusive o valor da condenação imputada ao FUNDO, se for o caso;</w:t>
      </w:r>
    </w:p>
    <w:p w14:paraId="6C207829" w14:textId="77777777" w:rsidR="00726E8A" w:rsidRPr="00726E8A" w:rsidRDefault="00726E8A" w:rsidP="00726E8A">
      <w:pPr>
        <w:spacing w:after="0" w:line="240" w:lineRule="auto"/>
        <w:jc w:val="both"/>
        <w:rPr>
          <w:rFonts w:ascii="Tahoma" w:eastAsia="Arial Unicode MS" w:hAnsi="Tahoma" w:cs="Tahoma"/>
          <w:sz w:val="21"/>
          <w:szCs w:val="21"/>
          <w:highlight w:val="yellow"/>
          <w:lang w:eastAsia="pt-BR"/>
        </w:rPr>
      </w:pPr>
    </w:p>
    <w:p w14:paraId="34AEB8C1"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w:t>
      </w:r>
      <w:proofErr w:type="spellStart"/>
      <w:r w:rsidRPr="00726E8A">
        <w:rPr>
          <w:rFonts w:ascii="Tahoma" w:eastAsia="Arial Unicode MS" w:hAnsi="Tahoma" w:cs="Tahoma"/>
          <w:sz w:val="21"/>
          <w:szCs w:val="21"/>
          <w:lang w:eastAsia="pt-BR"/>
        </w:rPr>
        <w:t>vii</w:t>
      </w:r>
      <w:proofErr w:type="spellEnd"/>
      <w:r w:rsidRPr="00726E8A">
        <w:rPr>
          <w:rFonts w:ascii="Tahoma" w:eastAsia="Arial Unicode MS" w:hAnsi="Tahoma" w:cs="Tahoma"/>
          <w:sz w:val="21"/>
          <w:szCs w:val="21"/>
          <w:lang w:eastAsia="pt-BR"/>
        </w:rPr>
        <w:t>) parcela de prejuízos não coberta por apólices de seguro e não decorrente diretamente de culpa ou dolo dos prestadores dos serviços de administração no exercício de suas respectivas funções;</w:t>
      </w:r>
    </w:p>
    <w:p w14:paraId="2DF28155" w14:textId="77777777" w:rsidR="00726E8A" w:rsidRPr="00726E8A" w:rsidRDefault="00726E8A" w:rsidP="00726E8A">
      <w:pPr>
        <w:spacing w:after="0" w:line="240" w:lineRule="auto"/>
        <w:jc w:val="both"/>
        <w:rPr>
          <w:rFonts w:ascii="Tahoma" w:eastAsia="Arial Unicode MS" w:hAnsi="Tahoma" w:cs="Tahoma"/>
          <w:sz w:val="21"/>
          <w:szCs w:val="21"/>
          <w:highlight w:val="yellow"/>
          <w:lang w:eastAsia="pt-BR"/>
        </w:rPr>
      </w:pPr>
    </w:p>
    <w:p w14:paraId="4B585CB7"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w:t>
      </w:r>
      <w:proofErr w:type="spellStart"/>
      <w:r w:rsidRPr="00726E8A">
        <w:rPr>
          <w:rFonts w:ascii="Tahoma" w:eastAsia="Arial Unicode MS" w:hAnsi="Tahoma" w:cs="Tahoma"/>
          <w:sz w:val="21"/>
          <w:szCs w:val="21"/>
          <w:lang w:eastAsia="pt-BR"/>
        </w:rPr>
        <w:t>viii</w:t>
      </w:r>
      <w:proofErr w:type="spellEnd"/>
      <w:r w:rsidRPr="00726E8A">
        <w:rPr>
          <w:rFonts w:ascii="Tahoma" w:eastAsia="Arial Unicode MS" w:hAnsi="Tahoma" w:cs="Tahoma"/>
          <w:sz w:val="21"/>
          <w:szCs w:val="21"/>
          <w:lang w:eastAsia="pt-BR"/>
        </w:rPr>
        <w:t>) despesas relacionadas, direta ou indiretamente, ao exercício de direito de voto decorrente de Ativos Financeiros do FUNDO;</w:t>
      </w:r>
    </w:p>
    <w:p w14:paraId="17E9B339" w14:textId="77777777" w:rsidR="00726E8A" w:rsidRPr="00726E8A" w:rsidRDefault="00726E8A" w:rsidP="00726E8A">
      <w:pPr>
        <w:spacing w:after="0" w:line="240" w:lineRule="auto"/>
        <w:jc w:val="both"/>
        <w:rPr>
          <w:rFonts w:ascii="Tahoma" w:eastAsia="Arial Unicode MS" w:hAnsi="Tahoma" w:cs="Tahoma"/>
          <w:sz w:val="21"/>
          <w:szCs w:val="21"/>
          <w:lang w:eastAsia="pt-BR"/>
        </w:rPr>
      </w:pPr>
    </w:p>
    <w:p w14:paraId="7B8D43E8"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w:t>
      </w:r>
      <w:proofErr w:type="spellStart"/>
      <w:r w:rsidRPr="00726E8A">
        <w:rPr>
          <w:rFonts w:ascii="Tahoma" w:eastAsia="Arial Unicode MS" w:hAnsi="Tahoma" w:cs="Tahoma"/>
          <w:sz w:val="21"/>
          <w:szCs w:val="21"/>
          <w:lang w:eastAsia="pt-BR"/>
        </w:rPr>
        <w:t>ix</w:t>
      </w:r>
      <w:proofErr w:type="spellEnd"/>
      <w:r w:rsidRPr="00726E8A">
        <w:rPr>
          <w:rFonts w:ascii="Tahoma" w:eastAsia="Arial Unicode MS" w:hAnsi="Tahoma" w:cs="Tahoma"/>
          <w:sz w:val="21"/>
          <w:szCs w:val="21"/>
          <w:lang w:eastAsia="pt-BR"/>
        </w:rPr>
        <w:t>) despesas com liquidação, registro e custódia de operações com títulos e valores mobiliários, Ativos Financeiros e modalidades operacionais;</w:t>
      </w:r>
    </w:p>
    <w:p w14:paraId="75730FF1"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(x) despesas com fechamento de câmbio, vinculadas às suas operações ou com certificados ou recibos de depósito de valores mobiliários; e</w:t>
      </w:r>
    </w:p>
    <w:p w14:paraId="5A3789B5" w14:textId="77777777" w:rsidR="00726E8A" w:rsidRPr="00726E8A" w:rsidRDefault="00726E8A" w:rsidP="00726E8A">
      <w:pPr>
        <w:spacing w:after="0" w:line="240" w:lineRule="auto"/>
        <w:jc w:val="both"/>
        <w:rPr>
          <w:rFonts w:ascii="Tahoma" w:eastAsia="Arial Unicode MS" w:hAnsi="Tahoma" w:cs="Tahoma"/>
          <w:sz w:val="21"/>
          <w:szCs w:val="21"/>
          <w:lang w:eastAsia="pt-BR"/>
        </w:rPr>
      </w:pPr>
    </w:p>
    <w:p w14:paraId="1FAADA05" w14:textId="77777777" w:rsidR="00726E8A" w:rsidRPr="00726E8A" w:rsidRDefault="00726E8A" w:rsidP="00726E8A">
      <w:pPr>
        <w:spacing w:after="0" w:line="240" w:lineRule="auto"/>
        <w:jc w:val="both"/>
        <w:rPr>
          <w:rFonts w:ascii="Tahoma" w:eastAsia="Arial Unicode MS" w:hAnsi="Tahoma" w:cs="Tahoma"/>
          <w:sz w:val="21"/>
          <w:szCs w:val="21"/>
          <w:lang w:eastAsia="pt-BR"/>
        </w:rPr>
      </w:pPr>
      <w:r w:rsidRPr="00726E8A">
        <w:rPr>
          <w:rFonts w:ascii="Tahoma" w:eastAsia="Arial Unicode MS" w:hAnsi="Tahoma" w:cs="Tahoma"/>
          <w:sz w:val="21"/>
          <w:szCs w:val="21"/>
          <w:lang w:eastAsia="pt-BR"/>
        </w:rPr>
        <w:t>(xi) os montantes devidos a fundos investidores na hipótese de acordo de remuneração com base na taxa de administração e/ou performance, observado o disposto na regulamentação vigente.</w:t>
      </w:r>
    </w:p>
    <w:p w14:paraId="787AAF8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5ADCE3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lastRenderedPageBreak/>
        <w:t>6.6. Quaisquer despesas não previstas como encargos do FUNDO correm por conta do ADMINISTRADOR, devendo ser por ele incorridas, inclusive as despesas relacionadas à constituição de conselhos consultivos por iniciativa do ADMINISTRADOR ou do GESTOR, se o caso, podendo os membros indicados ser remunerados com parcela da Taxa de Administração.</w:t>
      </w:r>
    </w:p>
    <w:p w14:paraId="47CC5EDB"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65FD9B8"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 xml:space="preserve">CLÁUSULA SÉTIMA – DAS COTAS: DISTRIBUIÇÃO, EMISSÃO E RESGATE </w:t>
      </w:r>
    </w:p>
    <w:p w14:paraId="2630196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E4A2DD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 As cotas do FUNDO correspondem a frações ideais do seu patrimônio e são nominativas e escriturais.</w:t>
      </w:r>
    </w:p>
    <w:p w14:paraId="1ECCC91A"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14BAEEE"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7.1.1. As cotas do FUNDO terão seu valor calculado a cada dia útil, com base em avaliação patrimonial que considere os critérios de avaliação previstos na regulamentação em vigor.</w:t>
      </w:r>
    </w:p>
    <w:p w14:paraId="3F82BB0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54EAC5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7.2. As cotas do FUNDO não poderão ser objeto de cessão ou transferência, salvo por decisão judicial ou arbitral, operações de cessão fiduciária, execução de garantia, sucessão universal, dissolução de sociedade conjugal ou união estável por via judicial ou escritura pública que disponha sobre a partilha de bens ou transferência de administração ou portabilidade de planos de previdência, devendo ser observado, ainda, o disposto neste Regulamento, bem como as regras de tributação aplicáveis.</w:t>
      </w:r>
    </w:p>
    <w:p w14:paraId="0636CF3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FB9292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7.3. Para os efeitos deste Regulamento, o valor da cota do dia é o do fechamento, (“Cota de Fechamento”), resultante da divisão do valor do patrimônio líquido pelo número de cotas do FUNDO, apurados, ambos, no encerramento do dia, assim entendido, o horário de fechamento dos mercados em que o FUNDO atue.</w:t>
      </w:r>
    </w:p>
    <w:p w14:paraId="7D6BCC3F"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B87976E"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7.3.1. Considerando a atuação dos fundos de investimento em que o FUNDO aplica em mercados no exterior, o encerramento do dia poderá ser considerado como o horário de fechamento dos respectivos mercados nos quais atuem.</w:t>
      </w:r>
    </w:p>
    <w:p w14:paraId="0BC92B4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F8D43B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7.4. O ADMINISTRADOR poderá recusar proposta de investimento inicial feita por qualquer investidor, em função das disposições trazidas pela legislação relativa à política de prevenção e combate à lavagem de dinheiro ou do não enquadramento do investidor no segmento de clientes ao qual o FUNDO se destina.</w:t>
      </w:r>
    </w:p>
    <w:p w14:paraId="296B9AEC"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023289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7.5. A qualidade dos Cotistas caracteriza-se pela inscrição do nome do titular no registro de Cotistas do FUNDO.</w:t>
      </w:r>
    </w:p>
    <w:p w14:paraId="7FD95FC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13B57B6"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7.5.1. Caso os Cotistas mantenham conta corrente junto ao BANCO SANTANDER (BRASIL) S.A., o registro dos Cotistas no FUNDO terá os mesmos dados cadastrais do titular da referida conta corrente e, na hipótese de conta corrente conjunta, o registro dos Cotistas no FUNDO será feito em nome do primeiro titular da conta corrente conjunta.</w:t>
      </w:r>
    </w:p>
    <w:p w14:paraId="6CA0D0D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07874E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7.6. A adesão dos Cotistas aos termos deste Regulamento dar-se-á pela assinatura do Termo de Adesão e Ciência de Risco ou mediante manifestação de aceite por meio eletrônico, através do qual atestam que tiveram acesso ao Regulamento e que conhecem, entendem e aceitam os riscos nele descritos, aos quais os investimentos do FUNDO estão expostos em razão dos mercados de sua atuação.</w:t>
      </w:r>
    </w:p>
    <w:p w14:paraId="582A007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E60856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7.6.1. Caso os Cotistas efetuem um resgate total do FUNDO e voltem a investir no FUNDO em intervalo de tempo durante o qual não ocorra alteração deste Regulamento, é dispensada a formalização de novo Termo de Adesão e Ciência de Risco pelos Cotistas, sendo considerado válido o termo anteriormente formalizado pelos Cotistas em seu último ingresso no FUNDO</w:t>
      </w:r>
    </w:p>
    <w:p w14:paraId="37EADF1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87E50CC"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0EE863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7.7. A aplicação e o resgate de cotas do FUNDO podem ser efetuados em ordem de pagamento, débito e crédito em conta corrente ou por meio de sistemas de transferência eletrônica de recursos autorizados pelo Banco Central do Brasil (“BACEN”).</w:t>
      </w:r>
    </w:p>
    <w:p w14:paraId="499FB93B"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F91F0B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napToGrid w:val="0"/>
          <w:sz w:val="21"/>
          <w:szCs w:val="21"/>
          <w:lang w:eastAsia="pt-BR"/>
        </w:rPr>
        <w:t xml:space="preserve">7.7.1 Quando os Cotistas forem titulares de conta em entidade administradora de mercado organizado, a aplicação e o resgate no FUNDO poderão ser realizados mediante ordem de crédito ou débito por meio de tal conta, desde que tal serviço esteja disponível e disponha da prévia concordância do </w:t>
      </w:r>
      <w:r w:rsidRPr="00726E8A">
        <w:rPr>
          <w:rFonts w:ascii="Tahoma" w:eastAsia="Times New Roman" w:hAnsi="Tahoma" w:cs="Tahoma"/>
          <w:sz w:val="21"/>
          <w:szCs w:val="21"/>
          <w:lang w:eastAsia="pt-BR"/>
        </w:rPr>
        <w:t>ADMINISTRADOR</w:t>
      </w:r>
      <w:r w:rsidRPr="00726E8A">
        <w:rPr>
          <w:rFonts w:ascii="Tahoma" w:eastAsia="Times New Roman" w:hAnsi="Tahoma" w:cs="Tahoma"/>
          <w:snapToGrid w:val="0"/>
          <w:sz w:val="21"/>
          <w:szCs w:val="21"/>
          <w:lang w:eastAsia="pt-BR"/>
        </w:rPr>
        <w:t>.</w:t>
      </w:r>
    </w:p>
    <w:p w14:paraId="6CCB6B1F"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2D986A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7.7.2 A integralização e o resgate das cotas do FUNDO poderão ser realizados em moeda corrente nacional ou em Ativos Financeiros, a critério do ADMINISTRADOR e do GESTOR e observado o disposto no item 7.9 abaixo.</w:t>
      </w:r>
    </w:p>
    <w:p w14:paraId="7E0EF72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F2C682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7.8. O ADMINISTRADOR poderá suspender, a qualquer momento, novas aplicações no FUNDO, podendo tal suspensão aplicar-se apenas aos novos investidores.</w:t>
      </w:r>
    </w:p>
    <w:p w14:paraId="05A3DFF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AD37A4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7.8.1. A suspensão do recebimento de novas aplicações em um dia não impede a reabertura posterior do FUNDO para aplicações.</w:t>
      </w:r>
    </w:p>
    <w:p w14:paraId="1E07633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C770CD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7.9. A integralização e o resgate das cotas poderão ser efetuados diretamente com Ativos Financeiros, desde que sejam observadas as seguintes condições:</w:t>
      </w:r>
    </w:p>
    <w:p w14:paraId="1E33E98C"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893731B" w14:textId="77777777" w:rsidR="00726E8A" w:rsidRPr="00726E8A" w:rsidRDefault="00726E8A" w:rsidP="00726E8A">
      <w:pPr>
        <w:numPr>
          <w:ilvl w:val="0"/>
          <w:numId w:val="4"/>
        </w:num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os Ativos Financeiros sejam previamente analisados e aprovados pelo GESTOR;</w:t>
      </w:r>
    </w:p>
    <w:p w14:paraId="5BB3A514" w14:textId="77777777" w:rsidR="00726E8A" w:rsidRPr="00726E8A" w:rsidRDefault="00726E8A" w:rsidP="00726E8A">
      <w:pPr>
        <w:spacing w:after="0" w:line="240" w:lineRule="auto"/>
        <w:ind w:left="1065"/>
        <w:contextualSpacing/>
        <w:jc w:val="both"/>
        <w:rPr>
          <w:rFonts w:ascii="Tahoma" w:eastAsia="Times New Roman" w:hAnsi="Tahoma" w:cs="Tahoma"/>
          <w:sz w:val="21"/>
          <w:szCs w:val="21"/>
          <w:lang w:eastAsia="pt-BR"/>
        </w:rPr>
      </w:pPr>
    </w:p>
    <w:p w14:paraId="15D0DB0B" w14:textId="77777777" w:rsidR="00726E8A" w:rsidRPr="00726E8A" w:rsidRDefault="00726E8A" w:rsidP="00726E8A">
      <w:pPr>
        <w:numPr>
          <w:ilvl w:val="0"/>
          <w:numId w:val="4"/>
        </w:numPr>
        <w:spacing w:after="0" w:line="240" w:lineRule="auto"/>
        <w:contextualSpacing/>
        <w:jc w:val="both"/>
        <w:rPr>
          <w:rFonts w:ascii="Tahoma" w:eastAsia="Times New Roman" w:hAnsi="Tahoma" w:cs="Tahoma"/>
          <w:sz w:val="21"/>
          <w:szCs w:val="21"/>
          <w:lang w:eastAsia="pt-BR"/>
        </w:rPr>
      </w:pPr>
      <w:r w:rsidRPr="00726E8A">
        <w:rPr>
          <w:rFonts w:ascii="Tahoma" w:eastAsia="Times New Roman" w:hAnsi="Tahoma" w:cs="Tahoma"/>
          <w:lang w:eastAsia="pt-BR"/>
        </w:rPr>
        <w:t xml:space="preserve">integralização das cotas </w:t>
      </w:r>
      <w:r w:rsidRPr="00726E8A">
        <w:rPr>
          <w:rFonts w:ascii="Tahoma" w:eastAsia="Times New Roman" w:hAnsi="Tahoma" w:cs="Tahoma"/>
          <w:sz w:val="21"/>
          <w:szCs w:val="21"/>
          <w:lang w:eastAsia="pt-BR"/>
        </w:rPr>
        <w:t>os Ativos Financeiros a serem utilizados devem: (i) estar livres de qualquer ônus e/ou gravame, podendo ser livremente negociados; (ii) ter como titular e/ou comitente o próprio cotista; (iii) atender aos valores mínimos para aplicação, se houver; (</w:t>
      </w:r>
      <w:proofErr w:type="spellStart"/>
      <w:r w:rsidRPr="00726E8A">
        <w:rPr>
          <w:rFonts w:ascii="Tahoma" w:eastAsia="Times New Roman" w:hAnsi="Tahoma" w:cs="Tahoma"/>
          <w:sz w:val="21"/>
          <w:szCs w:val="21"/>
          <w:lang w:eastAsia="pt-BR"/>
        </w:rPr>
        <w:t>iv</w:t>
      </w:r>
      <w:proofErr w:type="spellEnd"/>
      <w:r w:rsidRPr="00726E8A">
        <w:rPr>
          <w:rFonts w:ascii="Tahoma" w:eastAsia="Times New Roman" w:hAnsi="Tahoma" w:cs="Tahoma"/>
          <w:sz w:val="21"/>
          <w:szCs w:val="21"/>
          <w:lang w:eastAsia="pt-BR"/>
        </w:rPr>
        <w:t>) estar devidamente registrados em sistema de registro, objeto de custódia ou objeto de depósito central, em todos os casos junto a instituições  devidamente autorizadas pelo Banco Central do Brasil ou pela CVM para desempenhar referidas atividades; e (v) estar de acordo com o Objetivo e a Política de Investimento do FUNDO, especificamente em relação aos limites de concentração por emissor e por modalidade de Ativo Financeiro.</w:t>
      </w:r>
    </w:p>
    <w:p w14:paraId="086FE242" w14:textId="77777777" w:rsidR="00726E8A" w:rsidRPr="00726E8A" w:rsidRDefault="00726E8A" w:rsidP="00726E8A">
      <w:pPr>
        <w:numPr>
          <w:ilvl w:val="0"/>
          <w:numId w:val="4"/>
        </w:num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no resgate de cotas, os ativos financeiros a serem utilizados para pagamento aos Cotistas, devem: (i) estar livres de qualquer ônus e/ou gravame, podendo ser livremente negociados; (ii) ter como titular e/ou comitente o próprio FUNDO; (iii) atender aos valores mínimos para resgate, se houver; e (</w:t>
      </w:r>
      <w:proofErr w:type="spellStart"/>
      <w:r w:rsidRPr="00726E8A">
        <w:rPr>
          <w:rFonts w:ascii="Tahoma" w:eastAsia="Times New Roman" w:hAnsi="Tahoma" w:cs="Tahoma"/>
          <w:sz w:val="21"/>
          <w:szCs w:val="21"/>
          <w:lang w:eastAsia="pt-BR"/>
        </w:rPr>
        <w:t>iv</w:t>
      </w:r>
      <w:proofErr w:type="spellEnd"/>
      <w:r w:rsidRPr="00726E8A">
        <w:rPr>
          <w:rFonts w:ascii="Tahoma" w:eastAsia="Times New Roman" w:hAnsi="Tahoma" w:cs="Tahoma"/>
          <w:sz w:val="21"/>
          <w:szCs w:val="21"/>
          <w:lang w:eastAsia="pt-BR"/>
        </w:rPr>
        <w:t>) estar devidamente custodiados e registrados em sistema de registro e liquidação financeira de ativos autorizados pelo BACEN ou em instituições autorizadas à prestação de serviços de custódia pela CVM.</w:t>
      </w:r>
    </w:p>
    <w:p w14:paraId="4747A65D" w14:textId="77777777" w:rsidR="00726E8A" w:rsidRPr="00726E8A" w:rsidRDefault="00726E8A" w:rsidP="00726E8A">
      <w:pPr>
        <w:spacing w:line="240" w:lineRule="auto"/>
        <w:ind w:left="1065"/>
        <w:contextualSpacing/>
        <w:jc w:val="both"/>
        <w:rPr>
          <w:rFonts w:ascii="Tahoma" w:eastAsia="Times New Roman" w:hAnsi="Tahoma" w:cs="Tahoma"/>
          <w:sz w:val="21"/>
          <w:szCs w:val="21"/>
          <w:lang w:eastAsia="pt-BR"/>
        </w:rPr>
      </w:pPr>
    </w:p>
    <w:p w14:paraId="22C613F4"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3F84D2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7.9.1. Na integralização e no resgate será utilizado o valor dos ativos financeiros precificados na CARTEIRA do FUNDO segundo as regras e procedimentos estabelecidos no Manual de Marcação a Mercado adotado para o FUNDO.</w:t>
      </w:r>
    </w:p>
    <w:p w14:paraId="07B3F4DC" w14:textId="77777777" w:rsidR="00726E8A" w:rsidRPr="00726E8A" w:rsidRDefault="00726E8A" w:rsidP="00726E8A">
      <w:pPr>
        <w:spacing w:after="0" w:line="240" w:lineRule="auto"/>
        <w:jc w:val="both"/>
        <w:rPr>
          <w:rFonts w:ascii="Tahoma" w:eastAsia="Times New Roman" w:hAnsi="Tahoma" w:cs="Tahoma"/>
          <w:sz w:val="21"/>
          <w:szCs w:val="21"/>
          <w:highlight w:val="lightGray"/>
          <w:lang w:eastAsia="pt-BR"/>
        </w:rPr>
      </w:pPr>
    </w:p>
    <w:p w14:paraId="1DC557C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7.9.2. Na integralização e no resgate de cotas</w:t>
      </w:r>
      <w:proofErr w:type="gramStart"/>
      <w:r w:rsidRPr="00726E8A">
        <w:rPr>
          <w:rFonts w:ascii="Tahoma" w:eastAsia="Times New Roman" w:hAnsi="Tahoma" w:cs="Tahoma"/>
          <w:sz w:val="21"/>
          <w:szCs w:val="21"/>
          <w:lang w:eastAsia="pt-BR"/>
        </w:rPr>
        <w:t>, ,</w:t>
      </w:r>
      <w:proofErr w:type="gramEnd"/>
      <w:r w:rsidRPr="00726E8A">
        <w:rPr>
          <w:rFonts w:ascii="Tahoma" w:eastAsia="Times New Roman" w:hAnsi="Tahoma" w:cs="Tahoma"/>
          <w:sz w:val="21"/>
          <w:szCs w:val="21"/>
          <w:lang w:eastAsia="pt-BR"/>
        </w:rPr>
        <w:t xml:space="preserve"> com Ativos Financeiros deverão ser observadas as correspondentes obrigações fiscais relacionadas a tais eventos, estando, ADMINISTRADOR e os Cotistas, cientes, cada qual, de suas respectivas responsabilidades.</w:t>
      </w:r>
      <w:r w:rsidRPr="00726E8A">
        <w:rPr>
          <w:rFonts w:ascii="Tahoma" w:eastAsia="Times New Roman" w:hAnsi="Tahoma" w:cs="Tahoma"/>
          <w:sz w:val="21"/>
          <w:szCs w:val="21"/>
          <w:vertAlign w:val="superscript"/>
          <w:lang w:eastAsia="pt-BR"/>
        </w:rPr>
        <w:t xml:space="preserve"> </w:t>
      </w:r>
    </w:p>
    <w:p w14:paraId="36C5BF3E"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B4685B6"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7.10. Na emissão e resgate de cotas do FUNDO deverá ser observado o disposto no quadro abaixo, </w:t>
      </w:r>
    </w:p>
    <w:p w14:paraId="3B848F4E" w14:textId="77777777" w:rsidR="00726E8A" w:rsidRPr="00726E8A" w:rsidRDefault="00726E8A" w:rsidP="00726E8A">
      <w:pPr>
        <w:spacing w:after="0" w:line="240" w:lineRule="auto"/>
        <w:jc w:val="both"/>
        <w:rPr>
          <w:rFonts w:ascii="Tahoma" w:eastAsia="Times New Roman" w:hAnsi="Tahoma" w:cs="Tahoma"/>
          <w:sz w:val="21"/>
          <w:szCs w:val="21"/>
          <w:lang w:eastAsia="pt-BR"/>
        </w:rPr>
      </w:pPr>
    </w:p>
    <w:tbl>
      <w:tblPr>
        <w:tblW w:w="7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28"/>
        <w:gridCol w:w="2485"/>
        <w:gridCol w:w="2792"/>
      </w:tblGrid>
      <w:tr w:rsidR="00726E8A" w:rsidRPr="00726E8A" w14:paraId="3F3A4CEE" w14:textId="77777777" w:rsidTr="00654576">
        <w:trPr>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14:paraId="677A644C" w14:textId="77777777" w:rsidR="00726E8A" w:rsidRPr="00726E8A" w:rsidRDefault="00726E8A" w:rsidP="00726E8A">
            <w:pPr>
              <w:spacing w:after="0" w:line="240" w:lineRule="auto"/>
              <w:jc w:val="center"/>
              <w:rPr>
                <w:rFonts w:ascii="Tahoma" w:eastAsia="Times New Roman" w:hAnsi="Tahoma" w:cs="Tahoma"/>
                <w:sz w:val="21"/>
                <w:szCs w:val="21"/>
                <w:lang w:eastAsia="pt-BR"/>
              </w:rPr>
            </w:pPr>
          </w:p>
          <w:p w14:paraId="5D66A3F4"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Aplicação</w:t>
            </w:r>
          </w:p>
        </w:tc>
        <w:tc>
          <w:tcPr>
            <w:tcW w:w="2484"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45ACBA81" w14:textId="77777777" w:rsidR="00726E8A" w:rsidRPr="00726E8A" w:rsidRDefault="00726E8A" w:rsidP="00726E8A">
            <w:pPr>
              <w:spacing w:after="0" w:line="240" w:lineRule="auto"/>
              <w:jc w:val="center"/>
              <w:rPr>
                <w:rFonts w:ascii="Tahoma" w:eastAsia="Times New Roman" w:hAnsi="Tahoma" w:cs="Tahoma"/>
                <w:b/>
                <w:color w:val="FFFFFF"/>
                <w:sz w:val="21"/>
                <w:szCs w:val="21"/>
                <w:lang w:eastAsia="pt-BR"/>
              </w:rPr>
            </w:pPr>
            <w:r w:rsidRPr="00726E8A">
              <w:rPr>
                <w:rFonts w:ascii="Tahoma" w:eastAsia="Times New Roman" w:hAnsi="Tahoma" w:cs="Tahoma"/>
                <w:b/>
                <w:color w:val="FFFFFF"/>
                <w:sz w:val="21"/>
                <w:szCs w:val="21"/>
                <w:lang w:eastAsia="pt-BR"/>
              </w:rPr>
              <w:t>Disponibilidade dos Recursos</w:t>
            </w:r>
          </w:p>
        </w:tc>
        <w:tc>
          <w:tcPr>
            <w:tcW w:w="2791"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0E7BD22A" w14:textId="77777777" w:rsidR="00726E8A" w:rsidRPr="00726E8A" w:rsidRDefault="00726E8A" w:rsidP="00726E8A">
            <w:pPr>
              <w:spacing w:after="0" w:line="240" w:lineRule="auto"/>
              <w:jc w:val="center"/>
              <w:rPr>
                <w:rFonts w:ascii="Tahoma" w:eastAsia="Times New Roman" w:hAnsi="Tahoma" w:cs="Tahoma"/>
                <w:b/>
                <w:color w:val="FFFFFF"/>
                <w:sz w:val="21"/>
                <w:szCs w:val="21"/>
                <w:lang w:eastAsia="pt-BR"/>
              </w:rPr>
            </w:pPr>
            <w:r w:rsidRPr="00726E8A">
              <w:rPr>
                <w:rFonts w:ascii="Tahoma" w:eastAsia="Times New Roman" w:hAnsi="Tahoma" w:cs="Tahoma"/>
                <w:b/>
                <w:color w:val="FFFFFF"/>
                <w:sz w:val="21"/>
                <w:szCs w:val="21"/>
                <w:lang w:eastAsia="pt-BR"/>
              </w:rPr>
              <w:t>Cota de conversão</w:t>
            </w:r>
          </w:p>
        </w:tc>
      </w:tr>
      <w:tr w:rsidR="00726E8A" w:rsidRPr="00726E8A" w14:paraId="39D2EB41" w14:textId="77777777" w:rsidTr="00654576">
        <w:trPr>
          <w:trHeight w:val="553"/>
          <w:jc w:val="center"/>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3AA61EBA" w14:textId="77777777" w:rsidR="00726E8A" w:rsidRPr="00726E8A" w:rsidRDefault="00726E8A" w:rsidP="00726E8A">
            <w:pPr>
              <w:spacing w:after="0" w:line="240" w:lineRule="auto"/>
              <w:rPr>
                <w:rFonts w:ascii="Tahoma" w:eastAsia="Times New Roman" w:hAnsi="Tahoma" w:cs="Tahoma"/>
                <w:sz w:val="21"/>
                <w:szCs w:val="21"/>
                <w:lang w:eastAsia="pt-BR"/>
              </w:rPr>
            </w:pPr>
          </w:p>
        </w:tc>
        <w:tc>
          <w:tcPr>
            <w:tcW w:w="2484" w:type="dxa"/>
            <w:tcBorders>
              <w:top w:val="single" w:sz="4" w:space="0" w:color="auto"/>
              <w:left w:val="single" w:sz="4" w:space="0" w:color="auto"/>
              <w:bottom w:val="single" w:sz="4" w:space="0" w:color="auto"/>
              <w:right w:val="single" w:sz="4" w:space="0" w:color="auto"/>
            </w:tcBorders>
            <w:vAlign w:val="center"/>
            <w:hideMark/>
          </w:tcPr>
          <w:p w14:paraId="11F59E5D"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D+0</w:t>
            </w:r>
          </w:p>
          <w:p w14:paraId="16C912A1"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No dia da solicitação </w:t>
            </w:r>
          </w:p>
        </w:tc>
        <w:tc>
          <w:tcPr>
            <w:tcW w:w="2791" w:type="dxa"/>
            <w:tcBorders>
              <w:top w:val="single" w:sz="4" w:space="0" w:color="auto"/>
              <w:left w:val="single" w:sz="4" w:space="0" w:color="auto"/>
              <w:bottom w:val="single" w:sz="4" w:space="0" w:color="auto"/>
              <w:right w:val="single" w:sz="4" w:space="0" w:color="auto"/>
            </w:tcBorders>
            <w:vAlign w:val="center"/>
            <w:hideMark/>
          </w:tcPr>
          <w:p w14:paraId="3ADC70D9"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D+0</w:t>
            </w:r>
          </w:p>
          <w:p w14:paraId="35E1FDD0"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No dia da solicitação</w:t>
            </w:r>
          </w:p>
        </w:tc>
      </w:tr>
      <w:tr w:rsidR="00726E8A" w:rsidRPr="00726E8A" w14:paraId="0B37BE2F" w14:textId="77777777" w:rsidTr="00654576">
        <w:trPr>
          <w:trHeight w:val="419"/>
          <w:jc w:val="center"/>
        </w:trPr>
        <w:tc>
          <w:tcPr>
            <w:tcW w:w="1728" w:type="dxa"/>
            <w:vMerge w:val="restart"/>
            <w:tcBorders>
              <w:top w:val="single" w:sz="4" w:space="0" w:color="auto"/>
              <w:left w:val="single" w:sz="4" w:space="0" w:color="auto"/>
              <w:bottom w:val="single" w:sz="4" w:space="0" w:color="auto"/>
              <w:right w:val="single" w:sz="4" w:space="0" w:color="auto"/>
            </w:tcBorders>
            <w:vAlign w:val="center"/>
          </w:tcPr>
          <w:p w14:paraId="6B97FC85" w14:textId="77777777" w:rsidR="00726E8A" w:rsidRPr="00726E8A" w:rsidRDefault="00726E8A" w:rsidP="00726E8A">
            <w:pPr>
              <w:spacing w:after="0" w:line="240" w:lineRule="auto"/>
              <w:jc w:val="center"/>
              <w:rPr>
                <w:rFonts w:ascii="Tahoma" w:eastAsia="Times New Roman" w:hAnsi="Tahoma" w:cs="Tahoma"/>
                <w:sz w:val="21"/>
                <w:szCs w:val="21"/>
                <w:lang w:eastAsia="pt-BR"/>
              </w:rPr>
            </w:pPr>
          </w:p>
          <w:p w14:paraId="40BF6756" w14:textId="77777777" w:rsidR="00726E8A" w:rsidRPr="00726E8A" w:rsidRDefault="00726E8A" w:rsidP="00726E8A">
            <w:pPr>
              <w:spacing w:after="0" w:line="240" w:lineRule="auto"/>
              <w:jc w:val="center"/>
              <w:rPr>
                <w:rFonts w:ascii="Tahoma" w:eastAsia="Times New Roman" w:hAnsi="Tahoma" w:cs="Tahoma"/>
                <w:sz w:val="21"/>
                <w:szCs w:val="21"/>
                <w:lang w:val="en-GB" w:eastAsia="pt-BR"/>
              </w:rPr>
            </w:pPr>
            <w:r w:rsidRPr="00726E8A">
              <w:rPr>
                <w:rFonts w:ascii="Tahoma" w:eastAsia="Times New Roman" w:hAnsi="Tahoma" w:cs="Tahoma"/>
                <w:sz w:val="21"/>
                <w:szCs w:val="21"/>
                <w:lang w:val="en-GB" w:eastAsia="pt-BR"/>
              </w:rPr>
              <w:t>Resgate</w:t>
            </w:r>
          </w:p>
        </w:tc>
        <w:tc>
          <w:tcPr>
            <w:tcW w:w="2484"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09EC332D" w14:textId="77777777" w:rsidR="00726E8A" w:rsidRPr="00726E8A" w:rsidRDefault="00726E8A" w:rsidP="00726E8A">
            <w:pPr>
              <w:spacing w:after="0" w:line="240" w:lineRule="auto"/>
              <w:jc w:val="center"/>
              <w:rPr>
                <w:rFonts w:ascii="Tahoma" w:eastAsia="Times New Roman" w:hAnsi="Tahoma" w:cs="Tahoma"/>
                <w:b/>
                <w:color w:val="FFFFFF"/>
                <w:sz w:val="21"/>
                <w:szCs w:val="21"/>
                <w:lang w:val="en-GB" w:eastAsia="pt-BR"/>
              </w:rPr>
            </w:pPr>
            <w:r w:rsidRPr="00726E8A">
              <w:rPr>
                <w:rFonts w:ascii="Tahoma" w:eastAsia="Times New Roman" w:hAnsi="Tahoma" w:cs="Tahoma"/>
                <w:b/>
                <w:color w:val="FFFFFF"/>
                <w:sz w:val="21"/>
                <w:szCs w:val="21"/>
                <w:lang w:val="en-GB" w:eastAsia="pt-BR"/>
              </w:rPr>
              <w:t>Cota de Conversão</w:t>
            </w:r>
          </w:p>
        </w:tc>
        <w:tc>
          <w:tcPr>
            <w:tcW w:w="2791" w:type="dxa"/>
            <w:tcBorders>
              <w:top w:val="single" w:sz="4" w:space="0" w:color="auto"/>
              <w:left w:val="single" w:sz="4" w:space="0" w:color="auto"/>
              <w:bottom w:val="single" w:sz="4" w:space="0" w:color="auto"/>
              <w:right w:val="single" w:sz="4" w:space="0" w:color="auto"/>
            </w:tcBorders>
            <w:shd w:val="clear" w:color="auto" w:fill="606060"/>
            <w:vAlign w:val="center"/>
            <w:hideMark/>
          </w:tcPr>
          <w:p w14:paraId="4573EC29" w14:textId="77777777" w:rsidR="00726E8A" w:rsidRPr="00726E8A" w:rsidRDefault="00726E8A" w:rsidP="00726E8A">
            <w:pPr>
              <w:spacing w:after="0" w:line="240" w:lineRule="auto"/>
              <w:jc w:val="center"/>
              <w:rPr>
                <w:rFonts w:ascii="Tahoma" w:eastAsia="Times New Roman" w:hAnsi="Tahoma" w:cs="Tahoma"/>
                <w:b/>
                <w:color w:val="FFFFFF"/>
                <w:sz w:val="21"/>
                <w:szCs w:val="21"/>
                <w:lang w:val="en-GB" w:eastAsia="pt-BR"/>
              </w:rPr>
            </w:pPr>
            <w:r w:rsidRPr="00726E8A">
              <w:rPr>
                <w:rFonts w:ascii="Tahoma" w:eastAsia="Times New Roman" w:hAnsi="Tahoma" w:cs="Tahoma"/>
                <w:b/>
                <w:color w:val="FFFFFF"/>
                <w:sz w:val="21"/>
                <w:szCs w:val="21"/>
                <w:lang w:val="en-GB" w:eastAsia="pt-BR"/>
              </w:rPr>
              <w:t>Pagamento / Crédito em Conta</w:t>
            </w:r>
          </w:p>
        </w:tc>
      </w:tr>
      <w:tr w:rsidR="00726E8A" w:rsidRPr="00726E8A" w14:paraId="00AFDBEB" w14:textId="77777777" w:rsidTr="00654576">
        <w:trPr>
          <w:jc w:val="center"/>
        </w:trPr>
        <w:tc>
          <w:tcPr>
            <w:tcW w:w="1728" w:type="dxa"/>
            <w:vMerge/>
            <w:tcBorders>
              <w:top w:val="single" w:sz="4" w:space="0" w:color="auto"/>
              <w:left w:val="single" w:sz="4" w:space="0" w:color="auto"/>
              <w:bottom w:val="single" w:sz="4" w:space="0" w:color="auto"/>
              <w:right w:val="single" w:sz="4" w:space="0" w:color="auto"/>
            </w:tcBorders>
            <w:vAlign w:val="center"/>
            <w:hideMark/>
          </w:tcPr>
          <w:p w14:paraId="7487CA04" w14:textId="77777777" w:rsidR="00726E8A" w:rsidRPr="00726E8A" w:rsidRDefault="00726E8A" w:rsidP="00726E8A">
            <w:pPr>
              <w:spacing w:after="0" w:line="240" w:lineRule="auto"/>
              <w:rPr>
                <w:rFonts w:ascii="Tahoma" w:eastAsia="Times New Roman" w:hAnsi="Tahoma" w:cs="Tahoma"/>
                <w:sz w:val="21"/>
                <w:szCs w:val="21"/>
                <w:lang w:val="en-GB" w:eastAsia="pt-BR"/>
              </w:rPr>
            </w:pPr>
          </w:p>
        </w:tc>
        <w:tc>
          <w:tcPr>
            <w:tcW w:w="2484" w:type="dxa"/>
            <w:tcBorders>
              <w:top w:val="single" w:sz="4" w:space="0" w:color="auto"/>
              <w:left w:val="single" w:sz="4" w:space="0" w:color="auto"/>
              <w:bottom w:val="single" w:sz="4" w:space="0" w:color="auto"/>
              <w:right w:val="single" w:sz="4" w:space="0" w:color="auto"/>
            </w:tcBorders>
            <w:vAlign w:val="center"/>
            <w:hideMark/>
          </w:tcPr>
          <w:p w14:paraId="185DFD75"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D+0</w:t>
            </w:r>
          </w:p>
          <w:p w14:paraId="68D12AAC"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No dia da solicitação</w:t>
            </w:r>
          </w:p>
        </w:tc>
        <w:tc>
          <w:tcPr>
            <w:tcW w:w="2791" w:type="dxa"/>
            <w:tcBorders>
              <w:top w:val="single" w:sz="4" w:space="0" w:color="auto"/>
              <w:left w:val="single" w:sz="4" w:space="0" w:color="auto"/>
              <w:bottom w:val="single" w:sz="4" w:space="0" w:color="auto"/>
              <w:right w:val="single" w:sz="4" w:space="0" w:color="auto"/>
            </w:tcBorders>
            <w:vAlign w:val="center"/>
            <w:hideMark/>
          </w:tcPr>
          <w:p w14:paraId="3B5EF907"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D+1</w:t>
            </w:r>
          </w:p>
          <w:p w14:paraId="458454A3" w14:textId="77777777"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No 1º dia útil seguinte </w:t>
            </w:r>
            <w:proofErr w:type="gramStart"/>
            <w:r w:rsidRPr="00726E8A">
              <w:rPr>
                <w:rFonts w:ascii="Tahoma" w:eastAsia="Times New Roman" w:hAnsi="Tahoma" w:cs="Tahoma"/>
                <w:sz w:val="21"/>
                <w:szCs w:val="21"/>
                <w:lang w:eastAsia="pt-BR"/>
              </w:rPr>
              <w:t>ao conversão</w:t>
            </w:r>
            <w:proofErr w:type="gramEnd"/>
            <w:r w:rsidRPr="00726E8A">
              <w:rPr>
                <w:rFonts w:ascii="Tahoma" w:eastAsia="Times New Roman" w:hAnsi="Tahoma" w:cs="Tahoma"/>
                <w:sz w:val="21"/>
                <w:szCs w:val="21"/>
                <w:lang w:eastAsia="pt-BR"/>
              </w:rPr>
              <w:t xml:space="preserve"> de cotas </w:t>
            </w:r>
          </w:p>
        </w:tc>
      </w:tr>
    </w:tbl>
    <w:p w14:paraId="75946CA8"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A19624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7.11.</w:t>
      </w:r>
      <w:r w:rsidRPr="00726E8A">
        <w:rPr>
          <w:rFonts w:ascii="Times New Roman" w:eastAsia="Times New Roman" w:hAnsi="Times New Roman"/>
          <w:sz w:val="20"/>
          <w:szCs w:val="20"/>
          <w:lang w:eastAsia="pt-BR"/>
        </w:rPr>
        <w:t xml:space="preserve"> </w:t>
      </w:r>
      <w:r w:rsidRPr="00726E8A">
        <w:rPr>
          <w:rFonts w:ascii="Tahoma" w:eastAsia="Times New Roman" w:hAnsi="Tahoma" w:cs="Tahoma"/>
          <w:sz w:val="21"/>
          <w:szCs w:val="21"/>
          <w:lang w:eastAsia="pt-BR"/>
        </w:rPr>
        <w:t xml:space="preserve">Para fins de emissão de cotas na aplicação e/ou apuração do valor da cota para efeito do pagamento do resgate nos termos do disposto no quadro acima, a solicitação de aplicação e/ou o pedido de resgate deverão ser efetuados pelo Cotista dentro do horário estabelecido na página do ADMINISTRADOR na rede mundial de computadores, sob pena de serem considerados como efetuados na próxima data disponível para solicitação de aplicação e/ou resgate. </w:t>
      </w:r>
    </w:p>
    <w:p w14:paraId="1ADBAC0A"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863AD3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7.11.1. A conversão das cotas do FUNDO na aplicação e no resgate poderá ocorrer em data diversa na hipótese de não funcionamento de algum dos mercados em que o FUNDO invista, de forma que referida conversão ocorrerá no primeiro dia útil subsequente à reabertura do referido mercado.</w:t>
      </w:r>
    </w:p>
    <w:p w14:paraId="22F9BA14"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61645EA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lastRenderedPageBreak/>
        <w:t>7.12. Não há prazo de carência para resgate de cotas do FUNDO, podendo as cotas do FUNDO ser resgatadas com rendimento a qualquer momento.</w:t>
      </w:r>
    </w:p>
    <w:p w14:paraId="629091F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F3BEA3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7.13. O FUNDO estará fechado para fins de solicitação de aplicação e resgate, conversão de cotas e pagamento de resgates no sábado, no domingo, nos feriados nacionais e quando não houver expediente bancário. Excluídas as condições previamente elencadas, o FUNDO terá funcionamento normal nos dias de feriado municipal e estadual na praça em que o Administrador estiver sediado.</w:t>
      </w:r>
    </w:p>
    <w:p w14:paraId="18956979"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6FBF57D"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7.13.1 O FUNDO poderá, de acordo com o funcionamento de entidades administradoras de mercado organizado, adotar condições diferenciadas para solicitação de aplicação e resgate, conversão de cotas e pagamento de resgates, devendo o Administrador disponibilizar previamente as condições a serem aplicáveis no site do distribuidor e/ou do Gestor do FUNDO.</w:t>
      </w:r>
    </w:p>
    <w:p w14:paraId="7B058E87"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p>
    <w:p w14:paraId="1F39D43F"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OITAVA – DA DISTRIBUIÇÃO DE RESULTADOS</w:t>
      </w:r>
    </w:p>
    <w:p w14:paraId="08902A77" w14:textId="77777777" w:rsidR="00726E8A" w:rsidRPr="00726E8A" w:rsidRDefault="00726E8A" w:rsidP="00726E8A">
      <w:pPr>
        <w:spacing w:after="0" w:line="240" w:lineRule="auto"/>
        <w:jc w:val="both"/>
        <w:rPr>
          <w:rFonts w:ascii="Tahoma" w:eastAsia="Times New Roman" w:hAnsi="Tahoma" w:cs="Tahoma"/>
          <w:b/>
          <w:sz w:val="21"/>
          <w:szCs w:val="21"/>
          <w:lang w:eastAsia="pt-BR"/>
        </w:rPr>
      </w:pPr>
    </w:p>
    <w:p w14:paraId="1DB9C5D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8.1. Os resultados oriundos dos Ativos Financeiros integrantes da Carteira do FUNDO serão incorporados ao seu patrimônio.</w:t>
      </w:r>
    </w:p>
    <w:p w14:paraId="7AE77BD4"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D867319"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p>
    <w:p w14:paraId="49FA3BF5"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NONA– DO EXERCÍCIO SOCIAL</w:t>
      </w:r>
    </w:p>
    <w:p w14:paraId="1FDAF07C"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D488DA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sz w:val="21"/>
          <w:szCs w:val="21"/>
          <w:lang w:eastAsia="pt-BR"/>
        </w:rPr>
        <w:t xml:space="preserve">9.1. O exercício social do FUNDO terá início em 1º de março de cada ano e término </w:t>
      </w:r>
      <w:r w:rsidRPr="00726E8A">
        <w:rPr>
          <w:rFonts w:ascii="Tahoma" w:eastAsia="Times New Roman" w:hAnsi="Tahoma"/>
          <w:color w:val="000000"/>
          <w:sz w:val="21"/>
          <w:szCs w:val="21"/>
          <w:lang w:eastAsia="pt-BR"/>
        </w:rPr>
        <w:t xml:space="preserve">no último dia do mês de </w:t>
      </w:r>
      <w:r w:rsidRPr="00726E8A">
        <w:rPr>
          <w:rFonts w:ascii="Tahoma" w:eastAsia="Times New Roman" w:hAnsi="Tahoma"/>
          <w:sz w:val="21"/>
          <w:szCs w:val="21"/>
          <w:lang w:eastAsia="pt-BR"/>
        </w:rPr>
        <w:t>fevereiro do ano subsequente.</w:t>
      </w:r>
      <w:r w:rsidRPr="00726E8A">
        <w:rPr>
          <w:rFonts w:ascii="Tahoma" w:eastAsia="Times New Roman" w:hAnsi="Tahoma" w:cs="Tahoma"/>
          <w:sz w:val="21"/>
          <w:szCs w:val="21"/>
          <w:lang w:eastAsia="pt-BR"/>
        </w:rPr>
        <w:t xml:space="preserve"> </w:t>
      </w:r>
    </w:p>
    <w:p w14:paraId="536F19E1"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p>
    <w:p w14:paraId="6840C140"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DEZ – DA ASSEMBLEIA GERAL</w:t>
      </w:r>
    </w:p>
    <w:p w14:paraId="17429F6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1E9DC26"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10.1.</w:t>
      </w:r>
      <w:r w:rsidRPr="00726E8A">
        <w:rPr>
          <w:rFonts w:ascii="Tahoma" w:eastAsia="Times New Roman" w:hAnsi="Tahoma" w:cs="Tahoma"/>
          <w:sz w:val="21"/>
          <w:szCs w:val="21"/>
          <w:lang w:eastAsia="pt-BR"/>
        </w:rPr>
        <w:tab/>
        <w:t>Os Cotistas se reunirão anualmente, em até 120 dias após o encerramento do exercício social, para deliberar sobre as demonstrações contábeis do FUNDO, e, extraordinariamente, sempre que necessário.</w:t>
      </w:r>
    </w:p>
    <w:p w14:paraId="33AFA4A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44D58E3"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10.2.</w:t>
      </w:r>
      <w:r w:rsidRPr="00726E8A">
        <w:rPr>
          <w:rFonts w:ascii="Tahoma" w:eastAsia="Times New Roman" w:hAnsi="Tahoma" w:cs="Tahoma"/>
          <w:sz w:val="21"/>
          <w:szCs w:val="21"/>
          <w:lang w:eastAsia="pt-BR"/>
        </w:rPr>
        <w:tab/>
        <w:t xml:space="preserve">A convocação da Assembleia Geral far-se-á com, no mínimo, 10 dias de antecedência da data da realização da Assembleia Geral, por meio de correspondência, escrita ou eletrônica, encaminhada a cada um dos Cotistas. </w:t>
      </w:r>
    </w:p>
    <w:p w14:paraId="5657E6B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53AC3D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10.3.</w:t>
      </w:r>
      <w:r w:rsidRPr="00726E8A">
        <w:rPr>
          <w:rFonts w:ascii="Tahoma" w:eastAsia="Times New Roman" w:hAnsi="Tahoma" w:cs="Tahoma"/>
          <w:sz w:val="21"/>
          <w:szCs w:val="21"/>
          <w:lang w:eastAsia="pt-BR"/>
        </w:rPr>
        <w:tab/>
        <w:t>Das convocações constarão, obrigatoriamente, dia, hora e local em que será realizada a assembleia e, ainda, todas as matérias a serem deliberadas.</w:t>
      </w:r>
    </w:p>
    <w:p w14:paraId="3A77BBEA" w14:textId="77777777" w:rsidR="00726E8A" w:rsidRPr="00726E8A" w:rsidRDefault="00726E8A" w:rsidP="00726E8A">
      <w:pPr>
        <w:widowControl w:val="0"/>
        <w:spacing w:after="0" w:line="240" w:lineRule="auto"/>
        <w:jc w:val="both"/>
        <w:rPr>
          <w:rFonts w:ascii="Tahoma" w:eastAsia="Times New Roman" w:hAnsi="Tahoma" w:cs="Tahoma"/>
          <w:sz w:val="21"/>
          <w:szCs w:val="21"/>
          <w:lang w:eastAsia="pt-BR"/>
        </w:rPr>
      </w:pPr>
    </w:p>
    <w:p w14:paraId="1E70CB50"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10.4.</w:t>
      </w:r>
      <w:r w:rsidRPr="00726E8A">
        <w:rPr>
          <w:rFonts w:ascii="Tahoma" w:eastAsia="Times New Roman" w:hAnsi="Tahoma" w:cs="Tahoma"/>
          <w:sz w:val="21"/>
          <w:szCs w:val="21"/>
          <w:lang w:eastAsia="pt-BR"/>
        </w:rPr>
        <w:tab/>
        <w:t xml:space="preserve">A Assembleia Geral poderá ser convocada pelo ADMINISTRADOR, pelo GESTOR, pelo CUSTODIANTE ou </w:t>
      </w:r>
      <w:proofErr w:type="gramStart"/>
      <w:r w:rsidRPr="00726E8A">
        <w:rPr>
          <w:rFonts w:ascii="Tahoma" w:eastAsia="Times New Roman" w:hAnsi="Tahoma" w:cs="Tahoma"/>
          <w:sz w:val="21"/>
          <w:szCs w:val="21"/>
          <w:lang w:eastAsia="pt-BR"/>
        </w:rPr>
        <w:t>por Cotistas</w:t>
      </w:r>
      <w:proofErr w:type="gramEnd"/>
      <w:r w:rsidRPr="00726E8A">
        <w:rPr>
          <w:rFonts w:ascii="Tahoma" w:eastAsia="Times New Roman" w:hAnsi="Tahoma" w:cs="Tahoma"/>
          <w:sz w:val="21"/>
          <w:szCs w:val="21"/>
          <w:lang w:eastAsia="pt-BR"/>
        </w:rPr>
        <w:t xml:space="preserve"> que detenham, no mínimo, 5% do total das cotas emitidas pelo FUNDO e poderá ser instalada com qualquer número de Cotistas, cabendo a cada cota um voto. </w:t>
      </w:r>
    </w:p>
    <w:p w14:paraId="68348497"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1CF8E7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10.5.</w:t>
      </w:r>
      <w:r w:rsidRPr="00726E8A">
        <w:rPr>
          <w:rFonts w:ascii="Tahoma" w:eastAsia="Times New Roman" w:hAnsi="Tahoma" w:cs="Tahoma"/>
          <w:sz w:val="21"/>
          <w:szCs w:val="21"/>
          <w:lang w:eastAsia="pt-BR"/>
        </w:rPr>
        <w:tab/>
        <w:t>As deliberações serão tomadas por maioria simples, salvo para deliberações relacionadas à prestação de fiança, aval, aceite ou qualquer outra forma de coobrigação em nome do FUNDO, relativamente a operações direta ou indiretamente relacionadas à carteira do FUNDO, sendo necessária a concordância de cotistas representando, no mínimo, dois terços das cotas emitidas pelo FUNDO.</w:t>
      </w:r>
    </w:p>
    <w:p w14:paraId="52993D8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5BD94245"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10.6.</w:t>
      </w:r>
      <w:r w:rsidRPr="00726E8A">
        <w:rPr>
          <w:rFonts w:ascii="Tahoma" w:eastAsia="Times New Roman" w:hAnsi="Tahoma" w:cs="Tahoma"/>
          <w:sz w:val="21"/>
          <w:szCs w:val="21"/>
          <w:lang w:eastAsia="pt-BR"/>
        </w:rPr>
        <w:tab/>
        <w:t>Estarão aptos para votar na Assembleia Geral os Cotistas do Fundo inscritos no registro de cotistas na data da convocação da Assembleia Geral, seus representantes legais ou procuradores legalmente constituídos há menos de 1 ano.</w:t>
      </w:r>
    </w:p>
    <w:p w14:paraId="38D04B0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9DC007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10.7.</w:t>
      </w:r>
      <w:r w:rsidRPr="00726E8A">
        <w:rPr>
          <w:rFonts w:ascii="Tahoma" w:eastAsia="Times New Roman" w:hAnsi="Tahoma" w:cs="Tahoma"/>
          <w:sz w:val="21"/>
          <w:szCs w:val="21"/>
          <w:lang w:eastAsia="pt-BR"/>
        </w:rPr>
        <w:tab/>
        <w:t>A critério do Administrador, os Cotistas também poderão votar por meio de comunicação escrita ou eletrônica, desde que recebida pelo Administrador antes do início da Assembleia Geral, observados os termos previstos na respectiva convocação da Assembleia Geral.</w:t>
      </w:r>
    </w:p>
    <w:p w14:paraId="780AF81F"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r w:rsidRPr="00726E8A">
        <w:rPr>
          <w:rFonts w:ascii="Tahoma" w:eastAsia="Times New Roman" w:hAnsi="Tahoma" w:cs="Tahoma"/>
          <w:sz w:val="21"/>
          <w:szCs w:val="21"/>
          <w:lang w:eastAsia="pt-BR"/>
        </w:rPr>
        <w:t>10.8.</w:t>
      </w:r>
      <w:r w:rsidRPr="00726E8A">
        <w:rPr>
          <w:rFonts w:ascii="Tahoma" w:eastAsia="Times New Roman" w:hAnsi="Tahoma" w:cs="Tahoma"/>
          <w:sz w:val="21"/>
          <w:szCs w:val="21"/>
          <w:lang w:eastAsia="pt-BR"/>
        </w:rPr>
        <w:tab/>
        <w:t xml:space="preserve"> </w:t>
      </w:r>
      <w:r w:rsidRPr="00726E8A">
        <w:rPr>
          <w:rFonts w:ascii="Tahoma" w:eastAsia="Times New Roman" w:hAnsi="Tahoma" w:cs="Tahoma"/>
          <w:iCs/>
          <w:sz w:val="21"/>
          <w:szCs w:val="21"/>
          <w:lang w:eastAsia="pt-BR"/>
        </w:rPr>
        <w:t xml:space="preserve">As deliberações da Assembleia Geral poderão ser tomadas mediante processo escrito de consulta formal pelo ADMINISTRADOR, por meio físico ou eletrônico, sem a necessidade de uma reunião. </w:t>
      </w:r>
    </w:p>
    <w:p w14:paraId="57DDB91E"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p>
    <w:p w14:paraId="7013977A"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r w:rsidRPr="00726E8A">
        <w:rPr>
          <w:rFonts w:ascii="Tahoma" w:eastAsia="Times New Roman" w:hAnsi="Tahoma" w:cs="Tahoma"/>
          <w:iCs/>
          <w:sz w:val="21"/>
          <w:szCs w:val="21"/>
          <w:lang w:eastAsia="pt-BR"/>
        </w:rPr>
        <w:t>10.8.1. Da consulta formal deverão constar todas as informações necessárias para o exercício de voto dos Cotistas.</w:t>
      </w:r>
    </w:p>
    <w:p w14:paraId="3AA70C85"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p>
    <w:p w14:paraId="3598250E"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r w:rsidRPr="00726E8A">
        <w:rPr>
          <w:rFonts w:ascii="Tahoma" w:eastAsia="Times New Roman" w:hAnsi="Tahoma" w:cs="Tahoma"/>
          <w:iCs/>
          <w:sz w:val="21"/>
          <w:szCs w:val="21"/>
          <w:lang w:eastAsia="pt-BR"/>
        </w:rPr>
        <w:t xml:space="preserve">10.8.2. Na hipótese prevista no item 10.8 será concedido aos Cotistas o prazo mínimo de 10 dias corridos para manifestação, a contar da data da emissão da consulta. </w:t>
      </w:r>
    </w:p>
    <w:p w14:paraId="28D262A7" w14:textId="77777777" w:rsidR="00726E8A" w:rsidRPr="00726E8A" w:rsidRDefault="00726E8A" w:rsidP="00726E8A">
      <w:pPr>
        <w:spacing w:after="0" w:line="240" w:lineRule="auto"/>
        <w:jc w:val="both"/>
        <w:rPr>
          <w:rFonts w:ascii="Tahoma" w:eastAsia="Times New Roman" w:hAnsi="Tahoma" w:cs="Tahoma"/>
          <w:iCs/>
          <w:sz w:val="21"/>
          <w:szCs w:val="21"/>
          <w:lang w:eastAsia="pt-BR"/>
        </w:rPr>
      </w:pPr>
    </w:p>
    <w:p w14:paraId="2A1F6EF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iCs/>
          <w:sz w:val="21"/>
          <w:szCs w:val="21"/>
          <w:lang w:eastAsia="pt-BR"/>
        </w:rPr>
        <w:t xml:space="preserve">10.8.3. A assembleia geral </w:t>
      </w:r>
      <w:proofErr w:type="gramStart"/>
      <w:r w:rsidRPr="00726E8A">
        <w:rPr>
          <w:rFonts w:ascii="Tahoma" w:eastAsia="Times New Roman" w:hAnsi="Tahoma" w:cs="Tahoma"/>
          <w:iCs/>
          <w:sz w:val="21"/>
          <w:szCs w:val="21"/>
          <w:lang w:eastAsia="pt-BR"/>
        </w:rPr>
        <w:t>de Cotistas</w:t>
      </w:r>
      <w:proofErr w:type="gramEnd"/>
      <w:r w:rsidRPr="00726E8A">
        <w:rPr>
          <w:rFonts w:ascii="Tahoma" w:eastAsia="Times New Roman" w:hAnsi="Tahoma" w:cs="Tahoma"/>
          <w:iCs/>
          <w:sz w:val="21"/>
          <w:szCs w:val="21"/>
          <w:lang w:eastAsia="pt-BR"/>
        </w:rPr>
        <w:t xml:space="preserve"> realizada mediante consulta formal poderá ser instalada com qualquer número de Cotistas, de modo que as deliberações serão tomadas por maioria de votos enviados ao ADMINISTRADOR, cabendo a cada cota 1 voto.</w:t>
      </w:r>
    </w:p>
    <w:p w14:paraId="12F0F2D1"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p>
    <w:p w14:paraId="40A003C8"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ONZE – DA TRIBUTAÇÃO</w:t>
      </w:r>
    </w:p>
    <w:p w14:paraId="55BDF0EA"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2D0120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11.1. O GESTOR assumirá o compromisso de manter CARTEIRA de ativos do FUNDO com prazo médio superior a 365 dias. Os rendimentos das aplicações dos Cotistas em fundos de investimento de longo prazo estarão sujeitos às tributações: (i) no resgate ou na amortização, a contar da aplicação, o rendimento produzido sofrerá a incidência do IR às alíquotas de: (a) 22,5% quando efetuado até 180 dias; (b) 20% quando efetuado após 180 dias até 360 dias; (c) 17,5% quando efetuado após 360 dias até 720 dias; e (d) 15% quando efetuado após 720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15% (come-cotas) sobre os rendimentos produzidos no período.</w:t>
      </w:r>
    </w:p>
    <w:p w14:paraId="334F97C4"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F7E0728"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11.2. Na hipótese de o prazo médio da CARTEIRA do FUNDO permanecer igual ou inferior a 365 dias por mais de 3 vezes ou por mais de 45 dias no ano, os Cotistas passarão a ser tributados conforme tributações aplicáveis aos fundos de investimento de curto prazo, quais sejam: (i) no resgate ou na amortização, a contar da aplicação, o rendimento produzido sofrerá a incidência do IR às alíquotas de: (a) 22,5% quando efetuado até 180 dias; e (b) 20% quando efetuado após 180 dias. Nessa ocasião, os valores adiantados quando da ocorrência dos come-cotas semestrais serão descontados para fins de determinação do montante a ser efetivamente recolhido aos cofres públicos; e (ii) semestral, com a incidência adicional e periódica de IR, nos meses de maio e novembro, à alíquota de 20% (come-cotas) sobre os rendimentos produzidos no período.</w:t>
      </w:r>
    </w:p>
    <w:p w14:paraId="70E551E9"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884435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11.3. IOF/TVM: resgates ocorridos nos primeiros 30 dias a contar da data da aplicação, há incidência de IOF/TVM, conforme legislação vigente. </w:t>
      </w:r>
    </w:p>
    <w:p w14:paraId="75175503"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B254516" w14:textId="77777777" w:rsidR="00726E8A" w:rsidRPr="00726E8A" w:rsidRDefault="00726E8A" w:rsidP="00726E8A">
      <w:pPr>
        <w:pBdr>
          <w:bottom w:val="single" w:sz="6" w:space="1" w:color="auto"/>
        </w:pBdr>
        <w:spacing w:after="0" w:line="240" w:lineRule="auto"/>
        <w:rPr>
          <w:rFonts w:ascii="Tahoma" w:eastAsia="Times New Roman" w:hAnsi="Tahoma" w:cs="Tahoma"/>
          <w:b/>
          <w:sz w:val="21"/>
          <w:szCs w:val="21"/>
          <w:lang w:eastAsia="pt-BR"/>
        </w:rPr>
      </w:pPr>
      <w:r w:rsidRPr="00726E8A">
        <w:rPr>
          <w:rFonts w:ascii="Tahoma" w:eastAsia="Times New Roman" w:hAnsi="Tahoma" w:cs="Tahoma"/>
          <w:sz w:val="21"/>
          <w:szCs w:val="21"/>
          <w:lang w:eastAsia="pt-BR"/>
        </w:rPr>
        <w:t>11.4. O tratamento tributário pode variar conforme a natureza jurídica do cotista ou da operação contratada pelo FUNDO, pela instituição de novos tributos ou alteração das alíquotas vigentes. Ainda, na hipótese do FUNDO realizar investimentos no exterior, o FUNDO e, consequentemente, seus Cotistas, poderão se sujeitar a um tratamento tributário diverso do acima exposto. A CARTEIRA do FUNDO está isenta de IR e sujeita à alíquota zero de IOF.</w:t>
      </w:r>
    </w:p>
    <w:p w14:paraId="7FD80D2B"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DOZE – EXERCÍCIO DO DIREITO DE VOTO</w:t>
      </w:r>
    </w:p>
    <w:p w14:paraId="1E7E22F5"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680FE00D"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12.1.</w:t>
      </w:r>
      <w:r w:rsidRPr="00726E8A">
        <w:rPr>
          <w:rFonts w:ascii="Tahoma" w:eastAsia="Times New Roman" w:hAnsi="Tahoma" w:cs="Tahoma"/>
          <w:sz w:val="21"/>
          <w:szCs w:val="21"/>
          <w:lang w:eastAsia="pt-BR"/>
        </w:rPr>
        <w:tab/>
        <w:t xml:space="preserve">O GESTOR adota política de exercício de direito de voto (“Política de Voto”) em assembleias de companhias e/ou fundos de investimento nas quais o FUNDO detenha participação, conforme condições descritas na Política de Voto disponível no site www.santander.com.br. </w:t>
      </w:r>
    </w:p>
    <w:p w14:paraId="441344C3"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3241D837"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12.2.</w:t>
      </w:r>
      <w:r w:rsidRPr="00726E8A">
        <w:rPr>
          <w:rFonts w:ascii="Tahoma" w:eastAsia="Times New Roman" w:hAnsi="Tahoma" w:cs="Tahoma"/>
          <w:sz w:val="21"/>
          <w:szCs w:val="21"/>
          <w:lang w:eastAsia="pt-BR"/>
        </w:rPr>
        <w:tab/>
        <w:t>O objetivo da Política de Voto é estabelecer os requisitos e os princípios que nortearão o Gestor no exercício do direito de voto, na qualidade de representante dos fundos de investimento sob sua gestão.</w:t>
      </w:r>
    </w:p>
    <w:p w14:paraId="2310749F"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956CBE8" w14:textId="77777777" w:rsidR="00726E8A" w:rsidRPr="00726E8A" w:rsidRDefault="00726E8A" w:rsidP="00726E8A">
      <w:pPr>
        <w:spacing w:after="0" w:line="240" w:lineRule="auto"/>
        <w:jc w:val="both"/>
        <w:rPr>
          <w:rFonts w:ascii="Tahoma" w:eastAsia="Times New Roman" w:hAnsi="Tahoma" w:cs="Tahoma"/>
          <w:b/>
          <w:sz w:val="21"/>
          <w:szCs w:val="21"/>
          <w:lang w:eastAsia="pt-BR"/>
        </w:rPr>
      </w:pPr>
      <w:r w:rsidRPr="00726E8A">
        <w:rPr>
          <w:rFonts w:ascii="Tahoma" w:eastAsia="Times New Roman" w:hAnsi="Tahoma" w:cs="Tahoma"/>
          <w:sz w:val="21"/>
          <w:szCs w:val="21"/>
          <w:lang w:eastAsia="pt-BR"/>
        </w:rPr>
        <w:t>12.3.</w:t>
      </w:r>
      <w:r w:rsidRPr="00726E8A">
        <w:rPr>
          <w:rFonts w:ascii="Tahoma" w:eastAsia="Times New Roman" w:hAnsi="Tahoma" w:cs="Tahoma"/>
          <w:sz w:val="21"/>
          <w:szCs w:val="21"/>
          <w:lang w:eastAsia="pt-BR"/>
        </w:rPr>
        <w:tab/>
        <w:t>O GESTOR não está obrigado a exercer o direito de voto em assembleias de companhias e/ou fundos de investimento nas quais o FUNDO detenha participação, a menos que o GESTOR julgue que os assuntos a serem deliberados são relevantes para o FUNDO, caso em que comparecerá à assembleia e, posteriormente, divulgará aos Cotistas na forma estabelecida neste Regulamento, o teor e a justificativa do voto proferido.</w:t>
      </w:r>
    </w:p>
    <w:p w14:paraId="21D95C73"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p>
    <w:p w14:paraId="2ABC6119" w14:textId="77777777" w:rsidR="00726E8A" w:rsidRPr="00726E8A" w:rsidRDefault="00726E8A" w:rsidP="00726E8A">
      <w:pPr>
        <w:pBdr>
          <w:bottom w:val="single" w:sz="6" w:space="1" w:color="auto"/>
        </w:pBdr>
        <w:spacing w:after="0" w:line="240" w:lineRule="auto"/>
        <w:jc w:val="center"/>
        <w:rPr>
          <w:rFonts w:ascii="Tahoma" w:eastAsia="Times New Roman" w:hAnsi="Tahoma" w:cs="Tahoma"/>
          <w:b/>
          <w:sz w:val="21"/>
          <w:szCs w:val="21"/>
          <w:lang w:eastAsia="pt-BR"/>
        </w:rPr>
      </w:pPr>
      <w:r w:rsidRPr="00726E8A">
        <w:rPr>
          <w:rFonts w:ascii="Tahoma" w:eastAsia="Times New Roman" w:hAnsi="Tahoma" w:cs="Tahoma"/>
          <w:b/>
          <w:sz w:val="21"/>
          <w:szCs w:val="21"/>
          <w:lang w:eastAsia="pt-BR"/>
        </w:rPr>
        <w:t>CLÁUSULA TREZE – DAS DISPOSIÇÕES GERAIS</w:t>
      </w:r>
    </w:p>
    <w:p w14:paraId="17E5D433"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670A7361"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13.1. As informações ou documentos relacionados ao FUNDO serão comunicados, enviados, divulgados e/ou disponibilizados pelo ADMINISTRADOR aos Cotistas, ou por eles acessados, por meio físico ou por meio de canais eletrônicos, a exclusivo critério do ADMINISTRADOR, inclusive pela rede mundial de computadores.</w:t>
      </w:r>
    </w:p>
    <w:p w14:paraId="16F93BB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7273948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13.1.1. Quando as informações ou documentos relacionados ao FUNDO forem comunicados, enviados, divulgados e/ou disponibilizados por meio físico, os custos serão arcados pelo FUNDO.</w:t>
      </w:r>
    </w:p>
    <w:p w14:paraId="57168EE2"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7744DA5"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lastRenderedPageBreak/>
        <w:t>13.2.</w:t>
      </w:r>
      <w:r w:rsidRPr="00726E8A">
        <w:rPr>
          <w:rFonts w:ascii="Tahoma" w:eastAsia="Times New Roman" w:hAnsi="Tahoma" w:cs="Tahoma"/>
          <w:sz w:val="21"/>
          <w:szCs w:val="21"/>
          <w:lang w:eastAsia="pt-BR"/>
        </w:rPr>
        <w:tab/>
        <w:t>Admite-se, nas hipóteses em que este Regulamento exija a “ciência”, “atesto”, “manifestação de voto” ou “concordância” dos Cotistas, que estes se deem por meio eletrônico.</w:t>
      </w:r>
    </w:p>
    <w:p w14:paraId="63D368B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066048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13.3. O atendimento aos Cotistas para receber e encaminhar questões relacionadas ao Fundo será realizado por meio da Central de Atendimento do Santander, pelos seguintes meios:</w:t>
      </w:r>
    </w:p>
    <w:p w14:paraId="24C8C880"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45C089F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Capitais e Regiões Metropolitanas: 4004-3535</w:t>
      </w:r>
    </w:p>
    <w:p w14:paraId="067A0D7F"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Demais localidades: 0800-702-3535</w:t>
      </w:r>
    </w:p>
    <w:p w14:paraId="1364742A"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Serviço de Apoio ao Consumidor – SAC: 0800-762-7777</w:t>
      </w:r>
    </w:p>
    <w:p w14:paraId="0FC93D7C"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Ouvidoria: 0800-726-0322</w:t>
      </w:r>
    </w:p>
    <w:p w14:paraId="364889CD"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17DB4974"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13.4. Não há valores mínimos e máximos de investimento inicial, movimentação e manutenção pelos Cotistas no FUNDO. </w:t>
      </w:r>
    </w:p>
    <w:p w14:paraId="529DA1A9"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044FA4EB"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13.5. Para transmissão de ordens de aplicação e de resgate de cotas do FUNDO, os Cotistas utilizarão os meios disponibilizados pelo ADMINISTRADOR para tal finalidade.</w:t>
      </w:r>
    </w:p>
    <w:p w14:paraId="7E767AA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224C23C0"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13.6. O ADMINISTRADOR poderá gravar toda e qualquer ligação telefônica mantida entre o ADMINISTRADOR e os Cotistas, bem como, utilizar referidas gravações para efeito de prova das ordens transmitidas e das demais informações nelas contidas.</w:t>
      </w:r>
    </w:p>
    <w:p w14:paraId="5E043086" w14:textId="77777777" w:rsidR="00726E8A" w:rsidRPr="00726E8A" w:rsidRDefault="00726E8A" w:rsidP="00726E8A">
      <w:pPr>
        <w:spacing w:after="0" w:line="240" w:lineRule="auto"/>
        <w:jc w:val="both"/>
        <w:rPr>
          <w:rFonts w:ascii="Tahoma" w:eastAsia="Times New Roman" w:hAnsi="Tahoma" w:cs="Tahoma"/>
          <w:sz w:val="21"/>
          <w:szCs w:val="21"/>
          <w:lang w:eastAsia="pt-BR"/>
        </w:rPr>
      </w:pPr>
    </w:p>
    <w:p w14:paraId="61C67239" w14:textId="77777777" w:rsidR="00726E8A" w:rsidRPr="00726E8A" w:rsidRDefault="00726E8A" w:rsidP="00726E8A">
      <w:pPr>
        <w:spacing w:after="0" w:line="240" w:lineRule="auto"/>
        <w:jc w:val="both"/>
        <w:rPr>
          <w:rFonts w:ascii="Tahoma" w:eastAsia="Times New Roman" w:hAnsi="Tahoma" w:cs="Tahoma"/>
          <w:sz w:val="21"/>
          <w:szCs w:val="21"/>
          <w:lang w:eastAsia="pt-BR"/>
        </w:rPr>
      </w:pPr>
      <w:r w:rsidRPr="00726E8A">
        <w:rPr>
          <w:rFonts w:ascii="Tahoma" w:eastAsia="Times New Roman" w:hAnsi="Tahoma" w:cs="Tahoma"/>
          <w:sz w:val="21"/>
          <w:szCs w:val="21"/>
          <w:lang w:eastAsia="pt-BR"/>
        </w:rPr>
        <w:t>13.7. Fica eleito o foro da Comarca da Capital do Estado de São Paulo, com a exclusão de qualquer outro, por mais privilegiado que seja, para dirimir quaisquer dúvidas ou controvérsias advindas deste Regulamento.</w:t>
      </w:r>
    </w:p>
    <w:p w14:paraId="1518E3FA" w14:textId="77777777" w:rsidR="00726E8A" w:rsidRPr="00726E8A" w:rsidRDefault="00726E8A" w:rsidP="00726E8A">
      <w:pPr>
        <w:keepNext/>
        <w:spacing w:after="0" w:line="240" w:lineRule="auto"/>
        <w:outlineLvl w:val="5"/>
        <w:rPr>
          <w:rFonts w:ascii="Tahoma" w:eastAsia="Times New Roman" w:hAnsi="Tahoma" w:cs="Tahoma"/>
          <w:sz w:val="21"/>
          <w:szCs w:val="21"/>
          <w:lang w:eastAsia="pt-BR"/>
        </w:rPr>
      </w:pPr>
    </w:p>
    <w:p w14:paraId="76EEBD8A" w14:textId="77777777" w:rsidR="00726E8A" w:rsidRPr="00726E8A" w:rsidRDefault="00726E8A" w:rsidP="00726E8A">
      <w:pPr>
        <w:tabs>
          <w:tab w:val="left" w:pos="3119"/>
        </w:tabs>
        <w:spacing w:after="0" w:line="240" w:lineRule="auto"/>
        <w:jc w:val="both"/>
        <w:rPr>
          <w:rFonts w:ascii="Tahoma" w:eastAsia="Times New Roman" w:hAnsi="Tahoma" w:cs="Tahoma"/>
          <w:sz w:val="21"/>
          <w:szCs w:val="21"/>
          <w:lang w:eastAsia="pt-BR"/>
        </w:rPr>
      </w:pPr>
    </w:p>
    <w:p w14:paraId="3FEA6187" w14:textId="1E450569" w:rsidR="00726E8A" w:rsidRPr="00726E8A" w:rsidRDefault="00726E8A" w:rsidP="00726E8A">
      <w:pPr>
        <w:spacing w:after="0" w:line="240" w:lineRule="auto"/>
        <w:jc w:val="center"/>
        <w:rPr>
          <w:rFonts w:ascii="Tahoma" w:eastAsia="Times New Roman" w:hAnsi="Tahoma" w:cs="Tahoma"/>
          <w:sz w:val="21"/>
          <w:szCs w:val="21"/>
          <w:lang w:eastAsia="pt-BR"/>
        </w:rPr>
      </w:pPr>
      <w:r w:rsidRPr="00726E8A">
        <w:rPr>
          <w:rFonts w:ascii="Tahoma" w:eastAsia="Times New Roman" w:hAnsi="Tahoma" w:cs="Tahoma"/>
          <w:sz w:val="21"/>
          <w:szCs w:val="21"/>
          <w:lang w:eastAsia="pt-BR"/>
        </w:rPr>
        <w:t xml:space="preserve">São Paulo, </w:t>
      </w:r>
      <w:r w:rsidR="00496A30">
        <w:rPr>
          <w:rFonts w:ascii="Tahoma" w:eastAsia="Times New Roman" w:hAnsi="Tahoma" w:cs="Tahoma"/>
          <w:sz w:val="21"/>
          <w:szCs w:val="21"/>
          <w:lang w:eastAsia="pt-BR"/>
        </w:rPr>
        <w:t>08 de abril de 2024</w:t>
      </w:r>
      <w:r w:rsidR="00874934">
        <w:rPr>
          <w:rFonts w:ascii="Tahoma" w:eastAsia="Times New Roman" w:hAnsi="Tahoma" w:cs="Tahoma"/>
          <w:sz w:val="21"/>
          <w:szCs w:val="21"/>
          <w:lang w:eastAsia="pt-BR"/>
        </w:rPr>
        <w:t>.</w:t>
      </w:r>
    </w:p>
    <w:p w14:paraId="1DAC3E67" w14:textId="77777777" w:rsidR="00726E8A" w:rsidRPr="00726E8A" w:rsidRDefault="00726E8A" w:rsidP="00726E8A">
      <w:pPr>
        <w:spacing w:after="0" w:line="240" w:lineRule="auto"/>
        <w:jc w:val="center"/>
        <w:rPr>
          <w:rFonts w:ascii="Tahoma" w:eastAsia="Times New Roman" w:hAnsi="Tahoma" w:cs="Tahoma"/>
          <w:sz w:val="21"/>
          <w:szCs w:val="21"/>
          <w:lang w:eastAsia="pt-BR"/>
        </w:rPr>
      </w:pPr>
    </w:p>
    <w:p w14:paraId="73E2BE65" w14:textId="77777777" w:rsidR="00726E8A" w:rsidRPr="00726E8A" w:rsidRDefault="00726E8A" w:rsidP="00726E8A">
      <w:pPr>
        <w:spacing w:after="0" w:line="240" w:lineRule="auto"/>
        <w:jc w:val="center"/>
        <w:rPr>
          <w:rFonts w:ascii="Tahoma" w:eastAsia="Times New Roman" w:hAnsi="Tahoma" w:cs="Tahoma"/>
          <w:b/>
          <w:bCs/>
          <w:sz w:val="21"/>
          <w:szCs w:val="21"/>
          <w:lang w:eastAsia="pt-BR"/>
        </w:rPr>
      </w:pPr>
      <w:r w:rsidRPr="00726E8A">
        <w:rPr>
          <w:rFonts w:ascii="Tahoma" w:eastAsia="Times New Roman" w:hAnsi="Tahoma" w:cs="Tahoma"/>
          <w:b/>
          <w:bCs/>
          <w:sz w:val="21"/>
          <w:szCs w:val="21"/>
          <w:lang w:eastAsia="pt-BR"/>
        </w:rPr>
        <w:t>SANTANDER DISTRIBUIDORA DE TÍTULOS E VALORES MOBILIÁRIOS S.A.</w:t>
      </w:r>
    </w:p>
    <w:p w14:paraId="5CAF25BF" w14:textId="77777777" w:rsidR="00726E8A" w:rsidRPr="00726E8A" w:rsidRDefault="00726E8A" w:rsidP="00726E8A">
      <w:pPr>
        <w:spacing w:after="0" w:line="240" w:lineRule="auto"/>
        <w:jc w:val="center"/>
        <w:rPr>
          <w:rFonts w:ascii="Tahoma" w:eastAsia="Times New Roman" w:hAnsi="Tahoma" w:cs="Tahoma"/>
          <w:bCs/>
          <w:sz w:val="21"/>
          <w:szCs w:val="21"/>
        </w:rPr>
      </w:pPr>
      <w:r w:rsidRPr="00726E8A">
        <w:rPr>
          <w:rFonts w:ascii="Tahoma" w:eastAsia="Times New Roman" w:hAnsi="Tahoma" w:cs="Tahoma"/>
          <w:b/>
          <w:bCs/>
          <w:sz w:val="21"/>
          <w:szCs w:val="21"/>
          <w:lang w:eastAsia="pt-BR"/>
        </w:rPr>
        <w:t>Administrador</w:t>
      </w:r>
    </w:p>
    <w:p w14:paraId="7A1965D6" w14:textId="77777777" w:rsidR="00726E8A" w:rsidRPr="00725A81" w:rsidRDefault="00726E8A" w:rsidP="00C1354F">
      <w:pPr>
        <w:keepNext/>
        <w:spacing w:after="0" w:line="280" w:lineRule="atLeast"/>
        <w:jc w:val="both"/>
        <w:outlineLvl w:val="5"/>
        <w:rPr>
          <w:rFonts w:ascii="Tahoma" w:hAnsi="Tahoma" w:cs="Tahoma"/>
        </w:rPr>
      </w:pPr>
    </w:p>
    <w:sectPr w:rsidR="00726E8A" w:rsidRPr="00725A81" w:rsidSect="00A53EF9">
      <w:headerReference w:type="even" r:id="rId8"/>
      <w:headerReference w:type="default" r:id="rId9"/>
      <w:headerReference w:type="first" r:id="rId10"/>
      <w:footerReference w:type="first" r:id="rId11"/>
      <w:pgSz w:w="11907" w:h="16840" w:code="9"/>
      <w:pgMar w:top="1134" w:right="720" w:bottom="720" w:left="720" w:header="0" w:footer="1106" w:gutter="0"/>
      <w:paperSrc w:first="1" w:other="1"/>
      <w:cols w:sep="1" w:space="747"/>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9B5D3" w14:textId="77777777" w:rsidR="00A53EF9" w:rsidRDefault="00A53EF9" w:rsidP="00023DD5">
      <w:pPr>
        <w:spacing w:after="0" w:line="240" w:lineRule="auto"/>
      </w:pPr>
      <w:r>
        <w:separator/>
      </w:r>
    </w:p>
  </w:endnote>
  <w:endnote w:type="continuationSeparator" w:id="0">
    <w:p w14:paraId="35030723" w14:textId="77777777" w:rsidR="00A53EF9" w:rsidRDefault="00A53EF9" w:rsidP="000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614F2" w14:textId="77777777" w:rsidR="00581B51" w:rsidRDefault="005F40CE">
    <w:pPr>
      <w:pStyle w:val="Rodap"/>
      <w:jc w:val="right"/>
    </w:pPr>
    <w:r>
      <w:rPr>
        <w:rStyle w:val="Nmerodepgina"/>
      </w:rPr>
      <w:fldChar w:fldCharType="begin"/>
    </w:r>
    <w:r>
      <w:rPr>
        <w:rStyle w:val="Nmerodepgina"/>
      </w:rPr>
      <w:instrText xml:space="preserve"> PAGE </w:instrText>
    </w:r>
    <w:r>
      <w:rPr>
        <w:rStyle w:val="Nmerodepgina"/>
      </w:rPr>
      <w:fldChar w:fldCharType="separate"/>
    </w:r>
    <w:r>
      <w:rPr>
        <w:rStyle w:val="Nmerodepgina"/>
      </w:rPr>
      <w:t>1</w:t>
    </w:r>
    <w:r>
      <w:rPr>
        <w:rStyle w:val="Nmerodepgina"/>
      </w:rPr>
      <w:fldChar w:fldCharType="end"/>
    </w:r>
  </w:p>
  <w:p w14:paraId="7E5E5FE0" w14:textId="77777777" w:rsidR="00581B51" w:rsidRDefault="00581B51"/>
  <w:p w14:paraId="05911E06" w14:textId="77777777" w:rsidR="00581B51" w:rsidRDefault="00581B51"/>
  <w:p w14:paraId="2B397338" w14:textId="77777777" w:rsidR="00581B51" w:rsidRDefault="00581B5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17558C" w14:textId="77777777" w:rsidR="00A53EF9" w:rsidRDefault="00A53EF9" w:rsidP="00023DD5">
      <w:pPr>
        <w:spacing w:after="0" w:line="240" w:lineRule="auto"/>
      </w:pPr>
      <w:r>
        <w:separator/>
      </w:r>
    </w:p>
  </w:footnote>
  <w:footnote w:type="continuationSeparator" w:id="0">
    <w:p w14:paraId="613713AE" w14:textId="77777777" w:rsidR="00A53EF9" w:rsidRDefault="00A53EF9" w:rsidP="00023D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84046" w14:textId="28B63BD8" w:rsidR="00B45DF8" w:rsidRDefault="00B45DF8">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BE972" w14:textId="46EDB7F0" w:rsidR="00581B51" w:rsidRDefault="00B45DF8" w:rsidP="006F7779">
    <w:pPr>
      <w:pStyle w:val="Cabealho"/>
    </w:pPr>
    <w:r>
      <w:rPr>
        <w:noProof/>
      </w:rPr>
      <w:drawing>
        <wp:anchor distT="0" distB="0" distL="114300" distR="114300" simplePos="0" relativeHeight="251657728" behindDoc="0" locked="0" layoutInCell="1" allowOverlap="1" wp14:anchorId="0E03F83A" wp14:editId="3B0DEE1B">
          <wp:simplePos x="0" y="0"/>
          <wp:positionH relativeFrom="margin">
            <wp:posOffset>4537481</wp:posOffset>
          </wp:positionH>
          <wp:positionV relativeFrom="paragraph">
            <wp:posOffset>41631</wp:posOffset>
          </wp:positionV>
          <wp:extent cx="2409825" cy="574675"/>
          <wp:effectExtent l="0" t="0" r="0" b="0"/>
          <wp:wrapNone/>
          <wp:docPr id="830905419" name="Imagem 6017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0176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825" cy="574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B7BBF7" w14:textId="77777777" w:rsidR="00581B51" w:rsidRDefault="00581B51"/>
  <w:p w14:paraId="10B2CEBF" w14:textId="77777777" w:rsidR="00581B51" w:rsidRDefault="00581B5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4" w:space="0" w:color="auto"/>
        <w:insideH w:val="single" w:sz="4" w:space="0" w:color="auto"/>
      </w:tblBorders>
      <w:tblLayout w:type="fixed"/>
      <w:tblLook w:val="0000" w:firstRow="0" w:lastRow="0" w:firstColumn="0" w:lastColumn="0" w:noHBand="0" w:noVBand="0"/>
    </w:tblPr>
    <w:tblGrid>
      <w:gridCol w:w="2235"/>
      <w:gridCol w:w="7654"/>
    </w:tblGrid>
    <w:tr w:rsidR="00A52FC6" w:rsidRPr="000A6601" w14:paraId="71F30453" w14:textId="77777777">
      <w:tc>
        <w:tcPr>
          <w:tcW w:w="2235" w:type="dxa"/>
        </w:tcPr>
        <w:p w14:paraId="6C26F455" w14:textId="3A616F0A" w:rsidR="00581B51" w:rsidRDefault="00627A0E">
          <w:pPr>
            <w:pStyle w:val="Cabealho"/>
          </w:pPr>
          <w:r w:rsidRPr="006C172B">
            <w:rPr>
              <w:noProof/>
            </w:rPr>
            <w:drawing>
              <wp:inline distT="0" distB="0" distL="0" distR="0" wp14:anchorId="6C106C35" wp14:editId="13D5F070">
                <wp:extent cx="1302385" cy="379730"/>
                <wp:effectExtent l="0" t="0" r="0" b="0"/>
                <wp:docPr id="2" name="Imagem 211444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1144426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2385" cy="379730"/>
                        </a:xfrm>
                        <a:prstGeom prst="rect">
                          <a:avLst/>
                        </a:prstGeom>
                        <a:noFill/>
                        <a:ln>
                          <a:noFill/>
                        </a:ln>
                      </pic:spPr>
                    </pic:pic>
                  </a:graphicData>
                </a:graphic>
              </wp:inline>
            </w:drawing>
          </w:r>
        </w:p>
      </w:tc>
      <w:tc>
        <w:tcPr>
          <w:tcW w:w="7654" w:type="dxa"/>
        </w:tcPr>
        <w:p w14:paraId="2D786055" w14:textId="77777777" w:rsidR="00581B51" w:rsidRDefault="00581B51">
          <w:pPr>
            <w:pStyle w:val="Cabealho"/>
            <w:ind w:left="-108"/>
            <w:rPr>
              <w:rFonts w:ascii="Bookman Old Style" w:hAnsi="Bookman Old Style"/>
              <w:sz w:val="18"/>
            </w:rPr>
          </w:pPr>
        </w:p>
        <w:p w14:paraId="7E1475AA" w14:textId="77777777" w:rsidR="00581B51" w:rsidRPr="004C00C2" w:rsidRDefault="005F40CE">
          <w:pPr>
            <w:pStyle w:val="Cabealho"/>
            <w:ind w:left="-108"/>
            <w:jc w:val="right"/>
            <w:rPr>
              <w:rFonts w:ascii="Bookman Old Style" w:hAnsi="Bookman Old Style"/>
              <w:sz w:val="16"/>
              <w:lang w:val="pt-BR"/>
            </w:rPr>
          </w:pPr>
          <w:r w:rsidRPr="004C00C2">
            <w:rPr>
              <w:rFonts w:ascii="Bookman Old Style" w:hAnsi="Bookman Old Style"/>
              <w:sz w:val="16"/>
              <w:lang w:val="pt-BR"/>
            </w:rPr>
            <w:t>Regulamento do [</w:t>
          </w:r>
          <w:r w:rsidRPr="004C00C2">
            <w:rPr>
              <w:rFonts w:ascii="Bookman Old Style" w:hAnsi="Bookman Old Style"/>
              <w:sz w:val="16"/>
              <w:highlight w:val="cyan"/>
              <w:lang w:val="pt-BR"/>
            </w:rPr>
            <w:t>Inserir Nome do Fundo</w:t>
          </w:r>
          <w:r w:rsidRPr="004C00C2">
            <w:rPr>
              <w:rFonts w:ascii="Bookman Old Style" w:hAnsi="Bookman Old Style"/>
              <w:sz w:val="16"/>
              <w:lang w:val="pt-BR"/>
            </w:rPr>
            <w:t>]</w:t>
          </w:r>
        </w:p>
      </w:tc>
    </w:tr>
  </w:tbl>
  <w:p w14:paraId="12F9D0E0" w14:textId="77777777" w:rsidR="00581B51" w:rsidRPr="004C00C2" w:rsidRDefault="00581B51">
    <w:pPr>
      <w:pStyle w:val="Cabealho"/>
      <w:rPr>
        <w:lang w:val="pt-BR"/>
      </w:rPr>
    </w:pPr>
  </w:p>
  <w:p w14:paraId="14CEEA6F" w14:textId="77777777" w:rsidR="00581B51" w:rsidRPr="00145FC3" w:rsidRDefault="00581B51"/>
  <w:p w14:paraId="61045B9F" w14:textId="77777777" w:rsidR="00581B51" w:rsidRDefault="00581B51"/>
  <w:p w14:paraId="7F3BBE8C" w14:textId="77777777" w:rsidR="00581B51" w:rsidRDefault="00581B5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EE8698"/>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56BE7A3F"/>
    <w:multiLevelType w:val="hybridMultilevel"/>
    <w:tmpl w:val="45064982"/>
    <w:lvl w:ilvl="0" w:tplc="7C98757A">
      <w:start w:val="1"/>
      <w:numFmt w:val="lowerLetter"/>
      <w:lvlText w:val="(%1)"/>
      <w:lvlJc w:val="left"/>
      <w:pPr>
        <w:ind w:left="1065" w:hanging="70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D4F0520"/>
    <w:multiLevelType w:val="hybridMultilevel"/>
    <w:tmpl w:val="45064982"/>
    <w:lvl w:ilvl="0" w:tplc="FFFFFFFF">
      <w:start w:val="1"/>
      <w:numFmt w:val="lowerLetter"/>
      <w:lvlText w:val="(%1)"/>
      <w:lvlJc w:val="left"/>
      <w:pPr>
        <w:ind w:left="1065" w:hanging="70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06257839">
    <w:abstractNumId w:val="1"/>
  </w:num>
  <w:num w:numId="2" w16cid:durableId="1083643670">
    <w:abstractNumId w:val="0"/>
  </w:num>
  <w:num w:numId="3" w16cid:durableId="989409783">
    <w:abstractNumId w:val="2"/>
  </w:num>
  <w:num w:numId="4" w16cid:durableId="19210225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DD5"/>
    <w:rsid w:val="000228D7"/>
    <w:rsid w:val="00023DD5"/>
    <w:rsid w:val="000354E2"/>
    <w:rsid w:val="00045559"/>
    <w:rsid w:val="00054CE1"/>
    <w:rsid w:val="00081844"/>
    <w:rsid w:val="000A31FC"/>
    <w:rsid w:val="000A6601"/>
    <w:rsid w:val="000B0964"/>
    <w:rsid w:val="0019585C"/>
    <w:rsid w:val="001A27AE"/>
    <w:rsid w:val="001F5430"/>
    <w:rsid w:val="0020353F"/>
    <w:rsid w:val="00260C9C"/>
    <w:rsid w:val="00264A21"/>
    <w:rsid w:val="002949CB"/>
    <w:rsid w:val="00382BFE"/>
    <w:rsid w:val="0039108C"/>
    <w:rsid w:val="00400C09"/>
    <w:rsid w:val="00475595"/>
    <w:rsid w:val="00476930"/>
    <w:rsid w:val="00496A30"/>
    <w:rsid w:val="004C738E"/>
    <w:rsid w:val="004F1CAA"/>
    <w:rsid w:val="00546CB2"/>
    <w:rsid w:val="005617E3"/>
    <w:rsid w:val="00581B51"/>
    <w:rsid w:val="005A5D94"/>
    <w:rsid w:val="005C6D36"/>
    <w:rsid w:val="005F40CE"/>
    <w:rsid w:val="00611E5D"/>
    <w:rsid w:val="00613F3D"/>
    <w:rsid w:val="006205B5"/>
    <w:rsid w:val="00627A0E"/>
    <w:rsid w:val="006540D7"/>
    <w:rsid w:val="00656053"/>
    <w:rsid w:val="0067701D"/>
    <w:rsid w:val="006A38C8"/>
    <w:rsid w:val="006F7779"/>
    <w:rsid w:val="00711CBF"/>
    <w:rsid w:val="00725A81"/>
    <w:rsid w:val="00726E8A"/>
    <w:rsid w:val="00734B09"/>
    <w:rsid w:val="007410F0"/>
    <w:rsid w:val="007713B9"/>
    <w:rsid w:val="007939BA"/>
    <w:rsid w:val="0080467D"/>
    <w:rsid w:val="00833BF3"/>
    <w:rsid w:val="00874934"/>
    <w:rsid w:val="008A2259"/>
    <w:rsid w:val="008C54BB"/>
    <w:rsid w:val="00912CA1"/>
    <w:rsid w:val="0094659E"/>
    <w:rsid w:val="009945D6"/>
    <w:rsid w:val="009A4744"/>
    <w:rsid w:val="009A6E52"/>
    <w:rsid w:val="009D68C5"/>
    <w:rsid w:val="00A22EE2"/>
    <w:rsid w:val="00A339A4"/>
    <w:rsid w:val="00A52FC6"/>
    <w:rsid w:val="00A53EF9"/>
    <w:rsid w:val="00A65849"/>
    <w:rsid w:val="00A73737"/>
    <w:rsid w:val="00A920F1"/>
    <w:rsid w:val="00AA7D5E"/>
    <w:rsid w:val="00B17E11"/>
    <w:rsid w:val="00B45DF8"/>
    <w:rsid w:val="00B56258"/>
    <w:rsid w:val="00B67CEF"/>
    <w:rsid w:val="00BE2272"/>
    <w:rsid w:val="00C0106D"/>
    <w:rsid w:val="00C02732"/>
    <w:rsid w:val="00C1354F"/>
    <w:rsid w:val="00CC6F6D"/>
    <w:rsid w:val="00CF49FF"/>
    <w:rsid w:val="00D7088D"/>
    <w:rsid w:val="00D74F3A"/>
    <w:rsid w:val="00D83B9C"/>
    <w:rsid w:val="00DE329E"/>
    <w:rsid w:val="00DF1A09"/>
    <w:rsid w:val="00E03C4E"/>
    <w:rsid w:val="00E53D8D"/>
    <w:rsid w:val="00E54A0D"/>
    <w:rsid w:val="00EC753C"/>
    <w:rsid w:val="00F730BC"/>
    <w:rsid w:val="00F96178"/>
    <w:rsid w:val="00FB3AF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372112"/>
  <w15:chartTrackingRefBased/>
  <w15:docId w15:val="{9B99490A-128F-484C-A25E-49E6C34E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har"/>
    <w:qFormat/>
    <w:rsid w:val="00613F3D"/>
    <w:pPr>
      <w:keepNext/>
      <w:widowControl w:val="0"/>
      <w:spacing w:after="0" w:line="320" w:lineRule="exact"/>
      <w:jc w:val="center"/>
      <w:outlineLvl w:val="0"/>
    </w:pPr>
    <w:rPr>
      <w:rFonts w:ascii="Times New Roman" w:eastAsia="Times New Roman" w:hAnsi="Times New Roman"/>
      <w:b/>
      <w:sz w:val="24"/>
      <w:szCs w:val="20"/>
      <w:lang w:eastAsia="pt-BR"/>
    </w:rPr>
  </w:style>
  <w:style w:type="paragraph" w:styleId="Ttulo2">
    <w:name w:val="heading 2"/>
    <w:basedOn w:val="Normal"/>
    <w:next w:val="Normal"/>
    <w:link w:val="Ttulo2Char"/>
    <w:qFormat/>
    <w:rsid w:val="00613F3D"/>
    <w:pPr>
      <w:keepNext/>
      <w:widowControl w:val="0"/>
      <w:spacing w:after="0" w:line="320" w:lineRule="exact"/>
      <w:ind w:left="426" w:hanging="426"/>
      <w:jc w:val="both"/>
      <w:outlineLvl w:val="1"/>
    </w:pPr>
    <w:rPr>
      <w:rFonts w:ascii="Times New Roman" w:eastAsia="Times New Roman" w:hAnsi="Times New Roman"/>
      <w:sz w:val="24"/>
      <w:szCs w:val="20"/>
      <w:lang w:eastAsia="pt-BR"/>
    </w:rPr>
  </w:style>
  <w:style w:type="paragraph" w:styleId="Ttulo3">
    <w:name w:val="heading 3"/>
    <w:basedOn w:val="Normal"/>
    <w:next w:val="Normal"/>
    <w:link w:val="Ttulo3Char"/>
    <w:qFormat/>
    <w:rsid w:val="00613F3D"/>
    <w:pPr>
      <w:keepNext/>
      <w:spacing w:after="0" w:line="240" w:lineRule="auto"/>
      <w:jc w:val="center"/>
      <w:outlineLvl w:val="2"/>
    </w:pPr>
    <w:rPr>
      <w:rFonts w:ascii="Times New Roman" w:eastAsia="Times New Roman" w:hAnsi="Times New Roman"/>
      <w:sz w:val="24"/>
      <w:szCs w:val="20"/>
      <w:lang w:val="en-AU" w:eastAsia="pt-BR"/>
    </w:rPr>
  </w:style>
  <w:style w:type="paragraph" w:styleId="Ttulo4">
    <w:name w:val="heading 4"/>
    <w:basedOn w:val="Normal"/>
    <w:next w:val="Normal"/>
    <w:link w:val="Ttulo4Char"/>
    <w:qFormat/>
    <w:rsid w:val="00613F3D"/>
    <w:pPr>
      <w:keepNext/>
      <w:pBdr>
        <w:bottom w:val="single" w:sz="6" w:space="1" w:color="auto"/>
      </w:pBdr>
      <w:spacing w:after="0" w:line="320" w:lineRule="exact"/>
      <w:jc w:val="center"/>
      <w:outlineLvl w:val="3"/>
    </w:pPr>
    <w:rPr>
      <w:rFonts w:ascii="Times New Roman" w:eastAsia="Times New Roman" w:hAnsi="Times New Roman"/>
      <w:b/>
      <w:szCs w:val="20"/>
      <w:lang w:eastAsia="pt-BR"/>
    </w:rPr>
  </w:style>
  <w:style w:type="paragraph" w:styleId="Ttulo5">
    <w:name w:val="heading 5"/>
    <w:basedOn w:val="Normal"/>
    <w:next w:val="Normal"/>
    <w:link w:val="Ttulo5Char"/>
    <w:qFormat/>
    <w:rsid w:val="00613F3D"/>
    <w:pPr>
      <w:keepNext/>
      <w:spacing w:after="0" w:line="240" w:lineRule="auto"/>
      <w:jc w:val="both"/>
      <w:outlineLvl w:val="4"/>
    </w:pPr>
    <w:rPr>
      <w:rFonts w:ascii="Times New Roman" w:eastAsia="Times New Roman" w:hAnsi="Times New Roman"/>
      <w:b/>
      <w:sz w:val="20"/>
      <w:szCs w:val="20"/>
      <w:lang w:eastAsia="pt-BR"/>
    </w:rPr>
  </w:style>
  <w:style w:type="paragraph" w:styleId="Ttulo6">
    <w:name w:val="heading 6"/>
    <w:basedOn w:val="Normal"/>
    <w:next w:val="Normal"/>
    <w:link w:val="Ttulo6Char"/>
    <w:qFormat/>
    <w:rsid w:val="005F40CE"/>
    <w:pPr>
      <w:keepNext/>
      <w:spacing w:after="0" w:line="240" w:lineRule="auto"/>
      <w:outlineLvl w:val="5"/>
    </w:pPr>
    <w:rPr>
      <w:rFonts w:ascii="Times New Roman" w:eastAsia="Times New Roman" w:hAnsi="Times New Roman"/>
      <w:b/>
      <w:sz w:val="20"/>
      <w:szCs w:val="20"/>
      <w:lang w:val="en-GB" w:eastAsia="x-none"/>
    </w:rPr>
  </w:style>
  <w:style w:type="paragraph" w:styleId="Ttulo7">
    <w:name w:val="heading 7"/>
    <w:basedOn w:val="Normal"/>
    <w:next w:val="Normal"/>
    <w:link w:val="Ttulo7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6"/>
    </w:pPr>
    <w:rPr>
      <w:rFonts w:ascii="Times New Roman" w:eastAsia="Times New Roman" w:hAnsi="Times New Roman"/>
      <w:b/>
      <w:sz w:val="24"/>
      <w:szCs w:val="20"/>
      <w:lang w:eastAsia="pt-BR"/>
    </w:rPr>
  </w:style>
  <w:style w:type="paragraph" w:styleId="Ttulo8">
    <w:name w:val="heading 8"/>
    <w:basedOn w:val="Normal"/>
    <w:next w:val="Normal"/>
    <w:link w:val="Ttulo8Char"/>
    <w:qFormat/>
    <w:rsid w:val="00613F3D"/>
    <w:pPr>
      <w:keepNext/>
      <w:pBdr>
        <w:top w:val="single" w:sz="6" w:space="0" w:color="auto"/>
        <w:left w:val="single" w:sz="6" w:space="1" w:color="auto"/>
        <w:bottom w:val="single" w:sz="6" w:space="1" w:color="auto"/>
        <w:right w:val="single" w:sz="6" w:space="1" w:color="auto"/>
      </w:pBdr>
      <w:spacing w:after="0" w:line="240" w:lineRule="auto"/>
      <w:jc w:val="center"/>
      <w:outlineLvl w:val="7"/>
    </w:pPr>
    <w:rPr>
      <w:rFonts w:ascii="Times New Roman" w:eastAsia="Times New Roman" w:hAnsi="Times New Roman"/>
      <w:b/>
      <w:color w:val="000000"/>
      <w:sz w:val="24"/>
      <w:szCs w:val="20"/>
      <w:lang w:eastAsia="pt-BR"/>
    </w:rPr>
  </w:style>
  <w:style w:type="paragraph" w:styleId="Ttulo9">
    <w:name w:val="heading 9"/>
    <w:basedOn w:val="Normal"/>
    <w:next w:val="Normal"/>
    <w:link w:val="Ttulo9Char"/>
    <w:qFormat/>
    <w:rsid w:val="00613F3D"/>
    <w:pPr>
      <w:keepNext/>
      <w:spacing w:after="0" w:line="240" w:lineRule="auto"/>
      <w:outlineLvl w:val="8"/>
    </w:pPr>
    <w:rPr>
      <w:rFonts w:ascii="Times New Roman" w:eastAsia="Times New Roman" w:hAnsi="Times New Roman"/>
      <w:b/>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rsid w:val="00023DD5"/>
    <w:pPr>
      <w:tabs>
        <w:tab w:val="center" w:pos="4320"/>
        <w:tab w:val="right" w:pos="8640"/>
      </w:tabs>
      <w:spacing w:after="0" w:line="240" w:lineRule="auto"/>
    </w:pPr>
    <w:rPr>
      <w:rFonts w:ascii="Times New Roman" w:eastAsia="Times New Roman" w:hAnsi="Times New Roman"/>
      <w:sz w:val="20"/>
      <w:szCs w:val="20"/>
      <w:lang w:eastAsia="pt-BR"/>
    </w:rPr>
  </w:style>
  <w:style w:type="character" w:customStyle="1" w:styleId="RodapChar">
    <w:name w:val="Rodapé Char"/>
    <w:link w:val="Rodap"/>
    <w:uiPriority w:val="99"/>
    <w:rsid w:val="00023DD5"/>
    <w:rPr>
      <w:rFonts w:ascii="Times New Roman" w:eastAsia="Times New Roman" w:hAnsi="Times New Roman" w:cs="Times New Roman"/>
      <w:sz w:val="20"/>
      <w:szCs w:val="20"/>
      <w:lang w:eastAsia="pt-BR"/>
    </w:rPr>
  </w:style>
  <w:style w:type="paragraph" w:styleId="Cabealho">
    <w:name w:val="header"/>
    <w:basedOn w:val="Normal"/>
    <w:link w:val="CabealhoChar"/>
    <w:rsid w:val="00023DD5"/>
    <w:pPr>
      <w:tabs>
        <w:tab w:val="center" w:pos="4320"/>
        <w:tab w:val="right" w:pos="8640"/>
      </w:tabs>
      <w:spacing w:after="0" w:line="240" w:lineRule="auto"/>
    </w:pPr>
    <w:rPr>
      <w:rFonts w:ascii="Times New Roman" w:eastAsia="Times New Roman" w:hAnsi="Times New Roman"/>
      <w:sz w:val="20"/>
      <w:szCs w:val="20"/>
      <w:lang w:val="en-GB" w:eastAsia="pt-BR"/>
    </w:rPr>
  </w:style>
  <w:style w:type="character" w:customStyle="1" w:styleId="CabealhoChar">
    <w:name w:val="Cabeçalho Char"/>
    <w:link w:val="Cabealho"/>
    <w:rsid w:val="00023DD5"/>
    <w:rPr>
      <w:rFonts w:ascii="Times New Roman" w:eastAsia="Times New Roman" w:hAnsi="Times New Roman" w:cs="Times New Roman"/>
      <w:sz w:val="20"/>
      <w:szCs w:val="20"/>
      <w:lang w:val="en-GB" w:eastAsia="pt-BR"/>
    </w:rPr>
  </w:style>
  <w:style w:type="character" w:customStyle="1" w:styleId="Ttulo6Char">
    <w:name w:val="Título 6 Char"/>
    <w:link w:val="Ttulo6"/>
    <w:rsid w:val="005F40CE"/>
    <w:rPr>
      <w:rFonts w:ascii="Times New Roman" w:eastAsia="Times New Roman" w:hAnsi="Times New Roman" w:cs="Times New Roman"/>
      <w:b/>
      <w:sz w:val="20"/>
      <w:szCs w:val="20"/>
      <w:lang w:val="en-GB" w:eastAsia="x-none"/>
    </w:rPr>
  </w:style>
  <w:style w:type="paragraph" w:customStyle="1" w:styleId="BodyText21">
    <w:name w:val="Body Text 21"/>
    <w:basedOn w:val="Normal"/>
    <w:rsid w:val="005F40CE"/>
    <w:pPr>
      <w:spacing w:after="0" w:line="240" w:lineRule="auto"/>
      <w:jc w:val="both"/>
    </w:pPr>
    <w:rPr>
      <w:rFonts w:ascii="Times New Roman" w:eastAsia="Times New Roman" w:hAnsi="Times New Roman"/>
      <w:szCs w:val="20"/>
      <w:lang w:eastAsia="pt-BR"/>
    </w:rPr>
  </w:style>
  <w:style w:type="character" w:styleId="Nmerodepgina">
    <w:name w:val="page number"/>
    <w:basedOn w:val="Fontepargpadro"/>
    <w:rsid w:val="005F40CE"/>
  </w:style>
  <w:style w:type="paragraph" w:styleId="NormalWeb">
    <w:name w:val="Normal (Web)"/>
    <w:basedOn w:val="Normal"/>
    <w:uiPriority w:val="99"/>
    <w:rsid w:val="005F40CE"/>
    <w:pPr>
      <w:spacing w:before="100" w:after="100" w:line="240" w:lineRule="auto"/>
    </w:pPr>
    <w:rPr>
      <w:rFonts w:ascii="Arial Unicode MS" w:eastAsia="Arial Unicode MS" w:hAnsi="Arial Unicode MS"/>
      <w:sz w:val="24"/>
      <w:szCs w:val="20"/>
      <w:lang w:eastAsia="pt-BR"/>
    </w:rPr>
  </w:style>
  <w:style w:type="character" w:styleId="Refdenotaderodap">
    <w:name w:val="footnote reference"/>
    <w:uiPriority w:val="99"/>
    <w:rsid w:val="005F40CE"/>
    <w:rPr>
      <w:vertAlign w:val="superscript"/>
    </w:rPr>
  </w:style>
  <w:style w:type="paragraph" w:styleId="PargrafodaLista">
    <w:name w:val="List Paragraph"/>
    <w:basedOn w:val="Normal"/>
    <w:uiPriority w:val="34"/>
    <w:qFormat/>
    <w:rsid w:val="009945D6"/>
    <w:pPr>
      <w:spacing w:after="0" w:line="240" w:lineRule="auto"/>
      <w:ind w:left="720"/>
      <w:contextualSpacing/>
    </w:pPr>
    <w:rPr>
      <w:rFonts w:ascii="Times New Roman" w:eastAsia="Times New Roman" w:hAnsi="Times New Roman"/>
      <w:sz w:val="20"/>
      <w:szCs w:val="20"/>
      <w:lang w:eastAsia="pt-BR"/>
    </w:rPr>
  </w:style>
  <w:style w:type="paragraph" w:styleId="Reviso">
    <w:name w:val="Revision"/>
    <w:hidden/>
    <w:uiPriority w:val="99"/>
    <w:semiHidden/>
    <w:rsid w:val="009A4744"/>
    <w:rPr>
      <w:sz w:val="22"/>
      <w:szCs w:val="22"/>
      <w:lang w:eastAsia="en-US"/>
    </w:rPr>
  </w:style>
  <w:style w:type="character" w:styleId="Refdecomentrio">
    <w:name w:val="annotation reference"/>
    <w:semiHidden/>
    <w:rsid w:val="007410F0"/>
    <w:rPr>
      <w:sz w:val="16"/>
    </w:rPr>
  </w:style>
  <w:style w:type="paragraph" w:styleId="Textodecomentrio">
    <w:name w:val="annotation text"/>
    <w:basedOn w:val="Normal"/>
    <w:link w:val="TextodecomentrioChar"/>
    <w:semiHidden/>
    <w:rsid w:val="007410F0"/>
    <w:pPr>
      <w:spacing w:after="0" w:line="240" w:lineRule="auto"/>
      <w:jc w:val="both"/>
    </w:pPr>
    <w:rPr>
      <w:rFonts w:ascii="Times New Roman" w:eastAsia="Times New Roman" w:hAnsi="Times New Roman"/>
      <w:sz w:val="20"/>
      <w:szCs w:val="20"/>
      <w:lang w:eastAsia="pt-BR"/>
    </w:rPr>
  </w:style>
  <w:style w:type="character" w:customStyle="1" w:styleId="TextodecomentrioChar">
    <w:name w:val="Texto de comentário Char"/>
    <w:link w:val="Textodecomentrio"/>
    <w:semiHidden/>
    <w:rsid w:val="007410F0"/>
    <w:rPr>
      <w:rFonts w:ascii="Times New Roman" w:eastAsia="Times New Roman" w:hAnsi="Times New Roman" w:cs="Times New Roman"/>
      <w:sz w:val="20"/>
      <w:szCs w:val="20"/>
      <w:lang w:eastAsia="pt-BR"/>
    </w:rPr>
  </w:style>
  <w:style w:type="character" w:customStyle="1" w:styleId="Ttulo1Char">
    <w:name w:val="Título 1 Char"/>
    <w:link w:val="Ttulo1"/>
    <w:rsid w:val="00613F3D"/>
    <w:rPr>
      <w:rFonts w:ascii="Times New Roman" w:eastAsia="Times New Roman" w:hAnsi="Times New Roman"/>
      <w:b/>
      <w:sz w:val="24"/>
    </w:rPr>
  </w:style>
  <w:style w:type="character" w:customStyle="1" w:styleId="Ttulo2Char">
    <w:name w:val="Título 2 Char"/>
    <w:link w:val="Ttulo2"/>
    <w:rsid w:val="00613F3D"/>
    <w:rPr>
      <w:rFonts w:ascii="Times New Roman" w:eastAsia="Times New Roman" w:hAnsi="Times New Roman"/>
      <w:sz w:val="24"/>
    </w:rPr>
  </w:style>
  <w:style w:type="character" w:customStyle="1" w:styleId="Ttulo3Char">
    <w:name w:val="Título 3 Char"/>
    <w:link w:val="Ttulo3"/>
    <w:rsid w:val="00613F3D"/>
    <w:rPr>
      <w:rFonts w:ascii="Times New Roman" w:eastAsia="Times New Roman" w:hAnsi="Times New Roman"/>
      <w:sz w:val="24"/>
      <w:lang w:val="en-AU"/>
    </w:rPr>
  </w:style>
  <w:style w:type="character" w:customStyle="1" w:styleId="Ttulo4Char">
    <w:name w:val="Título 4 Char"/>
    <w:link w:val="Ttulo4"/>
    <w:rsid w:val="00613F3D"/>
    <w:rPr>
      <w:rFonts w:ascii="Times New Roman" w:eastAsia="Times New Roman" w:hAnsi="Times New Roman"/>
      <w:b/>
      <w:sz w:val="22"/>
    </w:rPr>
  </w:style>
  <w:style w:type="character" w:customStyle="1" w:styleId="Ttulo5Char">
    <w:name w:val="Título 5 Char"/>
    <w:link w:val="Ttulo5"/>
    <w:rsid w:val="00613F3D"/>
    <w:rPr>
      <w:rFonts w:ascii="Times New Roman" w:eastAsia="Times New Roman" w:hAnsi="Times New Roman"/>
      <w:b/>
    </w:rPr>
  </w:style>
  <w:style w:type="character" w:customStyle="1" w:styleId="Ttulo7Char">
    <w:name w:val="Título 7 Char"/>
    <w:link w:val="Ttulo7"/>
    <w:rsid w:val="00613F3D"/>
    <w:rPr>
      <w:rFonts w:ascii="Times New Roman" w:eastAsia="Times New Roman" w:hAnsi="Times New Roman"/>
      <w:b/>
      <w:sz w:val="24"/>
    </w:rPr>
  </w:style>
  <w:style w:type="character" w:customStyle="1" w:styleId="Ttulo8Char">
    <w:name w:val="Título 8 Char"/>
    <w:link w:val="Ttulo8"/>
    <w:rsid w:val="00613F3D"/>
    <w:rPr>
      <w:rFonts w:ascii="Times New Roman" w:eastAsia="Times New Roman" w:hAnsi="Times New Roman"/>
      <w:b/>
      <w:color w:val="000000"/>
      <w:sz w:val="24"/>
    </w:rPr>
  </w:style>
  <w:style w:type="character" w:customStyle="1" w:styleId="Ttulo9Char">
    <w:name w:val="Título 9 Char"/>
    <w:link w:val="Ttulo9"/>
    <w:rsid w:val="00613F3D"/>
    <w:rPr>
      <w:rFonts w:ascii="Times New Roman" w:eastAsia="Times New Roman" w:hAnsi="Times New Roman"/>
      <w:b/>
      <w:sz w:val="22"/>
    </w:rPr>
  </w:style>
  <w:style w:type="paragraph" w:styleId="Ttulo">
    <w:name w:val="Title"/>
    <w:basedOn w:val="Normal"/>
    <w:link w:val="TtuloChar"/>
    <w:qFormat/>
    <w:rsid w:val="00613F3D"/>
    <w:pPr>
      <w:widowControl w:val="0"/>
      <w:spacing w:after="0" w:line="320" w:lineRule="exact"/>
      <w:jc w:val="center"/>
    </w:pPr>
    <w:rPr>
      <w:rFonts w:ascii="Times New Roman" w:eastAsia="Times New Roman" w:hAnsi="Times New Roman"/>
      <w:b/>
      <w:sz w:val="24"/>
      <w:szCs w:val="20"/>
      <w:lang w:eastAsia="pt-BR"/>
    </w:rPr>
  </w:style>
  <w:style w:type="character" w:customStyle="1" w:styleId="TtuloChar">
    <w:name w:val="Título Char"/>
    <w:link w:val="Ttulo"/>
    <w:rsid w:val="00613F3D"/>
    <w:rPr>
      <w:rFonts w:ascii="Times New Roman" w:eastAsia="Times New Roman" w:hAnsi="Times New Roman"/>
      <w:b/>
      <w:sz w:val="24"/>
    </w:rPr>
  </w:style>
  <w:style w:type="paragraph" w:styleId="Corpodetexto">
    <w:name w:val="Body Text"/>
    <w:aliases w:val="Corpo de texto Char Char Char Char Char,Corpo de texto Char Char Char Char"/>
    <w:basedOn w:val="Normal"/>
    <w:link w:val="CorpodetextoChar"/>
    <w:rsid w:val="00613F3D"/>
    <w:pPr>
      <w:spacing w:after="0" w:line="240" w:lineRule="auto"/>
      <w:jc w:val="center"/>
    </w:pPr>
    <w:rPr>
      <w:rFonts w:ascii="Times New Roman" w:eastAsia="Times New Roman" w:hAnsi="Times New Roman"/>
      <w:b/>
      <w:sz w:val="28"/>
      <w:szCs w:val="20"/>
      <w:lang w:val="en-AU"/>
    </w:rPr>
  </w:style>
  <w:style w:type="character" w:customStyle="1" w:styleId="CorpodetextoChar">
    <w:name w:val="Corpo de texto Char"/>
    <w:aliases w:val="Corpo de texto Char Char Char Char Char Char,Corpo de texto Char Char Char Char Char1"/>
    <w:link w:val="Corpodetexto"/>
    <w:rsid w:val="00613F3D"/>
    <w:rPr>
      <w:rFonts w:ascii="Times New Roman" w:eastAsia="Times New Roman" w:hAnsi="Times New Roman"/>
      <w:b/>
      <w:sz w:val="28"/>
      <w:lang w:val="en-AU" w:eastAsia="en-US"/>
    </w:rPr>
  </w:style>
  <w:style w:type="paragraph" w:styleId="Recuodecorpodetexto3">
    <w:name w:val="Body Text Indent 3"/>
    <w:basedOn w:val="Normal"/>
    <w:link w:val="Recuodecorpodetexto3Char"/>
    <w:rsid w:val="00613F3D"/>
    <w:pPr>
      <w:widowControl w:val="0"/>
      <w:spacing w:after="0" w:line="240" w:lineRule="auto"/>
      <w:ind w:left="709" w:hanging="709"/>
      <w:jc w:val="both"/>
    </w:pPr>
    <w:rPr>
      <w:rFonts w:ascii="Times New Roman" w:eastAsia="Times New Roman" w:hAnsi="Times New Roman"/>
      <w:szCs w:val="20"/>
      <w:lang w:eastAsia="pt-BR"/>
    </w:rPr>
  </w:style>
  <w:style w:type="character" w:customStyle="1" w:styleId="Recuodecorpodetexto3Char">
    <w:name w:val="Recuo de corpo de texto 3 Char"/>
    <w:link w:val="Recuodecorpodetexto3"/>
    <w:rsid w:val="00613F3D"/>
    <w:rPr>
      <w:rFonts w:ascii="Times New Roman" w:eastAsia="Times New Roman" w:hAnsi="Times New Roman"/>
      <w:sz w:val="22"/>
    </w:rPr>
  </w:style>
  <w:style w:type="paragraph" w:styleId="Corpodetexto3">
    <w:name w:val="Body Text 3"/>
    <w:basedOn w:val="Normal"/>
    <w:link w:val="Corpodetexto3Char"/>
    <w:rsid w:val="00613F3D"/>
    <w:pPr>
      <w:widowControl w:val="0"/>
      <w:spacing w:after="0" w:line="320" w:lineRule="exact"/>
      <w:jc w:val="both"/>
    </w:pPr>
    <w:rPr>
      <w:rFonts w:ascii="Times New Roman" w:eastAsia="Times New Roman" w:hAnsi="Times New Roman"/>
      <w:b/>
      <w:sz w:val="26"/>
      <w:szCs w:val="20"/>
      <w:lang w:eastAsia="pt-BR"/>
    </w:rPr>
  </w:style>
  <w:style w:type="character" w:customStyle="1" w:styleId="Corpodetexto3Char">
    <w:name w:val="Corpo de texto 3 Char"/>
    <w:link w:val="Corpodetexto3"/>
    <w:rsid w:val="00613F3D"/>
    <w:rPr>
      <w:rFonts w:ascii="Times New Roman" w:eastAsia="Times New Roman" w:hAnsi="Times New Roman"/>
      <w:b/>
      <w:sz w:val="26"/>
    </w:rPr>
  </w:style>
  <w:style w:type="paragraph" w:styleId="Corpodetexto2">
    <w:name w:val="Body Text 2"/>
    <w:basedOn w:val="Normal"/>
    <w:link w:val="Corpodetexto2Char"/>
    <w:rsid w:val="00613F3D"/>
    <w:pPr>
      <w:spacing w:after="0" w:line="240" w:lineRule="auto"/>
      <w:jc w:val="both"/>
    </w:pPr>
    <w:rPr>
      <w:rFonts w:ascii="Times New Roman" w:eastAsia="Times New Roman" w:hAnsi="Times New Roman"/>
      <w:szCs w:val="20"/>
      <w:lang w:eastAsia="pt-BR"/>
    </w:rPr>
  </w:style>
  <w:style w:type="character" w:customStyle="1" w:styleId="Corpodetexto2Char">
    <w:name w:val="Corpo de texto 2 Char"/>
    <w:link w:val="Corpodetexto2"/>
    <w:rsid w:val="00613F3D"/>
    <w:rPr>
      <w:rFonts w:ascii="Times New Roman" w:eastAsia="Times New Roman" w:hAnsi="Times New Roman"/>
      <w:sz w:val="22"/>
    </w:rPr>
  </w:style>
  <w:style w:type="paragraph" w:styleId="Recuodecorpodetexto">
    <w:name w:val="Body Text Indent"/>
    <w:basedOn w:val="Normal"/>
    <w:link w:val="RecuodecorpodetextoChar"/>
    <w:rsid w:val="00613F3D"/>
    <w:pPr>
      <w:spacing w:after="0" w:line="240" w:lineRule="auto"/>
      <w:ind w:left="720" w:hanging="720"/>
      <w:jc w:val="both"/>
    </w:pPr>
    <w:rPr>
      <w:rFonts w:ascii="Times New Roman" w:eastAsia="Times New Roman" w:hAnsi="Times New Roman"/>
      <w:szCs w:val="20"/>
      <w:lang w:eastAsia="pt-BR"/>
    </w:rPr>
  </w:style>
  <w:style w:type="character" w:customStyle="1" w:styleId="RecuodecorpodetextoChar">
    <w:name w:val="Recuo de corpo de texto Char"/>
    <w:link w:val="Recuodecorpodetexto"/>
    <w:rsid w:val="00613F3D"/>
    <w:rPr>
      <w:rFonts w:ascii="Times New Roman" w:eastAsia="Times New Roman" w:hAnsi="Times New Roman"/>
      <w:sz w:val="22"/>
    </w:rPr>
  </w:style>
  <w:style w:type="paragraph" w:styleId="Recuodecorpodetexto2">
    <w:name w:val="Body Text Indent 2"/>
    <w:basedOn w:val="Normal"/>
    <w:link w:val="Recuodecorpodetexto2Char"/>
    <w:rsid w:val="00613F3D"/>
    <w:pPr>
      <w:spacing w:after="0" w:line="240" w:lineRule="auto"/>
      <w:ind w:left="720" w:hanging="720"/>
      <w:jc w:val="both"/>
    </w:pPr>
    <w:rPr>
      <w:rFonts w:ascii="Times New Roman" w:eastAsia="Times New Roman" w:hAnsi="Times New Roman"/>
      <w:snapToGrid w:val="0"/>
      <w:color w:val="000000"/>
      <w:szCs w:val="20"/>
    </w:rPr>
  </w:style>
  <w:style w:type="character" w:customStyle="1" w:styleId="Recuodecorpodetexto2Char">
    <w:name w:val="Recuo de corpo de texto 2 Char"/>
    <w:link w:val="Recuodecorpodetexto2"/>
    <w:rsid w:val="00613F3D"/>
    <w:rPr>
      <w:rFonts w:ascii="Times New Roman" w:eastAsia="Times New Roman" w:hAnsi="Times New Roman"/>
      <w:snapToGrid w:val="0"/>
      <w:color w:val="000000"/>
      <w:sz w:val="22"/>
      <w:lang w:eastAsia="en-US"/>
    </w:rPr>
  </w:style>
  <w:style w:type="paragraph" w:styleId="Subttulo">
    <w:name w:val="Subtitle"/>
    <w:basedOn w:val="Normal"/>
    <w:link w:val="SubttuloChar"/>
    <w:qFormat/>
    <w:rsid w:val="00613F3D"/>
    <w:pPr>
      <w:spacing w:after="0" w:line="320" w:lineRule="exact"/>
      <w:ind w:left="720" w:right="656"/>
      <w:jc w:val="center"/>
    </w:pPr>
    <w:rPr>
      <w:rFonts w:ascii="Times New Roman" w:eastAsia="Times New Roman" w:hAnsi="Times New Roman"/>
      <w:b/>
      <w:szCs w:val="20"/>
      <w:lang w:eastAsia="pt-BR"/>
    </w:rPr>
  </w:style>
  <w:style w:type="character" w:customStyle="1" w:styleId="SubttuloChar">
    <w:name w:val="Subtítulo Char"/>
    <w:link w:val="Subttulo"/>
    <w:rsid w:val="00613F3D"/>
    <w:rPr>
      <w:rFonts w:ascii="Times New Roman" w:eastAsia="Times New Roman" w:hAnsi="Times New Roman"/>
      <w:b/>
      <w:sz w:val="22"/>
    </w:rPr>
  </w:style>
  <w:style w:type="paragraph" w:styleId="Textoembloco">
    <w:name w:val="Block Text"/>
    <w:basedOn w:val="Normal"/>
    <w:rsid w:val="00613F3D"/>
    <w:pPr>
      <w:spacing w:after="0" w:line="240" w:lineRule="auto"/>
      <w:ind w:left="1418" w:right="193" w:hanging="709"/>
      <w:jc w:val="both"/>
    </w:pPr>
    <w:rPr>
      <w:rFonts w:ascii="Times New Roman" w:eastAsia="Times New Roman" w:hAnsi="Times New Roman"/>
      <w:szCs w:val="20"/>
      <w:lang w:eastAsia="pt-BR"/>
    </w:rPr>
  </w:style>
  <w:style w:type="paragraph" w:styleId="TextosemFormatao">
    <w:name w:val="Plain Text"/>
    <w:basedOn w:val="Normal"/>
    <w:link w:val="TextosemFormataoChar"/>
    <w:rsid w:val="00613F3D"/>
    <w:pPr>
      <w:spacing w:after="0" w:line="240" w:lineRule="auto"/>
    </w:pPr>
    <w:rPr>
      <w:rFonts w:ascii="Courier New" w:eastAsia="Times New Roman" w:hAnsi="Courier New"/>
      <w:sz w:val="20"/>
      <w:szCs w:val="20"/>
      <w:lang w:eastAsia="pt-BR"/>
    </w:rPr>
  </w:style>
  <w:style w:type="character" w:customStyle="1" w:styleId="TextosemFormataoChar">
    <w:name w:val="Texto sem Formatação Char"/>
    <w:link w:val="TextosemFormatao"/>
    <w:rsid w:val="00613F3D"/>
    <w:rPr>
      <w:rFonts w:ascii="Courier New" w:eastAsia="Times New Roman" w:hAnsi="Courier New"/>
    </w:rPr>
  </w:style>
  <w:style w:type="paragraph" w:styleId="Commarcadores">
    <w:name w:val="List Bullet"/>
    <w:basedOn w:val="Normal"/>
    <w:autoRedefine/>
    <w:rsid w:val="00613F3D"/>
    <w:pPr>
      <w:numPr>
        <w:numId w:val="2"/>
      </w:numPr>
      <w:spacing w:after="0" w:line="240" w:lineRule="auto"/>
    </w:pPr>
    <w:rPr>
      <w:rFonts w:ascii="Times New Roman" w:eastAsia="Times New Roman" w:hAnsi="Times New Roman"/>
      <w:sz w:val="20"/>
      <w:szCs w:val="20"/>
      <w:lang w:eastAsia="pt-BR"/>
    </w:rPr>
  </w:style>
  <w:style w:type="paragraph" w:customStyle="1" w:styleId="Textodebalo1">
    <w:name w:val="Texto de balão1"/>
    <w:basedOn w:val="Normal"/>
    <w:semiHidden/>
    <w:rsid w:val="00613F3D"/>
    <w:pPr>
      <w:spacing w:after="0" w:line="240" w:lineRule="auto"/>
    </w:pPr>
    <w:rPr>
      <w:rFonts w:ascii="Tahoma" w:eastAsia="Times New Roman" w:hAnsi="Tahoma" w:cs="Tahoma"/>
      <w:sz w:val="16"/>
      <w:szCs w:val="16"/>
      <w:lang w:eastAsia="pt-BR"/>
    </w:rPr>
  </w:style>
  <w:style w:type="character" w:styleId="Hyperlink">
    <w:name w:val="Hyperlink"/>
    <w:rsid w:val="00613F3D"/>
    <w:rPr>
      <w:color w:val="0000FF"/>
      <w:u w:val="single"/>
    </w:rPr>
  </w:style>
  <w:style w:type="paragraph" w:styleId="Textodenotaderodap">
    <w:name w:val="footnote text"/>
    <w:basedOn w:val="Normal"/>
    <w:link w:val="TextodenotaderodapChar"/>
    <w:uiPriority w:val="99"/>
    <w:rsid w:val="00613F3D"/>
    <w:pPr>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link w:val="Textodenotaderodap"/>
    <w:uiPriority w:val="99"/>
    <w:rsid w:val="00613F3D"/>
    <w:rPr>
      <w:rFonts w:ascii="Times New Roman" w:eastAsia="Times New Roman" w:hAnsi="Times New Roman"/>
    </w:rPr>
  </w:style>
  <w:style w:type="paragraph" w:styleId="Legenda">
    <w:name w:val="caption"/>
    <w:basedOn w:val="Normal"/>
    <w:next w:val="Normal"/>
    <w:qFormat/>
    <w:rsid w:val="00613F3D"/>
    <w:pPr>
      <w:keepNext/>
      <w:pBdr>
        <w:bottom w:val="single" w:sz="12" w:space="1" w:color="808080"/>
      </w:pBdr>
      <w:spacing w:before="360" w:after="240" w:line="240" w:lineRule="auto"/>
      <w:jc w:val="both"/>
    </w:pPr>
    <w:rPr>
      <w:rFonts w:ascii="Verdana" w:eastAsia="Times New Roman" w:hAnsi="Verdana"/>
      <w:b/>
      <w:color w:val="000000"/>
      <w:lang w:eastAsia="pt-BR"/>
    </w:rPr>
  </w:style>
  <w:style w:type="character" w:styleId="HiperlinkVisitado">
    <w:name w:val="FollowedHyperlink"/>
    <w:rsid w:val="00613F3D"/>
    <w:rPr>
      <w:color w:val="800080"/>
      <w:u w:val="single"/>
    </w:rPr>
  </w:style>
  <w:style w:type="paragraph" w:customStyle="1" w:styleId="Default">
    <w:name w:val="Default"/>
    <w:rsid w:val="00613F3D"/>
    <w:pPr>
      <w:widowControl w:val="0"/>
      <w:autoSpaceDE w:val="0"/>
      <w:autoSpaceDN w:val="0"/>
      <w:adjustRightInd w:val="0"/>
    </w:pPr>
    <w:rPr>
      <w:rFonts w:ascii="Arial" w:eastAsia="Times New Roman" w:hAnsi="Arial" w:cs="Arial"/>
      <w:color w:val="000000"/>
      <w:sz w:val="24"/>
      <w:szCs w:val="24"/>
    </w:rPr>
  </w:style>
  <w:style w:type="paragraph" w:customStyle="1" w:styleId="Corpo">
    <w:name w:val="Corpo"/>
    <w:basedOn w:val="Normal"/>
    <w:rsid w:val="00613F3D"/>
    <w:pPr>
      <w:spacing w:after="0" w:line="240" w:lineRule="auto"/>
      <w:jc w:val="both"/>
    </w:pPr>
    <w:rPr>
      <w:rFonts w:ascii="Times New Roman" w:eastAsia="Times New Roman" w:hAnsi="Times New Roman"/>
      <w:color w:val="000000"/>
      <w:sz w:val="20"/>
      <w:szCs w:val="20"/>
    </w:rPr>
  </w:style>
  <w:style w:type="paragraph" w:customStyle="1" w:styleId="Char">
    <w:name w:val="Char"/>
    <w:basedOn w:val="Normal"/>
    <w:rsid w:val="00613F3D"/>
    <w:pPr>
      <w:spacing w:line="240" w:lineRule="exact"/>
    </w:pPr>
    <w:rPr>
      <w:rFonts w:ascii="Verdana" w:eastAsia="Times New Roman" w:hAnsi="Verdana"/>
      <w:sz w:val="20"/>
      <w:szCs w:val="20"/>
      <w:lang w:val="en-US"/>
    </w:rPr>
  </w:style>
  <w:style w:type="paragraph" w:styleId="Textodebalo">
    <w:name w:val="Balloon Text"/>
    <w:basedOn w:val="Normal"/>
    <w:link w:val="TextodebaloChar"/>
    <w:rsid w:val="00613F3D"/>
    <w:pPr>
      <w:spacing w:after="0" w:line="240" w:lineRule="auto"/>
    </w:pPr>
    <w:rPr>
      <w:rFonts w:ascii="Tahoma" w:eastAsia="Times New Roman" w:hAnsi="Tahoma" w:cs="Tahoma"/>
      <w:sz w:val="16"/>
      <w:szCs w:val="16"/>
      <w:lang w:eastAsia="pt-BR"/>
    </w:rPr>
  </w:style>
  <w:style w:type="character" w:customStyle="1" w:styleId="TextodebaloChar">
    <w:name w:val="Texto de balão Char"/>
    <w:link w:val="Textodebalo"/>
    <w:rsid w:val="00613F3D"/>
    <w:rPr>
      <w:rFonts w:ascii="Tahoma" w:eastAsia="Times New Roman" w:hAnsi="Tahoma" w:cs="Tahoma"/>
      <w:sz w:val="16"/>
      <w:szCs w:val="16"/>
    </w:rPr>
  </w:style>
  <w:style w:type="character" w:styleId="nfase">
    <w:name w:val="Emphasis"/>
    <w:qFormat/>
    <w:rsid w:val="00613F3D"/>
    <w:rPr>
      <w:i/>
      <w:iCs/>
    </w:rPr>
  </w:style>
  <w:style w:type="table" w:styleId="Tabelacomgrade">
    <w:name w:val="Table Grid"/>
    <w:basedOn w:val="Tabelanormal"/>
    <w:rsid w:val="00613F3D"/>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ssuntodocomentrio">
    <w:name w:val="annotation subject"/>
    <w:basedOn w:val="Textodecomentrio"/>
    <w:next w:val="Textodecomentrio"/>
    <w:link w:val="AssuntodocomentrioChar"/>
    <w:semiHidden/>
    <w:rsid w:val="00613F3D"/>
    <w:pPr>
      <w:jc w:val="left"/>
    </w:pPr>
    <w:rPr>
      <w:b/>
      <w:bCs/>
    </w:rPr>
  </w:style>
  <w:style w:type="character" w:customStyle="1" w:styleId="AssuntodocomentrioChar">
    <w:name w:val="Assunto do comentário Char"/>
    <w:link w:val="Assuntodocomentrio"/>
    <w:semiHidden/>
    <w:rsid w:val="00613F3D"/>
    <w:rPr>
      <w:rFonts w:ascii="Times New Roman" w:eastAsia="Times New Roman" w:hAnsi="Times New Roman" w:cs="Times New Roman"/>
      <w:b/>
      <w:bCs/>
      <w:sz w:val="20"/>
      <w:szCs w:val="20"/>
      <w:lang w:eastAsia="pt-BR"/>
    </w:rPr>
  </w:style>
  <w:style w:type="paragraph" w:customStyle="1" w:styleId="Char1">
    <w:name w:val="Char1"/>
    <w:basedOn w:val="Normal"/>
    <w:rsid w:val="00613F3D"/>
    <w:pPr>
      <w:spacing w:line="240" w:lineRule="exact"/>
    </w:pPr>
    <w:rPr>
      <w:rFonts w:ascii="Verdana" w:eastAsia="Times New Roman" w:hAnsi="Verdana"/>
      <w:sz w:val="20"/>
      <w:szCs w:val="20"/>
      <w:lang w:val="en-US"/>
    </w:rPr>
  </w:style>
  <w:style w:type="paragraph" w:customStyle="1" w:styleId="CharCharCharCharCharChar">
    <w:name w:val="Char Char Char Char Char Char"/>
    <w:basedOn w:val="Normal"/>
    <w:rsid w:val="00613F3D"/>
    <w:pPr>
      <w:spacing w:line="240" w:lineRule="exact"/>
    </w:pPr>
    <w:rPr>
      <w:rFonts w:ascii="Verdana" w:eastAsia="MS Mincho" w:hAnsi="Verdana"/>
      <w:sz w:val="20"/>
      <w:szCs w:val="20"/>
      <w:lang w:val="en-US"/>
    </w:rPr>
  </w:style>
  <w:style w:type="paragraph" w:styleId="Textodenotadefim">
    <w:name w:val="endnote text"/>
    <w:basedOn w:val="Normal"/>
    <w:link w:val="TextodenotadefimChar"/>
    <w:uiPriority w:val="99"/>
    <w:unhideWhenUsed/>
    <w:rsid w:val="00613F3D"/>
    <w:pPr>
      <w:spacing w:after="0" w:line="240" w:lineRule="auto"/>
    </w:pPr>
    <w:rPr>
      <w:rFonts w:ascii="Times New Roman" w:eastAsia="Times New Roman" w:hAnsi="Times New Roman"/>
      <w:sz w:val="20"/>
      <w:szCs w:val="20"/>
      <w:lang w:eastAsia="pt-BR"/>
    </w:rPr>
  </w:style>
  <w:style w:type="character" w:customStyle="1" w:styleId="TextodenotadefimChar">
    <w:name w:val="Texto de nota de fim Char"/>
    <w:link w:val="Textodenotadefim"/>
    <w:uiPriority w:val="99"/>
    <w:rsid w:val="00613F3D"/>
    <w:rPr>
      <w:rFonts w:ascii="Times New Roman" w:eastAsia="Times New Roman" w:hAnsi="Times New Roman"/>
    </w:rPr>
  </w:style>
  <w:style w:type="character" w:styleId="Refdenotadefim">
    <w:name w:val="endnote reference"/>
    <w:uiPriority w:val="99"/>
    <w:unhideWhenUsed/>
    <w:rsid w:val="00613F3D"/>
    <w:rPr>
      <w:vertAlign w:val="superscript"/>
    </w:rPr>
  </w:style>
  <w:style w:type="paragraph" w:customStyle="1" w:styleId="msonormal0">
    <w:name w:val="msonormal"/>
    <w:basedOn w:val="Normal"/>
    <w:rsid w:val="00613F3D"/>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Textoembloco1">
    <w:name w:val="Texto em bloco1"/>
    <w:basedOn w:val="Normal"/>
    <w:rsid w:val="00613F3D"/>
    <w:pPr>
      <w:spacing w:after="0" w:line="240" w:lineRule="auto"/>
      <w:ind w:left="1560" w:right="142" w:hanging="426"/>
      <w:jc w:val="both"/>
    </w:pPr>
    <w:rPr>
      <w:rFonts w:ascii="Arial" w:eastAsia="Times New Roman" w:hAnsi="Arial"/>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91379">
      <w:bodyDiv w:val="1"/>
      <w:marLeft w:val="0"/>
      <w:marRight w:val="0"/>
      <w:marTop w:val="0"/>
      <w:marBottom w:val="0"/>
      <w:divBdr>
        <w:top w:val="none" w:sz="0" w:space="0" w:color="auto"/>
        <w:left w:val="none" w:sz="0" w:space="0" w:color="auto"/>
        <w:bottom w:val="none" w:sz="0" w:space="0" w:color="auto"/>
        <w:right w:val="none" w:sz="0" w:space="0" w:color="auto"/>
      </w:divBdr>
    </w:div>
    <w:div w:id="270167529">
      <w:bodyDiv w:val="1"/>
      <w:marLeft w:val="0"/>
      <w:marRight w:val="0"/>
      <w:marTop w:val="0"/>
      <w:marBottom w:val="0"/>
      <w:divBdr>
        <w:top w:val="none" w:sz="0" w:space="0" w:color="auto"/>
        <w:left w:val="none" w:sz="0" w:space="0" w:color="auto"/>
        <w:bottom w:val="none" w:sz="0" w:space="0" w:color="auto"/>
        <w:right w:val="none" w:sz="0" w:space="0" w:color="auto"/>
      </w:divBdr>
    </w:div>
    <w:div w:id="1310554263">
      <w:bodyDiv w:val="1"/>
      <w:marLeft w:val="0"/>
      <w:marRight w:val="0"/>
      <w:marTop w:val="0"/>
      <w:marBottom w:val="0"/>
      <w:divBdr>
        <w:top w:val="none" w:sz="0" w:space="0" w:color="auto"/>
        <w:left w:val="none" w:sz="0" w:space="0" w:color="auto"/>
        <w:bottom w:val="none" w:sz="0" w:space="0" w:color="auto"/>
        <w:right w:val="none" w:sz="0" w:space="0" w:color="auto"/>
      </w:divBdr>
    </w:div>
    <w:div w:id="1602908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C2B56-20B8-4F3D-B267-D2C883BDA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11</Pages>
  <Words>5786</Words>
  <Characters>31246</Characters>
  <Application>Microsoft Office Word</Application>
  <DocSecurity>0</DocSecurity>
  <Lines>260</Lines>
  <Paragraphs>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Eleonara Santos Rocha Felizardo</dc:creator>
  <cp:keywords/>
  <dc:description/>
  <cp:lastModifiedBy>Jaqueline Santos Lima Reis</cp:lastModifiedBy>
  <cp:revision>10</cp:revision>
  <dcterms:created xsi:type="dcterms:W3CDTF">2024-03-27T18:18:00Z</dcterms:created>
  <dcterms:modified xsi:type="dcterms:W3CDTF">2024-04-05T20:28:00Z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684b97d0,3323fee0,1a17ca08</vt:lpwstr>
  </property>
  <property fmtid="{D5CDD505-2E9C-101B-9397-08002B2CF9AE}" pid="3" name="ClassificationContentMarkingHeaderFontProps">
    <vt:lpwstr>#000000,10,Calibri</vt:lpwstr>
  </property>
  <property fmtid="{D5CDD505-2E9C-101B-9397-08002B2CF9AE}" pid="4" name="ClassificationContentMarkingHeaderText">
    <vt:lpwstr>Confidential</vt:lpwstr>
  </property>
  <property fmtid="{D5CDD505-2E9C-101B-9397-08002B2CF9AE}" pid="5" name="MSIP_Label_41b88ec2-a72b-4523-9e84-0458a1764731_Enabled">
    <vt:lpwstr>true</vt:lpwstr>
  </property>
  <property fmtid="{D5CDD505-2E9C-101B-9397-08002B2CF9AE}" pid="6" name="MSIP_Label_41b88ec2-a72b-4523-9e84-0458a1764731_SetDate">
    <vt:lpwstr>2024-04-05T20:28:51Z</vt:lpwstr>
  </property>
  <property fmtid="{D5CDD505-2E9C-101B-9397-08002B2CF9AE}" pid="7" name="MSIP_Label_41b88ec2-a72b-4523-9e84-0458a1764731_Method">
    <vt:lpwstr>Privileged</vt:lpwstr>
  </property>
  <property fmtid="{D5CDD505-2E9C-101B-9397-08002B2CF9AE}" pid="8" name="MSIP_Label_41b88ec2-a72b-4523-9e84-0458a1764731_Name">
    <vt:lpwstr>Public O365</vt:lpwstr>
  </property>
  <property fmtid="{D5CDD505-2E9C-101B-9397-08002B2CF9AE}" pid="9" name="MSIP_Label_41b88ec2-a72b-4523-9e84-0458a1764731_SiteId">
    <vt:lpwstr>35595a02-4d6d-44ac-99e1-f9ab4cd872db</vt:lpwstr>
  </property>
  <property fmtid="{D5CDD505-2E9C-101B-9397-08002B2CF9AE}" pid="10" name="MSIP_Label_41b88ec2-a72b-4523-9e84-0458a1764731_ActionId">
    <vt:lpwstr>bdcc74e8-1e7b-42e6-8db6-f4228b015770</vt:lpwstr>
  </property>
  <property fmtid="{D5CDD505-2E9C-101B-9397-08002B2CF9AE}" pid="11" name="MSIP_Label_41b88ec2-a72b-4523-9e84-0458a1764731_ContentBits">
    <vt:lpwstr>0</vt:lpwstr>
  </property>
</Properties>
</file>