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17EE4" w14:textId="4FB125E9" w:rsidR="00DE329E" w:rsidRPr="00D84901" w:rsidRDefault="00DE329E" w:rsidP="007462F0">
      <w:pPr>
        <w:jc w:val="both"/>
        <w:rPr>
          <w:rFonts w:ascii="Tahoma" w:hAnsi="Tahoma" w:cs="Tahoma"/>
          <w:sz w:val="21"/>
          <w:szCs w:val="21"/>
          <w:lang w:eastAsia="pt-BR"/>
        </w:rPr>
      </w:pPr>
      <w:r w:rsidRPr="00D84901">
        <w:rPr>
          <w:rFonts w:ascii="Tahoma" w:hAnsi="Tahoma" w:cs="Tahoma"/>
          <w:sz w:val="21"/>
          <w:szCs w:val="21"/>
          <w:lang w:eastAsia="pt-BR"/>
        </w:rPr>
        <w:t xml:space="preserve">ANEXO II - O Presente Regulamento é Parte Integrante da Ata de Assembleia Geral de Cotistas do </w:t>
      </w:r>
      <w:r w:rsidR="00111708" w:rsidRPr="00D84901">
        <w:rPr>
          <w:rFonts w:ascii="Tahoma" w:hAnsi="Tahoma" w:cs="Tahoma"/>
          <w:sz w:val="21"/>
          <w:szCs w:val="21"/>
          <w:lang w:eastAsia="pt-BR"/>
        </w:rPr>
        <w:t>SANTANDER PB 80 MULTIMERCADO CRÉDITO PRIVADO FUNDO DE INVESTIMENTO EM COTAS DE FUNDOS DE INVESTIMENTO</w:t>
      </w:r>
      <w:r w:rsidR="00EA60AF" w:rsidRPr="00D84901">
        <w:rPr>
          <w:rFonts w:ascii="Tahoma" w:hAnsi="Tahoma" w:cs="Tahoma"/>
          <w:sz w:val="21"/>
          <w:szCs w:val="21"/>
          <w:lang w:eastAsia="pt-BR"/>
        </w:rPr>
        <w:t xml:space="preserve">, </w:t>
      </w:r>
      <w:r w:rsidRPr="00D84901">
        <w:rPr>
          <w:rFonts w:ascii="Tahoma" w:hAnsi="Tahoma" w:cs="Tahoma"/>
          <w:sz w:val="21"/>
          <w:szCs w:val="21"/>
          <w:lang w:eastAsia="pt-BR"/>
        </w:rPr>
        <w:t xml:space="preserve">realizada em </w:t>
      </w:r>
      <w:r w:rsidR="00F477A3">
        <w:rPr>
          <w:rFonts w:ascii="Tahoma" w:eastAsia="Times New Roman" w:hAnsi="Tahoma" w:cs="Tahoma"/>
          <w:sz w:val="21"/>
          <w:szCs w:val="21"/>
          <w:lang w:eastAsia="pt-BR"/>
        </w:rPr>
        <w:t>02/05/2024</w:t>
      </w:r>
      <w:r w:rsidRPr="00D84901">
        <w:rPr>
          <w:rFonts w:ascii="Tahoma" w:hAnsi="Tahoma" w:cs="Tahoma"/>
          <w:sz w:val="21"/>
          <w:szCs w:val="21"/>
          <w:lang w:eastAsia="pt-BR"/>
        </w:rPr>
        <w:t>.</w:t>
      </w:r>
    </w:p>
    <w:p w14:paraId="715874F6" w14:textId="77777777" w:rsidR="00790583" w:rsidRPr="00D84901" w:rsidRDefault="00790583" w:rsidP="007462F0">
      <w:pPr>
        <w:jc w:val="both"/>
        <w:rPr>
          <w:rFonts w:ascii="Tahoma" w:hAnsi="Tahoma" w:cs="Tahoma"/>
          <w:sz w:val="21"/>
          <w:szCs w:val="21"/>
          <w:lang w:eastAsia="pt-BR"/>
        </w:rPr>
      </w:pPr>
    </w:p>
    <w:p w14:paraId="17F0D346" w14:textId="77777777" w:rsidR="007462F0" w:rsidRPr="00D84901" w:rsidRDefault="007462F0" w:rsidP="007462F0">
      <w:pPr>
        <w:keepNext/>
        <w:spacing w:after="0" w:line="280" w:lineRule="atLeast"/>
        <w:jc w:val="center"/>
        <w:outlineLvl w:val="5"/>
        <w:rPr>
          <w:rFonts w:ascii="Tahoma" w:eastAsia="Times New Roman" w:hAnsi="Tahoma" w:cs="Tahoma"/>
          <w:sz w:val="21"/>
          <w:szCs w:val="21"/>
          <w:lang w:eastAsia="pt-BR"/>
        </w:rPr>
      </w:pPr>
      <w:r w:rsidRPr="00D84901">
        <w:rPr>
          <w:rFonts w:ascii="Tahoma" w:eastAsia="Times New Roman" w:hAnsi="Tahoma" w:cs="Tahoma"/>
          <w:b/>
          <w:sz w:val="21"/>
          <w:szCs w:val="21"/>
          <w:lang w:eastAsia="pt-BR"/>
        </w:rPr>
        <w:t>REGULAMENTO DO</w:t>
      </w:r>
    </w:p>
    <w:p w14:paraId="0CE5E5EC" w14:textId="77777777" w:rsidR="007462F0" w:rsidRPr="00D84901" w:rsidRDefault="007462F0" w:rsidP="007462F0">
      <w:pPr>
        <w:spacing w:after="0" w:line="280" w:lineRule="atLeast"/>
        <w:jc w:val="center"/>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SANTANDER PB 80 MULTIMERCADO CRÉDITO PRIVADO FUNDO DE INVESTIMENTO EM COTAS DE FUNDOS DE INVESTIMENTO</w:t>
      </w:r>
    </w:p>
    <w:p w14:paraId="6AB238C4" w14:textId="77777777" w:rsidR="007462F0" w:rsidRPr="00D84901" w:rsidRDefault="007462F0" w:rsidP="007462F0">
      <w:pPr>
        <w:spacing w:after="0" w:line="280" w:lineRule="atLeast"/>
        <w:jc w:val="center"/>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CNPJ n.º 13.549.284/0001-11</w:t>
      </w:r>
    </w:p>
    <w:p w14:paraId="5238B395" w14:textId="77777777" w:rsidR="007462F0" w:rsidRPr="00D84901" w:rsidRDefault="007462F0" w:rsidP="007462F0">
      <w:pPr>
        <w:spacing w:after="0" w:line="280" w:lineRule="atLeast"/>
        <w:jc w:val="center"/>
        <w:rPr>
          <w:rFonts w:ascii="Tahoma" w:eastAsia="Times New Roman" w:hAnsi="Tahoma" w:cs="Tahoma"/>
          <w:b/>
          <w:sz w:val="21"/>
          <w:szCs w:val="21"/>
          <w:lang w:eastAsia="pt-BR"/>
        </w:rPr>
      </w:pPr>
    </w:p>
    <w:p w14:paraId="644E490C"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2A553D1C" w14:textId="77777777" w:rsidR="007462F0" w:rsidRPr="00D84901" w:rsidRDefault="007462F0" w:rsidP="007462F0">
      <w:pPr>
        <w:pBdr>
          <w:bottom w:val="single" w:sz="6" w:space="1" w:color="auto"/>
        </w:pBdr>
        <w:spacing w:after="0" w:line="280" w:lineRule="atLeast"/>
        <w:jc w:val="center"/>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CLÁUSULA PRIMEIRA – DO FUNDO</w:t>
      </w:r>
    </w:p>
    <w:p w14:paraId="2316164B"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2161FACA" w14:textId="77777777" w:rsidR="007462F0" w:rsidRPr="00D84901" w:rsidRDefault="007462F0" w:rsidP="007462F0">
      <w:pPr>
        <w:spacing w:after="0" w:line="280" w:lineRule="atLeast"/>
        <w:jc w:val="both"/>
        <w:rPr>
          <w:rFonts w:ascii="Tahoma" w:eastAsia="Times New Roman" w:hAnsi="Tahoma" w:cs="Tahoma"/>
          <w:b/>
          <w:color w:val="000000"/>
          <w:sz w:val="21"/>
          <w:szCs w:val="21"/>
          <w:u w:val="single"/>
          <w:lang w:eastAsia="pt-BR"/>
        </w:rPr>
      </w:pPr>
      <w:r w:rsidRPr="00D84901">
        <w:rPr>
          <w:rFonts w:ascii="Tahoma" w:eastAsia="Times New Roman" w:hAnsi="Tahoma" w:cs="Tahoma"/>
          <w:sz w:val="21"/>
          <w:szCs w:val="21"/>
          <w:lang w:eastAsia="pt-BR"/>
        </w:rPr>
        <w:t xml:space="preserve">1.1. </w:t>
      </w:r>
      <w:r w:rsidRPr="00D84901">
        <w:rPr>
          <w:rFonts w:ascii="Tahoma" w:eastAsia="Times New Roman" w:hAnsi="Tahoma" w:cs="Tahoma"/>
          <w:sz w:val="21"/>
          <w:szCs w:val="21"/>
          <w:lang w:eastAsia="pt-BR"/>
        </w:rPr>
        <w:tab/>
        <w:t>O</w:t>
      </w:r>
      <w:r w:rsidRPr="00D84901">
        <w:rPr>
          <w:rFonts w:ascii="Tahoma" w:eastAsia="Times New Roman" w:hAnsi="Tahoma" w:cs="Tahoma"/>
          <w:b/>
          <w:sz w:val="21"/>
          <w:szCs w:val="21"/>
          <w:lang w:eastAsia="pt-BR"/>
        </w:rPr>
        <w:t xml:space="preserve"> SANTANDER PB 80 MULTIMERCADO CRÉDITO PRIVADO FUNDO DE INVESTIMENTO EM COTAS DE FUNDOS DE INVESTIMENTO </w:t>
      </w:r>
      <w:r w:rsidRPr="00D84901">
        <w:rPr>
          <w:rFonts w:ascii="Tahoma" w:eastAsia="Times New Roman" w:hAnsi="Tahoma" w:cs="Tahoma"/>
          <w:sz w:val="21"/>
          <w:szCs w:val="21"/>
          <w:lang w:eastAsia="pt-BR"/>
        </w:rPr>
        <w:t xml:space="preserve">(“FUNDO”) é uma comunhão de recursos, constituído sob a forma de condomínio </w:t>
      </w:r>
      <w:r w:rsidRPr="00D84901">
        <w:rPr>
          <w:rFonts w:ascii="Tahoma" w:eastAsia="Times New Roman" w:hAnsi="Tahoma" w:cs="Tahoma"/>
          <w:color w:val="000000"/>
          <w:sz w:val="21"/>
          <w:szCs w:val="21"/>
          <w:lang w:eastAsia="pt-BR"/>
        </w:rPr>
        <w:t>aberto, com prazo de duração indeterminado (“Prazo de Duração”), sendo regido pelo presente regulamento (“Regulamento”) e pela legislação e regulamentação em vigor.</w:t>
      </w:r>
    </w:p>
    <w:p w14:paraId="46DECC0F"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6C472986" w14:textId="77777777" w:rsidR="007462F0" w:rsidRPr="00D84901" w:rsidRDefault="007462F0" w:rsidP="007462F0">
      <w:pPr>
        <w:pBdr>
          <w:bottom w:val="single" w:sz="6" w:space="1" w:color="auto"/>
        </w:pBdr>
        <w:spacing w:after="0" w:line="280" w:lineRule="atLeast"/>
        <w:jc w:val="center"/>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 xml:space="preserve">CLÁUSULA SEGUNDA – DO </w:t>
      </w:r>
      <w:proofErr w:type="gramStart"/>
      <w:r w:rsidRPr="00D84901">
        <w:rPr>
          <w:rFonts w:ascii="Tahoma" w:eastAsia="Times New Roman" w:hAnsi="Tahoma" w:cs="Tahoma"/>
          <w:b/>
          <w:sz w:val="21"/>
          <w:szCs w:val="21"/>
          <w:lang w:eastAsia="pt-BR"/>
        </w:rPr>
        <w:t>PÚBLICO ALVO</w:t>
      </w:r>
      <w:proofErr w:type="gramEnd"/>
      <w:r w:rsidRPr="00D84901">
        <w:rPr>
          <w:rFonts w:ascii="Tahoma" w:eastAsia="Times New Roman" w:hAnsi="Tahoma" w:cs="Tahoma"/>
          <w:b/>
          <w:sz w:val="21"/>
          <w:szCs w:val="21"/>
          <w:lang w:eastAsia="pt-BR"/>
        </w:rPr>
        <w:t xml:space="preserve"> </w:t>
      </w:r>
    </w:p>
    <w:p w14:paraId="0110DDDD"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7F1C1536"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2.1.</w:t>
      </w:r>
      <w:r w:rsidRPr="00D84901">
        <w:rPr>
          <w:rFonts w:ascii="Tahoma" w:eastAsia="Times New Roman" w:hAnsi="Tahoma" w:cs="Tahoma"/>
          <w:sz w:val="21"/>
          <w:szCs w:val="21"/>
          <w:lang w:eastAsia="pt-BR"/>
        </w:rPr>
        <w:tab/>
        <w:t xml:space="preserve">O FUNDO é destinado a receber aplicações de um grupo reservado de investidores profissionais, assim definidos nos termos da regulamentação em vigor da Comissão de Valores Mobiliários (“Investidores Profissionais” e “CVM”, respectivamente), integrantes do segmento Private Banking do Santander, </w:t>
      </w:r>
      <w:r w:rsidRPr="00D84901">
        <w:rPr>
          <w:rFonts w:ascii="Tahoma" w:eastAsia="Times New Roman" w:hAnsi="Tahoma" w:cs="Tahoma"/>
          <w:bCs/>
          <w:sz w:val="21"/>
          <w:szCs w:val="21"/>
          <w:lang w:eastAsia="pt-BR"/>
        </w:rPr>
        <w:t>a critério do ADMINISTRADOR,</w:t>
      </w:r>
      <w:r w:rsidRPr="00D84901">
        <w:rPr>
          <w:rFonts w:ascii="Tahoma" w:eastAsia="Times New Roman" w:hAnsi="Tahoma" w:cs="Tahoma"/>
          <w:sz w:val="21"/>
          <w:szCs w:val="21"/>
          <w:lang w:eastAsia="pt-BR"/>
        </w:rPr>
        <w:t xml:space="preserve"> que conhecem, entendem e aceitam os riscos descritos neste Regulamento, aos quais os investimentos do FUNDO estão expostos em razão dos mercados de atuação do FUNDO (“Cotistas”).</w:t>
      </w:r>
    </w:p>
    <w:p w14:paraId="7366C615" w14:textId="77777777" w:rsidR="007462F0" w:rsidRPr="00D84901" w:rsidRDefault="007462F0" w:rsidP="007462F0">
      <w:pPr>
        <w:pBdr>
          <w:bottom w:val="single" w:sz="6" w:space="1" w:color="auto"/>
        </w:pBdr>
        <w:spacing w:after="0" w:line="280" w:lineRule="atLeast"/>
        <w:jc w:val="both"/>
        <w:rPr>
          <w:rFonts w:ascii="Tahoma" w:eastAsia="Times New Roman" w:hAnsi="Tahoma" w:cs="Tahoma"/>
          <w:sz w:val="21"/>
          <w:szCs w:val="21"/>
          <w:lang w:eastAsia="pt-BR"/>
        </w:rPr>
      </w:pPr>
    </w:p>
    <w:p w14:paraId="48C9F69C" w14:textId="77777777" w:rsidR="007462F0" w:rsidRPr="00D84901" w:rsidRDefault="007462F0" w:rsidP="007462F0">
      <w:pPr>
        <w:pBdr>
          <w:bottom w:val="single" w:sz="6" w:space="1" w:color="auto"/>
        </w:pBd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2.2.</w:t>
      </w:r>
      <w:r w:rsidRPr="00D84901">
        <w:rPr>
          <w:rFonts w:ascii="Tahoma" w:eastAsia="Times New Roman" w:hAnsi="Tahoma" w:cs="Tahoma"/>
          <w:sz w:val="21"/>
          <w:szCs w:val="21"/>
          <w:lang w:eastAsia="pt-BR"/>
        </w:rPr>
        <w:tab/>
        <w:t xml:space="preserve">O enquadramento dos Cotistas no </w:t>
      </w:r>
      <w:proofErr w:type="gramStart"/>
      <w:r w:rsidRPr="00D84901">
        <w:rPr>
          <w:rFonts w:ascii="Tahoma" w:eastAsia="Times New Roman" w:hAnsi="Tahoma" w:cs="Tahoma"/>
          <w:sz w:val="21"/>
          <w:szCs w:val="21"/>
          <w:lang w:eastAsia="pt-BR"/>
        </w:rPr>
        <w:t>Público Alvo</w:t>
      </w:r>
      <w:proofErr w:type="gramEnd"/>
      <w:r w:rsidRPr="00D84901">
        <w:rPr>
          <w:rFonts w:ascii="Tahoma" w:eastAsia="Times New Roman" w:hAnsi="Tahoma" w:cs="Tahoma"/>
          <w:sz w:val="21"/>
          <w:szCs w:val="21"/>
          <w:lang w:eastAsia="pt-BR"/>
        </w:rPr>
        <w:t xml:space="preserve"> descrito no item anterior será verificado pelo distribuidor das cotas do FUNDO, no ato do ingresso do Cotista.</w:t>
      </w:r>
    </w:p>
    <w:p w14:paraId="07069691" w14:textId="77777777" w:rsidR="007462F0" w:rsidRPr="00D84901" w:rsidRDefault="007462F0" w:rsidP="007462F0">
      <w:pPr>
        <w:pBdr>
          <w:bottom w:val="single" w:sz="6" w:space="1" w:color="auto"/>
        </w:pBdr>
        <w:spacing w:after="0" w:line="280" w:lineRule="atLeast"/>
        <w:jc w:val="both"/>
        <w:rPr>
          <w:rFonts w:ascii="Tahoma" w:eastAsia="Times New Roman" w:hAnsi="Tahoma" w:cs="Tahoma"/>
          <w:sz w:val="21"/>
          <w:szCs w:val="21"/>
          <w:lang w:eastAsia="pt-BR"/>
        </w:rPr>
      </w:pPr>
    </w:p>
    <w:p w14:paraId="22CAEEA0" w14:textId="77777777" w:rsidR="007462F0" w:rsidRPr="00D84901" w:rsidRDefault="007462F0" w:rsidP="007462F0">
      <w:pPr>
        <w:pBdr>
          <w:bottom w:val="single" w:sz="6" w:space="1" w:color="auto"/>
        </w:pBdr>
        <w:spacing w:after="0" w:line="280" w:lineRule="atLeast"/>
        <w:jc w:val="center"/>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CLÁUSULA TERCEIRA – DO OBJETIVO E DA POLÍTICA DE INVESTIMENTO</w:t>
      </w:r>
    </w:p>
    <w:p w14:paraId="5E314192"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22AD68E4" w14:textId="77777777" w:rsidR="007462F0" w:rsidRPr="00D84901" w:rsidRDefault="007462F0" w:rsidP="007462F0">
      <w:pPr>
        <w:spacing w:after="0" w:line="240" w:lineRule="auto"/>
        <w:jc w:val="both"/>
        <w:rPr>
          <w:rFonts w:ascii="Tahoma" w:eastAsia="Times New Roman" w:hAnsi="Tahoma" w:cs="Tahoma"/>
          <w:color w:val="000000"/>
          <w:sz w:val="21"/>
          <w:szCs w:val="21"/>
          <w:lang w:eastAsia="pt-BR"/>
        </w:rPr>
      </w:pPr>
      <w:r w:rsidRPr="00D84901">
        <w:rPr>
          <w:rFonts w:ascii="Tahoma" w:eastAsia="Times New Roman" w:hAnsi="Tahoma" w:cs="Tahoma"/>
          <w:sz w:val="21"/>
          <w:szCs w:val="21"/>
          <w:lang w:eastAsia="pt-BR"/>
        </w:rPr>
        <w:t xml:space="preserve">3.1. </w:t>
      </w:r>
      <w:r w:rsidRPr="00D84901">
        <w:rPr>
          <w:rFonts w:ascii="Tahoma" w:eastAsia="Times New Roman" w:hAnsi="Tahoma" w:cs="Tahoma"/>
          <w:color w:val="000000"/>
          <w:sz w:val="21"/>
          <w:szCs w:val="21"/>
          <w:lang w:eastAsia="pt-BR"/>
        </w:rPr>
        <w:t>O FUNDO tem por objetivo investir em ativos financeiros e/ou modalidades operacionais</w:t>
      </w:r>
      <w:r w:rsidRPr="00D84901">
        <w:rPr>
          <w:rFonts w:ascii="Tahoma" w:eastAsia="Times New Roman" w:hAnsi="Tahoma" w:cs="Tahoma"/>
          <w:sz w:val="21"/>
          <w:szCs w:val="21"/>
          <w:lang w:eastAsia="pt-BR"/>
        </w:rPr>
        <w:t xml:space="preserve"> </w:t>
      </w:r>
      <w:r w:rsidRPr="00D84901">
        <w:rPr>
          <w:rFonts w:ascii="Tahoma" w:eastAsia="Times New Roman" w:hAnsi="Tahoma" w:cs="Tahoma"/>
          <w:color w:val="000000"/>
          <w:sz w:val="21"/>
          <w:szCs w:val="21"/>
          <w:lang w:eastAsia="pt-BR"/>
        </w:rPr>
        <w:t xml:space="preserve">que envolvam diversos fatores de risco, sem o compromisso de concentração em nenhum fator em especial, por meio da aplicação de seus recursos, preponderantemente, em cotas de fundos de investimento e/ou fundos de investimento em cotas de fundos de investimento (“Fundos Investidos”). </w:t>
      </w:r>
    </w:p>
    <w:p w14:paraId="719DA70D" w14:textId="77777777" w:rsidR="007462F0" w:rsidRPr="00D84901" w:rsidRDefault="007462F0" w:rsidP="007462F0">
      <w:pPr>
        <w:spacing w:after="0" w:line="240" w:lineRule="auto"/>
        <w:jc w:val="both"/>
        <w:rPr>
          <w:rFonts w:ascii="Tahoma" w:eastAsia="Times New Roman" w:hAnsi="Tahoma" w:cs="Tahoma"/>
          <w:color w:val="000000"/>
          <w:sz w:val="21"/>
          <w:szCs w:val="21"/>
          <w:lang w:eastAsia="pt-BR"/>
        </w:rPr>
      </w:pPr>
    </w:p>
    <w:p w14:paraId="481E8EB7" w14:textId="77777777" w:rsidR="007462F0" w:rsidRPr="00D84901" w:rsidRDefault="007462F0" w:rsidP="007462F0">
      <w:pPr>
        <w:spacing w:after="0" w:line="240" w:lineRule="auto"/>
        <w:jc w:val="both"/>
        <w:rPr>
          <w:rFonts w:ascii="Tahoma" w:eastAsia="Times New Roman" w:hAnsi="Tahoma" w:cs="Tahoma"/>
          <w:color w:val="000000"/>
          <w:sz w:val="21"/>
          <w:szCs w:val="21"/>
          <w:lang w:eastAsia="pt-BR"/>
        </w:rPr>
      </w:pPr>
      <w:r w:rsidRPr="00D84901">
        <w:rPr>
          <w:rFonts w:ascii="Tahoma" w:eastAsia="Times New Roman" w:hAnsi="Tahoma" w:cs="Tahoma"/>
          <w:color w:val="000000"/>
          <w:sz w:val="21"/>
          <w:szCs w:val="21"/>
          <w:lang w:eastAsia="pt-BR"/>
        </w:rPr>
        <w:t>3.1.1. Tal objetivo de investimento não constitui garantia ou promessa de rentabilidade pelo ADMINISTRADOR e pelo GESTOR.</w:t>
      </w:r>
    </w:p>
    <w:p w14:paraId="5755D906" w14:textId="77777777" w:rsidR="007462F0" w:rsidRPr="00D84901" w:rsidRDefault="007462F0" w:rsidP="007462F0">
      <w:pPr>
        <w:spacing w:after="0" w:line="240" w:lineRule="auto"/>
        <w:jc w:val="both"/>
        <w:rPr>
          <w:rFonts w:ascii="Tahoma" w:eastAsia="Times New Roman" w:hAnsi="Tahoma" w:cs="Tahoma"/>
          <w:color w:val="000000"/>
          <w:sz w:val="21"/>
          <w:szCs w:val="21"/>
          <w:lang w:eastAsia="pt-BR"/>
        </w:rPr>
      </w:pPr>
    </w:p>
    <w:p w14:paraId="13738D27" w14:textId="77777777" w:rsidR="007462F0" w:rsidRPr="00D84901" w:rsidRDefault="007462F0" w:rsidP="007462F0">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3.2. Para atingir o objetivo de investimento descrito acima, o FUNDO alocará seus recursos de acordo com as regras e limites previstos nos quadros a seguir:</w:t>
      </w:r>
    </w:p>
    <w:p w14:paraId="52FAE011" w14:textId="77777777" w:rsidR="007462F0" w:rsidRPr="00D84901" w:rsidRDefault="007462F0" w:rsidP="007462F0">
      <w:pPr>
        <w:spacing w:after="0" w:line="240" w:lineRule="auto"/>
        <w:jc w:val="both"/>
        <w:rPr>
          <w:rFonts w:ascii="Tahoma" w:eastAsia="Times New Roman" w:hAnsi="Tahoma" w:cs="Tahoma"/>
          <w:sz w:val="21"/>
          <w:szCs w:val="21"/>
          <w:lang w:eastAsia="pt-BR"/>
        </w:rPr>
      </w:pPr>
    </w:p>
    <w:p w14:paraId="7D72D047" w14:textId="77777777" w:rsidR="007462F0" w:rsidRPr="00D84901" w:rsidRDefault="007462F0" w:rsidP="007462F0">
      <w:pPr>
        <w:spacing w:after="0" w:line="240" w:lineRule="auto"/>
        <w:jc w:val="both"/>
        <w:rPr>
          <w:rFonts w:ascii="Tahoma" w:eastAsia="Times New Roman" w:hAnsi="Tahoma" w:cs="Tahoma"/>
          <w:sz w:val="21"/>
          <w:szCs w:val="21"/>
          <w:lang w:eastAsia="pt-BR"/>
        </w:rPr>
      </w:pPr>
    </w:p>
    <w:tbl>
      <w:tblPr>
        <w:tblpPr w:leftFromText="141" w:rightFromText="141" w:vertAnchor="text" w:horzAnchor="margin" w:tblpY="176"/>
        <w:tblW w:w="9634" w:type="dxa"/>
        <w:tblCellMar>
          <w:left w:w="70" w:type="dxa"/>
          <w:right w:w="70" w:type="dxa"/>
        </w:tblCellMar>
        <w:tblLook w:val="04A0" w:firstRow="1" w:lastRow="0" w:firstColumn="1" w:lastColumn="0" w:noHBand="0" w:noVBand="1"/>
      </w:tblPr>
      <w:tblGrid>
        <w:gridCol w:w="1413"/>
        <w:gridCol w:w="5103"/>
        <w:gridCol w:w="1559"/>
        <w:gridCol w:w="1559"/>
      </w:tblGrid>
      <w:tr w:rsidR="007462F0" w:rsidRPr="00D84901" w14:paraId="1D440555" w14:textId="77777777" w:rsidTr="00522B86">
        <w:trPr>
          <w:trHeight w:val="283"/>
        </w:trPr>
        <w:tc>
          <w:tcPr>
            <w:tcW w:w="6516" w:type="dxa"/>
            <w:gridSpan w:val="2"/>
            <w:vMerge w:val="restart"/>
            <w:tcBorders>
              <w:top w:val="single" w:sz="4" w:space="0" w:color="auto"/>
              <w:left w:val="single" w:sz="4" w:space="0" w:color="auto"/>
              <w:right w:val="single" w:sz="4" w:space="0" w:color="auto"/>
            </w:tcBorders>
            <w:shd w:val="clear" w:color="auto" w:fill="D9D9D9"/>
            <w:vAlign w:val="center"/>
          </w:tcPr>
          <w:p w14:paraId="38AD2768" w14:textId="77777777" w:rsidR="007462F0" w:rsidRPr="00D84901" w:rsidRDefault="007462F0" w:rsidP="00522B86">
            <w:pPr>
              <w:spacing w:after="0" w:line="240" w:lineRule="auto"/>
              <w:jc w:val="center"/>
              <w:rPr>
                <w:rFonts w:ascii="Tahoma" w:eastAsia="Times New Roman" w:hAnsi="Tahoma" w:cs="Tahoma"/>
                <w:b/>
                <w:bCs/>
                <w:color w:val="000000"/>
                <w:sz w:val="21"/>
                <w:szCs w:val="21"/>
                <w:lang w:eastAsia="pt-BR"/>
              </w:rPr>
            </w:pPr>
            <w:r w:rsidRPr="00D84901">
              <w:rPr>
                <w:rFonts w:ascii="Tahoma" w:eastAsia="Times New Roman" w:hAnsi="Tahoma" w:cs="Tahoma"/>
                <w:b/>
                <w:bCs/>
                <w:color w:val="000000"/>
                <w:sz w:val="21"/>
                <w:szCs w:val="21"/>
                <w:lang w:eastAsia="pt-BR"/>
              </w:rPr>
              <w:t>COMPOSIÇÃO DA CARTEIRA DO FUNDO (“CARTEIRA”)</w:t>
            </w:r>
          </w:p>
        </w:tc>
        <w:tc>
          <w:tcPr>
            <w:tcW w:w="3118"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65CDA51C" w14:textId="77777777" w:rsidR="007462F0" w:rsidRPr="00D84901" w:rsidRDefault="007462F0" w:rsidP="00522B86">
            <w:pPr>
              <w:spacing w:after="0" w:line="240" w:lineRule="auto"/>
              <w:jc w:val="center"/>
              <w:rPr>
                <w:rFonts w:ascii="Tahoma" w:eastAsia="Times New Roman" w:hAnsi="Tahoma" w:cs="Tahoma"/>
                <w:sz w:val="21"/>
                <w:szCs w:val="21"/>
                <w:lang w:eastAsia="pt-BR"/>
              </w:rPr>
            </w:pPr>
            <w:r w:rsidRPr="00D84901">
              <w:rPr>
                <w:rFonts w:ascii="Tahoma" w:eastAsia="Times New Roman" w:hAnsi="Tahoma" w:cs="Tahoma"/>
                <w:b/>
                <w:bCs/>
                <w:color w:val="000000"/>
                <w:sz w:val="21"/>
                <w:szCs w:val="21"/>
                <w:lang w:eastAsia="pt-BR"/>
              </w:rPr>
              <w:t>% do PL</w:t>
            </w:r>
          </w:p>
        </w:tc>
      </w:tr>
      <w:tr w:rsidR="007462F0" w:rsidRPr="00D84901" w14:paraId="293F751B" w14:textId="77777777" w:rsidTr="00522B86">
        <w:trPr>
          <w:trHeight w:val="283"/>
        </w:trPr>
        <w:tc>
          <w:tcPr>
            <w:tcW w:w="6516" w:type="dxa"/>
            <w:gridSpan w:val="2"/>
            <w:vMerge/>
            <w:tcBorders>
              <w:left w:val="single" w:sz="4" w:space="0" w:color="auto"/>
              <w:bottom w:val="single" w:sz="4" w:space="0" w:color="auto"/>
              <w:right w:val="single" w:sz="4" w:space="0" w:color="auto"/>
            </w:tcBorders>
            <w:shd w:val="clear" w:color="auto" w:fill="D9D9D9"/>
          </w:tcPr>
          <w:p w14:paraId="558D3F68" w14:textId="77777777" w:rsidR="007462F0" w:rsidRPr="00D84901" w:rsidRDefault="007462F0" w:rsidP="00522B86">
            <w:pPr>
              <w:spacing w:after="0" w:line="240" w:lineRule="auto"/>
              <w:jc w:val="center"/>
              <w:rPr>
                <w:rFonts w:ascii="Tahoma" w:eastAsia="Times New Roman" w:hAnsi="Tahoma" w:cs="Tahoma"/>
                <w:b/>
                <w:bCs/>
                <w:color w:val="000000"/>
                <w:sz w:val="21"/>
                <w:szCs w:val="21"/>
                <w:lang w:eastAsia="pt-BR"/>
              </w:rPr>
            </w:pPr>
          </w:p>
        </w:tc>
        <w:tc>
          <w:tcPr>
            <w:tcW w:w="1559" w:type="dxa"/>
            <w:tcBorders>
              <w:top w:val="single" w:sz="4" w:space="0" w:color="auto"/>
              <w:left w:val="nil"/>
              <w:bottom w:val="single" w:sz="4" w:space="0" w:color="auto"/>
              <w:right w:val="single" w:sz="4" w:space="0" w:color="auto"/>
            </w:tcBorders>
            <w:shd w:val="clear" w:color="auto" w:fill="D9D9D9"/>
            <w:noWrap/>
            <w:vAlign w:val="center"/>
            <w:hideMark/>
          </w:tcPr>
          <w:p w14:paraId="26C65518" w14:textId="77777777" w:rsidR="007462F0" w:rsidRPr="00D84901" w:rsidRDefault="007462F0" w:rsidP="00522B86">
            <w:pPr>
              <w:spacing w:after="0" w:line="240" w:lineRule="auto"/>
              <w:jc w:val="center"/>
              <w:rPr>
                <w:rFonts w:ascii="Tahoma" w:eastAsia="Times New Roman" w:hAnsi="Tahoma" w:cs="Tahoma"/>
                <w:b/>
                <w:bCs/>
                <w:color w:val="000000"/>
                <w:sz w:val="21"/>
                <w:szCs w:val="21"/>
                <w:lang w:eastAsia="pt-BR"/>
              </w:rPr>
            </w:pPr>
            <w:r w:rsidRPr="00D84901">
              <w:rPr>
                <w:rFonts w:ascii="Tahoma" w:eastAsia="Times New Roman" w:hAnsi="Tahoma" w:cs="Tahoma"/>
                <w:b/>
                <w:bCs/>
                <w:color w:val="000000"/>
                <w:sz w:val="21"/>
                <w:szCs w:val="21"/>
                <w:lang w:eastAsia="pt-BR"/>
              </w:rPr>
              <w:t>Mín.</w:t>
            </w:r>
          </w:p>
        </w:tc>
        <w:tc>
          <w:tcPr>
            <w:tcW w:w="1559"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1BB4B2B" w14:textId="77777777" w:rsidR="007462F0" w:rsidRPr="00D84901" w:rsidRDefault="007462F0" w:rsidP="00522B86">
            <w:pPr>
              <w:spacing w:after="0" w:line="240" w:lineRule="auto"/>
              <w:jc w:val="center"/>
              <w:rPr>
                <w:rFonts w:ascii="Tahoma" w:eastAsia="Times New Roman" w:hAnsi="Tahoma" w:cs="Tahoma"/>
                <w:sz w:val="21"/>
                <w:szCs w:val="21"/>
                <w:lang w:eastAsia="pt-BR"/>
              </w:rPr>
            </w:pPr>
            <w:r w:rsidRPr="00D84901">
              <w:rPr>
                <w:rFonts w:ascii="Tahoma" w:eastAsia="Times New Roman" w:hAnsi="Tahoma" w:cs="Tahoma"/>
                <w:b/>
                <w:bCs/>
                <w:color w:val="000000"/>
                <w:sz w:val="21"/>
                <w:szCs w:val="21"/>
                <w:lang w:eastAsia="pt-BR"/>
              </w:rPr>
              <w:t>Máx.</w:t>
            </w:r>
          </w:p>
        </w:tc>
      </w:tr>
      <w:tr w:rsidR="007462F0" w:rsidRPr="00D84901" w14:paraId="169A25E0" w14:textId="77777777" w:rsidTr="00522B86">
        <w:trPr>
          <w:trHeight w:val="283"/>
        </w:trPr>
        <w:tc>
          <w:tcPr>
            <w:tcW w:w="6516" w:type="dxa"/>
            <w:gridSpan w:val="2"/>
            <w:tcBorders>
              <w:top w:val="nil"/>
              <w:left w:val="single" w:sz="4" w:space="0" w:color="auto"/>
              <w:bottom w:val="single" w:sz="4" w:space="0" w:color="auto"/>
              <w:right w:val="single" w:sz="4" w:space="0" w:color="auto"/>
            </w:tcBorders>
          </w:tcPr>
          <w:p w14:paraId="027C6767" w14:textId="77777777" w:rsidR="007462F0" w:rsidRPr="00D84901" w:rsidRDefault="007462F0" w:rsidP="00522B86">
            <w:pPr>
              <w:spacing w:after="0" w:line="240" w:lineRule="auto"/>
              <w:jc w:val="both"/>
              <w:rPr>
                <w:rFonts w:ascii="Tahoma" w:eastAsia="Times New Roman" w:hAnsi="Tahoma" w:cs="Tahoma"/>
                <w:color w:val="000000"/>
                <w:sz w:val="21"/>
                <w:szCs w:val="21"/>
                <w:lang w:eastAsia="pt-BR"/>
              </w:rPr>
            </w:pPr>
            <w:r w:rsidRPr="00D84901">
              <w:rPr>
                <w:rFonts w:ascii="Tahoma" w:eastAsia="Times New Roman" w:hAnsi="Tahoma" w:cs="Tahoma"/>
                <w:sz w:val="21"/>
                <w:szCs w:val="21"/>
                <w:lang w:eastAsia="pt-BR"/>
              </w:rPr>
              <w:t>Cotas de fundos de investimento e cotas de fundos de investimento em cotas de qualquer classe CVM, desde que registrados no âmbito da Instrução CVM 555, de 17 de dezembro de 2014 (“Instrução CVM 555”) e cotas de fundos de índice (“Fundos Investidos”)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9977EAE" w14:textId="77777777" w:rsidR="007462F0" w:rsidRPr="00D84901" w:rsidRDefault="007462F0" w:rsidP="00522B86">
            <w:pPr>
              <w:spacing w:after="0" w:line="240" w:lineRule="auto"/>
              <w:jc w:val="center"/>
              <w:rPr>
                <w:rFonts w:ascii="Tahoma" w:eastAsia="Times New Roman" w:hAnsi="Tahoma" w:cs="Tahoma"/>
                <w:b/>
                <w:color w:val="000000"/>
                <w:sz w:val="21"/>
                <w:szCs w:val="21"/>
                <w:lang w:eastAsia="pt-BR"/>
              </w:rPr>
            </w:pPr>
            <w:r w:rsidRPr="00D84901">
              <w:rPr>
                <w:rFonts w:ascii="Tahoma" w:eastAsia="Times New Roman" w:hAnsi="Tahoma" w:cs="Tahoma"/>
                <w:b/>
                <w:color w:val="000000"/>
                <w:sz w:val="21"/>
                <w:szCs w:val="21"/>
                <w:lang w:eastAsia="pt-BR"/>
              </w:rPr>
              <w:t>95%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3D61E" w14:textId="77777777" w:rsidR="007462F0" w:rsidRPr="00D84901" w:rsidRDefault="007462F0" w:rsidP="00522B86">
            <w:pPr>
              <w:spacing w:after="0" w:line="240" w:lineRule="auto"/>
              <w:jc w:val="center"/>
              <w:rPr>
                <w:rFonts w:ascii="Tahoma" w:eastAsia="Times New Roman" w:hAnsi="Tahoma" w:cs="Tahoma"/>
                <w:b/>
                <w:sz w:val="21"/>
                <w:szCs w:val="21"/>
                <w:lang w:eastAsia="pt-BR"/>
              </w:rPr>
            </w:pPr>
            <w:r w:rsidRPr="00D84901">
              <w:rPr>
                <w:rFonts w:ascii="Tahoma" w:eastAsia="Times New Roman" w:hAnsi="Tahoma" w:cs="Tahoma"/>
                <w:b/>
                <w:color w:val="000000"/>
                <w:sz w:val="21"/>
                <w:szCs w:val="21"/>
                <w:lang w:eastAsia="pt-BR"/>
              </w:rPr>
              <w:t>100%</w:t>
            </w:r>
          </w:p>
        </w:tc>
      </w:tr>
      <w:tr w:rsidR="007462F0" w:rsidRPr="00D84901" w14:paraId="04DCB016" w14:textId="77777777" w:rsidTr="00522B86">
        <w:trPr>
          <w:trHeight w:val="283"/>
        </w:trPr>
        <w:tc>
          <w:tcPr>
            <w:tcW w:w="1413" w:type="dxa"/>
            <w:vMerge w:val="restart"/>
            <w:tcBorders>
              <w:top w:val="nil"/>
              <w:left w:val="single" w:sz="4" w:space="0" w:color="auto"/>
              <w:right w:val="single" w:sz="4" w:space="0" w:color="auto"/>
            </w:tcBorders>
            <w:vAlign w:val="center"/>
          </w:tcPr>
          <w:p w14:paraId="32ABC836" w14:textId="77777777" w:rsidR="007462F0" w:rsidRPr="00D84901" w:rsidRDefault="007462F0" w:rsidP="00522B86">
            <w:pPr>
              <w:spacing w:after="0" w:line="240" w:lineRule="auto"/>
              <w:jc w:val="center"/>
              <w:rPr>
                <w:rFonts w:ascii="Tahoma" w:eastAsia="Times New Roman" w:hAnsi="Tahoma" w:cs="Tahoma"/>
                <w:sz w:val="21"/>
                <w:szCs w:val="21"/>
                <w:lang w:eastAsia="pt-BR"/>
              </w:rPr>
            </w:pPr>
            <w:r w:rsidRPr="00D84901">
              <w:rPr>
                <w:rFonts w:ascii="Tahoma" w:eastAsia="Times New Roman" w:hAnsi="Tahoma" w:cs="Tahoma"/>
                <w:sz w:val="21"/>
                <w:szCs w:val="21"/>
                <w:lang w:eastAsia="pt-BR"/>
              </w:rPr>
              <w:t>Dentro do limite previsto na linha acima</w:t>
            </w:r>
          </w:p>
        </w:tc>
        <w:tc>
          <w:tcPr>
            <w:tcW w:w="5103" w:type="dxa"/>
            <w:tcBorders>
              <w:top w:val="nil"/>
              <w:left w:val="single" w:sz="4" w:space="0" w:color="auto"/>
              <w:bottom w:val="single" w:sz="4" w:space="0" w:color="auto"/>
              <w:right w:val="single" w:sz="4" w:space="0" w:color="auto"/>
            </w:tcBorders>
            <w:shd w:val="clear" w:color="auto" w:fill="auto"/>
            <w:vAlign w:val="center"/>
          </w:tcPr>
          <w:p w14:paraId="032C7E30" w14:textId="77777777" w:rsidR="007462F0" w:rsidRPr="00D84901" w:rsidRDefault="007462F0" w:rsidP="00522B86">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 xml:space="preserve">Cotas de Fundos de Investimento Imobiliário - FII, </w:t>
            </w:r>
            <w:r w:rsidRPr="00D84901">
              <w:rPr>
                <w:rFonts w:ascii="Tahoma" w:eastAsia="Times New Roman" w:hAnsi="Tahoma" w:cs="Tahoma"/>
                <w:color w:val="000000"/>
                <w:sz w:val="21"/>
                <w:szCs w:val="21"/>
                <w:lang w:eastAsia="pt-BR"/>
              </w:rPr>
              <w:t xml:space="preserve">Fundos de Investimento em Direitos Creditórios - FIDC Fundos de Investimento em Cotas de Fundos de Investimento em Direitos Creditórios – FICFIDC e Fundos de Investimento em Participações – FIP </w:t>
            </w:r>
          </w:p>
        </w:tc>
        <w:tc>
          <w:tcPr>
            <w:tcW w:w="1559" w:type="dxa"/>
            <w:vMerge w:val="restart"/>
            <w:tcBorders>
              <w:top w:val="single" w:sz="4" w:space="0" w:color="auto"/>
              <w:left w:val="nil"/>
              <w:right w:val="single" w:sz="4" w:space="0" w:color="auto"/>
            </w:tcBorders>
            <w:shd w:val="clear" w:color="auto" w:fill="auto"/>
            <w:noWrap/>
            <w:vAlign w:val="center"/>
          </w:tcPr>
          <w:p w14:paraId="5CF19E40" w14:textId="77777777" w:rsidR="007462F0" w:rsidRPr="00D84901" w:rsidRDefault="007462F0" w:rsidP="00522B86">
            <w:pPr>
              <w:spacing w:after="0" w:line="240" w:lineRule="auto"/>
              <w:jc w:val="center"/>
              <w:rPr>
                <w:rFonts w:ascii="Tahoma" w:eastAsia="Times New Roman" w:hAnsi="Tahoma" w:cs="Tahoma"/>
                <w:b/>
                <w:color w:val="000000"/>
                <w:sz w:val="21"/>
                <w:szCs w:val="21"/>
                <w:lang w:eastAsia="pt-BR"/>
              </w:rPr>
            </w:pPr>
            <w:r w:rsidRPr="00D84901">
              <w:rPr>
                <w:rFonts w:ascii="Tahoma" w:eastAsia="Times New Roman" w:hAnsi="Tahoma" w:cs="Tahoma"/>
                <w:b/>
                <w:color w:val="000000"/>
                <w:sz w:val="21"/>
                <w:szCs w:val="21"/>
                <w:lang w:eastAsia="pt-BR"/>
              </w:rPr>
              <w:t>0%</w:t>
            </w:r>
          </w:p>
        </w:tc>
        <w:tc>
          <w:tcPr>
            <w:tcW w:w="1559" w:type="dxa"/>
            <w:vMerge w:val="restart"/>
            <w:tcBorders>
              <w:top w:val="single" w:sz="4" w:space="0" w:color="auto"/>
              <w:left w:val="single" w:sz="4" w:space="0" w:color="auto"/>
              <w:right w:val="single" w:sz="4" w:space="0" w:color="auto"/>
            </w:tcBorders>
            <w:shd w:val="clear" w:color="auto" w:fill="auto"/>
            <w:noWrap/>
            <w:vAlign w:val="center"/>
          </w:tcPr>
          <w:p w14:paraId="3C50DA8A" w14:textId="77777777" w:rsidR="007462F0" w:rsidRPr="00D84901" w:rsidRDefault="007462F0" w:rsidP="00522B86">
            <w:pPr>
              <w:spacing w:after="0" w:line="240" w:lineRule="auto"/>
              <w:jc w:val="center"/>
              <w:rPr>
                <w:rFonts w:ascii="Tahoma" w:eastAsia="Times New Roman" w:hAnsi="Tahoma" w:cs="Tahoma"/>
                <w:b/>
                <w:color w:val="000000"/>
                <w:sz w:val="21"/>
                <w:szCs w:val="21"/>
                <w:lang w:eastAsia="pt-BR"/>
              </w:rPr>
            </w:pPr>
            <w:r w:rsidRPr="00D84901">
              <w:rPr>
                <w:rFonts w:ascii="Tahoma" w:eastAsia="Times New Roman" w:hAnsi="Tahoma" w:cs="Tahoma"/>
                <w:b/>
                <w:color w:val="000000"/>
                <w:sz w:val="21"/>
                <w:szCs w:val="21"/>
                <w:lang w:eastAsia="pt-BR"/>
              </w:rPr>
              <w:t>100%</w:t>
            </w:r>
          </w:p>
        </w:tc>
      </w:tr>
      <w:tr w:rsidR="007462F0" w:rsidRPr="00D84901" w14:paraId="41CA7CE0" w14:textId="77777777" w:rsidTr="00522B86">
        <w:trPr>
          <w:trHeight w:val="283"/>
        </w:trPr>
        <w:tc>
          <w:tcPr>
            <w:tcW w:w="1413" w:type="dxa"/>
            <w:vMerge/>
            <w:tcBorders>
              <w:left w:val="single" w:sz="4" w:space="0" w:color="auto"/>
              <w:right w:val="single" w:sz="4" w:space="0" w:color="auto"/>
            </w:tcBorders>
          </w:tcPr>
          <w:p w14:paraId="215BE834" w14:textId="77777777" w:rsidR="007462F0" w:rsidRPr="00D84901" w:rsidRDefault="007462F0" w:rsidP="00522B86">
            <w:pPr>
              <w:spacing w:after="0" w:line="240" w:lineRule="auto"/>
              <w:rPr>
                <w:rFonts w:ascii="Tahoma" w:eastAsia="Times New Roman" w:hAnsi="Tahoma" w:cs="Tahoma"/>
                <w:color w:val="000000"/>
                <w:sz w:val="21"/>
                <w:szCs w:val="21"/>
                <w:lang w:eastAsia="pt-BR"/>
              </w:rPr>
            </w:pPr>
          </w:p>
        </w:tc>
        <w:tc>
          <w:tcPr>
            <w:tcW w:w="5103" w:type="dxa"/>
            <w:tcBorders>
              <w:top w:val="nil"/>
              <w:left w:val="single" w:sz="4" w:space="0" w:color="auto"/>
              <w:bottom w:val="single" w:sz="4" w:space="0" w:color="auto"/>
              <w:right w:val="single" w:sz="4" w:space="0" w:color="auto"/>
            </w:tcBorders>
            <w:shd w:val="clear" w:color="auto" w:fill="auto"/>
            <w:vAlign w:val="center"/>
          </w:tcPr>
          <w:p w14:paraId="5DE7CCCF" w14:textId="77777777" w:rsidR="007462F0" w:rsidRPr="00D84901" w:rsidRDefault="007462F0" w:rsidP="00522B86">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Cotas de F</w:t>
            </w:r>
            <w:r w:rsidRPr="00D84901">
              <w:rPr>
                <w:rFonts w:ascii="Tahoma" w:eastAsia="Times New Roman" w:hAnsi="Tahoma" w:cs="Tahoma"/>
                <w:color w:val="000000"/>
                <w:sz w:val="21"/>
                <w:szCs w:val="21"/>
                <w:lang w:eastAsia="pt-BR"/>
              </w:rPr>
              <w:t>undos de Investimento em Direitos Creditórios Não – Padronizados -</w:t>
            </w:r>
            <w:r w:rsidRPr="00D84901">
              <w:rPr>
                <w:rFonts w:ascii="Tahoma" w:eastAsia="Times New Roman" w:hAnsi="Tahoma" w:cs="Tahoma"/>
                <w:sz w:val="21"/>
                <w:szCs w:val="21"/>
                <w:lang w:eastAsia="pt-BR"/>
              </w:rPr>
              <w:t xml:space="preserve"> FIDC-NP e </w:t>
            </w:r>
            <w:r w:rsidRPr="00D84901">
              <w:rPr>
                <w:rFonts w:ascii="Tahoma" w:eastAsia="Times New Roman" w:hAnsi="Tahoma" w:cs="Tahoma"/>
                <w:color w:val="000000"/>
                <w:sz w:val="21"/>
                <w:szCs w:val="21"/>
                <w:lang w:eastAsia="pt-BR"/>
              </w:rPr>
              <w:t xml:space="preserve">Fundos de Investimento em Cotas de Fundos de Investimento em Direitos Creditórios Não – Padronizados - </w:t>
            </w:r>
            <w:r w:rsidRPr="00D84901">
              <w:rPr>
                <w:rFonts w:ascii="Tahoma" w:eastAsia="Times New Roman" w:hAnsi="Tahoma" w:cs="Tahoma"/>
                <w:sz w:val="21"/>
                <w:szCs w:val="21"/>
                <w:lang w:eastAsia="pt-BR"/>
              </w:rPr>
              <w:t>FICFIDC-NP</w:t>
            </w:r>
          </w:p>
        </w:tc>
        <w:tc>
          <w:tcPr>
            <w:tcW w:w="1559" w:type="dxa"/>
            <w:vMerge/>
            <w:tcBorders>
              <w:left w:val="nil"/>
              <w:bottom w:val="single" w:sz="4" w:space="0" w:color="auto"/>
              <w:right w:val="single" w:sz="4" w:space="0" w:color="auto"/>
            </w:tcBorders>
            <w:shd w:val="clear" w:color="auto" w:fill="auto"/>
            <w:noWrap/>
            <w:vAlign w:val="center"/>
          </w:tcPr>
          <w:p w14:paraId="20A90AB3" w14:textId="77777777" w:rsidR="007462F0" w:rsidRPr="00D84901" w:rsidRDefault="007462F0" w:rsidP="00522B86">
            <w:pPr>
              <w:spacing w:after="0" w:line="240" w:lineRule="auto"/>
              <w:jc w:val="center"/>
              <w:rPr>
                <w:rFonts w:ascii="Tahoma" w:eastAsia="Times New Roman" w:hAnsi="Tahoma" w:cs="Tahoma"/>
                <w:b/>
                <w:color w:val="000000"/>
                <w:sz w:val="21"/>
                <w:szCs w:val="21"/>
                <w:lang w:eastAsia="pt-BR"/>
              </w:rPr>
            </w:pPr>
          </w:p>
        </w:tc>
        <w:tc>
          <w:tcPr>
            <w:tcW w:w="1559" w:type="dxa"/>
            <w:vMerge/>
            <w:tcBorders>
              <w:left w:val="single" w:sz="4" w:space="0" w:color="auto"/>
              <w:bottom w:val="single" w:sz="4" w:space="0" w:color="auto"/>
              <w:right w:val="single" w:sz="4" w:space="0" w:color="auto"/>
            </w:tcBorders>
            <w:shd w:val="clear" w:color="auto" w:fill="auto"/>
            <w:noWrap/>
            <w:vAlign w:val="center"/>
          </w:tcPr>
          <w:p w14:paraId="100C4547" w14:textId="77777777" w:rsidR="007462F0" w:rsidRPr="00D84901" w:rsidRDefault="007462F0" w:rsidP="00522B86">
            <w:pPr>
              <w:spacing w:after="0" w:line="240" w:lineRule="auto"/>
              <w:jc w:val="center"/>
              <w:rPr>
                <w:rFonts w:ascii="Tahoma" w:eastAsia="Times New Roman" w:hAnsi="Tahoma" w:cs="Tahoma"/>
                <w:b/>
                <w:color w:val="000000"/>
                <w:sz w:val="21"/>
                <w:szCs w:val="21"/>
                <w:lang w:eastAsia="pt-BR"/>
              </w:rPr>
            </w:pPr>
          </w:p>
        </w:tc>
      </w:tr>
      <w:tr w:rsidR="007462F0" w:rsidRPr="00D84901" w14:paraId="086E8C82" w14:textId="77777777" w:rsidTr="00522B86">
        <w:trPr>
          <w:trHeight w:val="283"/>
        </w:trPr>
        <w:tc>
          <w:tcPr>
            <w:tcW w:w="6516" w:type="dxa"/>
            <w:gridSpan w:val="2"/>
            <w:tcBorders>
              <w:top w:val="single" w:sz="4" w:space="0" w:color="auto"/>
              <w:left w:val="single" w:sz="4" w:space="0" w:color="auto"/>
              <w:bottom w:val="single" w:sz="4" w:space="0" w:color="auto"/>
              <w:right w:val="single" w:sz="4" w:space="0" w:color="auto"/>
            </w:tcBorders>
          </w:tcPr>
          <w:p w14:paraId="10256D2D" w14:textId="77777777" w:rsidR="007462F0" w:rsidRPr="00D84901" w:rsidRDefault="007462F0" w:rsidP="00522B86">
            <w:pPr>
              <w:spacing w:after="0" w:line="240" w:lineRule="auto"/>
              <w:rPr>
                <w:rFonts w:ascii="Tahoma" w:eastAsia="Times New Roman" w:hAnsi="Tahoma" w:cs="Tahoma"/>
                <w:sz w:val="21"/>
                <w:szCs w:val="21"/>
                <w:lang w:eastAsia="pt-BR"/>
              </w:rPr>
            </w:pPr>
            <w:r w:rsidRPr="00D84901">
              <w:rPr>
                <w:rFonts w:ascii="Tahoma" w:eastAsia="Times New Roman" w:hAnsi="Tahoma" w:cs="Tahoma"/>
                <w:sz w:val="21"/>
                <w:szCs w:val="21"/>
                <w:lang w:eastAsia="pt-BR"/>
              </w:rPr>
              <w:t>Depósitos à vista</w:t>
            </w:r>
          </w:p>
        </w:tc>
        <w:tc>
          <w:tcPr>
            <w:tcW w:w="1559" w:type="dxa"/>
            <w:vMerge w:val="restart"/>
            <w:tcBorders>
              <w:top w:val="single" w:sz="4" w:space="0" w:color="auto"/>
              <w:left w:val="nil"/>
              <w:right w:val="single" w:sz="4" w:space="0" w:color="auto"/>
            </w:tcBorders>
            <w:shd w:val="clear" w:color="auto" w:fill="auto"/>
            <w:noWrap/>
            <w:vAlign w:val="center"/>
          </w:tcPr>
          <w:p w14:paraId="06DA1BFC" w14:textId="77777777" w:rsidR="007462F0" w:rsidRPr="00D84901" w:rsidRDefault="007462F0" w:rsidP="00522B86">
            <w:pPr>
              <w:spacing w:after="0" w:line="240" w:lineRule="auto"/>
              <w:jc w:val="center"/>
              <w:rPr>
                <w:rFonts w:ascii="Tahoma" w:eastAsia="Times New Roman" w:hAnsi="Tahoma" w:cs="Tahoma"/>
                <w:b/>
                <w:color w:val="000000"/>
                <w:sz w:val="21"/>
                <w:szCs w:val="21"/>
                <w:lang w:eastAsia="pt-BR"/>
              </w:rPr>
            </w:pPr>
            <w:r w:rsidRPr="00D84901">
              <w:rPr>
                <w:rFonts w:ascii="Tahoma" w:eastAsia="Times New Roman" w:hAnsi="Tahoma" w:cs="Tahoma"/>
                <w:b/>
                <w:color w:val="000000"/>
                <w:sz w:val="21"/>
                <w:szCs w:val="21"/>
                <w:lang w:eastAsia="pt-BR"/>
              </w:rPr>
              <w:t>0%</w:t>
            </w:r>
          </w:p>
        </w:tc>
        <w:tc>
          <w:tcPr>
            <w:tcW w:w="1559" w:type="dxa"/>
            <w:vMerge w:val="restart"/>
            <w:tcBorders>
              <w:top w:val="single" w:sz="4" w:space="0" w:color="auto"/>
              <w:left w:val="single" w:sz="4" w:space="0" w:color="auto"/>
              <w:right w:val="single" w:sz="4" w:space="0" w:color="auto"/>
            </w:tcBorders>
            <w:shd w:val="clear" w:color="auto" w:fill="auto"/>
            <w:noWrap/>
            <w:vAlign w:val="center"/>
          </w:tcPr>
          <w:p w14:paraId="787054B5" w14:textId="77777777" w:rsidR="007462F0" w:rsidRPr="00D84901" w:rsidRDefault="007462F0" w:rsidP="00522B86">
            <w:pPr>
              <w:spacing w:after="0" w:line="240" w:lineRule="auto"/>
              <w:jc w:val="center"/>
              <w:rPr>
                <w:rFonts w:ascii="Tahoma" w:eastAsia="Times New Roman" w:hAnsi="Tahoma" w:cs="Tahoma"/>
                <w:b/>
                <w:color w:val="000000"/>
                <w:sz w:val="21"/>
                <w:szCs w:val="21"/>
                <w:lang w:eastAsia="pt-BR"/>
              </w:rPr>
            </w:pPr>
            <w:r w:rsidRPr="00D84901">
              <w:rPr>
                <w:rFonts w:ascii="Tahoma" w:eastAsia="Times New Roman" w:hAnsi="Tahoma" w:cs="Tahoma"/>
                <w:b/>
                <w:color w:val="000000"/>
                <w:sz w:val="21"/>
                <w:szCs w:val="21"/>
                <w:lang w:eastAsia="pt-BR"/>
              </w:rPr>
              <w:t>5%</w:t>
            </w:r>
          </w:p>
        </w:tc>
      </w:tr>
      <w:tr w:rsidR="007462F0" w:rsidRPr="00D84901" w14:paraId="63B10AB3" w14:textId="77777777" w:rsidTr="00522B86">
        <w:trPr>
          <w:trHeight w:val="283"/>
        </w:trPr>
        <w:tc>
          <w:tcPr>
            <w:tcW w:w="6516" w:type="dxa"/>
            <w:gridSpan w:val="2"/>
            <w:tcBorders>
              <w:top w:val="single" w:sz="4" w:space="0" w:color="auto"/>
              <w:left w:val="single" w:sz="4" w:space="0" w:color="auto"/>
              <w:bottom w:val="single" w:sz="4" w:space="0" w:color="auto"/>
              <w:right w:val="single" w:sz="4" w:space="0" w:color="auto"/>
            </w:tcBorders>
          </w:tcPr>
          <w:p w14:paraId="1411084F" w14:textId="77777777" w:rsidR="007462F0" w:rsidRPr="00D84901" w:rsidRDefault="007462F0" w:rsidP="00522B86">
            <w:pPr>
              <w:spacing w:after="0" w:line="240" w:lineRule="auto"/>
              <w:rPr>
                <w:rFonts w:ascii="Tahoma" w:eastAsia="Times New Roman" w:hAnsi="Tahoma" w:cs="Tahoma"/>
                <w:sz w:val="21"/>
                <w:szCs w:val="21"/>
                <w:lang w:eastAsia="pt-BR"/>
              </w:rPr>
            </w:pPr>
            <w:r w:rsidRPr="00D84901">
              <w:rPr>
                <w:rFonts w:ascii="Tahoma" w:eastAsia="Times New Roman" w:hAnsi="Tahoma" w:cs="Tahoma"/>
                <w:sz w:val="21"/>
                <w:szCs w:val="21"/>
                <w:lang w:eastAsia="pt-BR"/>
              </w:rPr>
              <w:t xml:space="preserve">Títulos Públicos Federais </w:t>
            </w:r>
          </w:p>
        </w:tc>
        <w:tc>
          <w:tcPr>
            <w:tcW w:w="1559" w:type="dxa"/>
            <w:vMerge/>
            <w:tcBorders>
              <w:left w:val="nil"/>
              <w:right w:val="single" w:sz="4" w:space="0" w:color="auto"/>
            </w:tcBorders>
            <w:shd w:val="clear" w:color="auto" w:fill="auto"/>
            <w:noWrap/>
            <w:vAlign w:val="center"/>
            <w:hideMark/>
          </w:tcPr>
          <w:p w14:paraId="6C787133" w14:textId="77777777" w:rsidR="007462F0" w:rsidRPr="00D84901" w:rsidRDefault="007462F0" w:rsidP="00522B86">
            <w:pPr>
              <w:spacing w:after="0" w:line="240" w:lineRule="auto"/>
              <w:jc w:val="center"/>
              <w:rPr>
                <w:rFonts w:ascii="Tahoma" w:eastAsia="Times New Roman" w:hAnsi="Tahoma" w:cs="Tahoma"/>
                <w:b/>
                <w:color w:val="000000"/>
                <w:sz w:val="21"/>
                <w:szCs w:val="21"/>
                <w:lang w:eastAsia="pt-BR"/>
              </w:rPr>
            </w:pPr>
          </w:p>
        </w:tc>
        <w:tc>
          <w:tcPr>
            <w:tcW w:w="1559" w:type="dxa"/>
            <w:vMerge/>
            <w:tcBorders>
              <w:left w:val="single" w:sz="4" w:space="0" w:color="auto"/>
              <w:right w:val="single" w:sz="4" w:space="0" w:color="auto"/>
            </w:tcBorders>
            <w:shd w:val="clear" w:color="auto" w:fill="auto"/>
            <w:noWrap/>
            <w:vAlign w:val="center"/>
          </w:tcPr>
          <w:p w14:paraId="639B9BB3" w14:textId="77777777" w:rsidR="007462F0" w:rsidRPr="00D84901" w:rsidRDefault="007462F0" w:rsidP="00522B86">
            <w:pPr>
              <w:spacing w:after="0" w:line="240" w:lineRule="auto"/>
              <w:jc w:val="center"/>
              <w:rPr>
                <w:rFonts w:ascii="Tahoma" w:eastAsia="Times New Roman" w:hAnsi="Tahoma" w:cs="Tahoma"/>
                <w:b/>
                <w:sz w:val="21"/>
                <w:szCs w:val="21"/>
                <w:lang w:eastAsia="pt-BR"/>
              </w:rPr>
            </w:pPr>
          </w:p>
        </w:tc>
      </w:tr>
      <w:tr w:rsidR="007462F0" w:rsidRPr="00D84901" w14:paraId="144ED401" w14:textId="77777777" w:rsidTr="00522B86">
        <w:trPr>
          <w:trHeight w:val="283"/>
        </w:trPr>
        <w:tc>
          <w:tcPr>
            <w:tcW w:w="6516" w:type="dxa"/>
            <w:gridSpan w:val="2"/>
            <w:tcBorders>
              <w:top w:val="single" w:sz="4" w:space="0" w:color="auto"/>
              <w:left w:val="single" w:sz="4" w:space="0" w:color="auto"/>
              <w:bottom w:val="single" w:sz="4" w:space="0" w:color="auto"/>
              <w:right w:val="single" w:sz="4" w:space="0" w:color="auto"/>
            </w:tcBorders>
          </w:tcPr>
          <w:p w14:paraId="19F46BB7" w14:textId="77777777" w:rsidR="007462F0" w:rsidRPr="00D84901" w:rsidRDefault="007462F0" w:rsidP="00522B86">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Títulos de Renda Fixa de emissão de instituição financeira</w:t>
            </w:r>
          </w:p>
        </w:tc>
        <w:tc>
          <w:tcPr>
            <w:tcW w:w="1559" w:type="dxa"/>
            <w:vMerge/>
            <w:tcBorders>
              <w:left w:val="nil"/>
              <w:right w:val="single" w:sz="4" w:space="0" w:color="auto"/>
            </w:tcBorders>
            <w:shd w:val="clear" w:color="auto" w:fill="auto"/>
            <w:noWrap/>
            <w:vAlign w:val="center"/>
            <w:hideMark/>
          </w:tcPr>
          <w:p w14:paraId="50D51A87" w14:textId="77777777" w:rsidR="007462F0" w:rsidRPr="00D84901" w:rsidRDefault="007462F0" w:rsidP="00522B86">
            <w:pPr>
              <w:spacing w:after="0" w:line="240" w:lineRule="auto"/>
              <w:jc w:val="center"/>
              <w:rPr>
                <w:rFonts w:ascii="Tahoma" w:eastAsia="Times New Roman" w:hAnsi="Tahoma" w:cs="Tahoma"/>
                <w:b/>
                <w:color w:val="000000"/>
                <w:sz w:val="21"/>
                <w:szCs w:val="21"/>
                <w:lang w:eastAsia="pt-BR"/>
              </w:rPr>
            </w:pPr>
          </w:p>
        </w:tc>
        <w:tc>
          <w:tcPr>
            <w:tcW w:w="1559" w:type="dxa"/>
            <w:vMerge/>
            <w:tcBorders>
              <w:left w:val="single" w:sz="4" w:space="0" w:color="auto"/>
              <w:right w:val="single" w:sz="4" w:space="0" w:color="auto"/>
            </w:tcBorders>
            <w:shd w:val="clear" w:color="auto" w:fill="auto"/>
            <w:noWrap/>
            <w:vAlign w:val="center"/>
          </w:tcPr>
          <w:p w14:paraId="1A679F16" w14:textId="77777777" w:rsidR="007462F0" w:rsidRPr="00D84901" w:rsidRDefault="007462F0" w:rsidP="00522B86">
            <w:pPr>
              <w:spacing w:after="0" w:line="240" w:lineRule="auto"/>
              <w:jc w:val="center"/>
              <w:rPr>
                <w:rFonts w:ascii="Tahoma" w:eastAsia="Times New Roman" w:hAnsi="Tahoma" w:cs="Tahoma"/>
                <w:b/>
                <w:color w:val="000000"/>
                <w:sz w:val="21"/>
                <w:szCs w:val="21"/>
                <w:lang w:eastAsia="pt-BR"/>
              </w:rPr>
            </w:pPr>
          </w:p>
        </w:tc>
      </w:tr>
      <w:tr w:rsidR="007462F0" w:rsidRPr="00D84901" w14:paraId="3EE43703" w14:textId="77777777" w:rsidTr="00522B86">
        <w:trPr>
          <w:trHeight w:val="283"/>
        </w:trPr>
        <w:tc>
          <w:tcPr>
            <w:tcW w:w="6516" w:type="dxa"/>
            <w:gridSpan w:val="2"/>
            <w:tcBorders>
              <w:top w:val="single" w:sz="4" w:space="0" w:color="auto"/>
              <w:left w:val="single" w:sz="4" w:space="0" w:color="auto"/>
              <w:bottom w:val="single" w:sz="4" w:space="0" w:color="auto"/>
              <w:right w:val="single" w:sz="4" w:space="0" w:color="auto"/>
            </w:tcBorders>
          </w:tcPr>
          <w:p w14:paraId="2F27E901" w14:textId="77777777" w:rsidR="007462F0" w:rsidRPr="00D84901" w:rsidRDefault="007462F0" w:rsidP="00522B86">
            <w:pPr>
              <w:spacing w:after="0" w:line="240" w:lineRule="auto"/>
              <w:rPr>
                <w:rFonts w:ascii="Tahoma" w:eastAsia="Times New Roman" w:hAnsi="Tahoma" w:cs="Tahoma"/>
                <w:sz w:val="21"/>
                <w:szCs w:val="21"/>
                <w:lang w:eastAsia="pt-BR"/>
              </w:rPr>
            </w:pPr>
            <w:r w:rsidRPr="00D84901">
              <w:rPr>
                <w:rFonts w:ascii="Tahoma" w:eastAsia="Times New Roman" w:hAnsi="Tahoma" w:cs="Tahoma"/>
                <w:sz w:val="21"/>
                <w:szCs w:val="21"/>
                <w:lang w:eastAsia="pt-BR"/>
              </w:rPr>
              <w:t>Operações compromissadas</w:t>
            </w:r>
          </w:p>
        </w:tc>
        <w:tc>
          <w:tcPr>
            <w:tcW w:w="1559" w:type="dxa"/>
            <w:vMerge/>
            <w:tcBorders>
              <w:left w:val="nil"/>
              <w:right w:val="single" w:sz="4" w:space="0" w:color="auto"/>
            </w:tcBorders>
            <w:shd w:val="clear" w:color="auto" w:fill="auto"/>
            <w:noWrap/>
            <w:vAlign w:val="center"/>
            <w:hideMark/>
          </w:tcPr>
          <w:p w14:paraId="29229F82" w14:textId="77777777" w:rsidR="007462F0" w:rsidRPr="00D84901" w:rsidRDefault="007462F0" w:rsidP="00522B86">
            <w:pPr>
              <w:spacing w:after="0" w:line="240" w:lineRule="auto"/>
              <w:jc w:val="center"/>
              <w:rPr>
                <w:rFonts w:ascii="Tahoma" w:eastAsia="Times New Roman" w:hAnsi="Tahoma" w:cs="Tahoma"/>
                <w:b/>
                <w:color w:val="000000"/>
                <w:sz w:val="21"/>
                <w:szCs w:val="21"/>
                <w:lang w:eastAsia="pt-BR"/>
              </w:rPr>
            </w:pPr>
          </w:p>
        </w:tc>
        <w:tc>
          <w:tcPr>
            <w:tcW w:w="1559" w:type="dxa"/>
            <w:vMerge/>
            <w:tcBorders>
              <w:left w:val="single" w:sz="4" w:space="0" w:color="auto"/>
              <w:right w:val="single" w:sz="4" w:space="0" w:color="auto"/>
            </w:tcBorders>
            <w:shd w:val="clear" w:color="auto" w:fill="auto"/>
            <w:noWrap/>
            <w:vAlign w:val="center"/>
          </w:tcPr>
          <w:p w14:paraId="304E1764" w14:textId="77777777" w:rsidR="007462F0" w:rsidRPr="00D84901" w:rsidRDefault="007462F0" w:rsidP="00522B86">
            <w:pPr>
              <w:spacing w:after="0" w:line="240" w:lineRule="auto"/>
              <w:jc w:val="center"/>
              <w:rPr>
                <w:rFonts w:ascii="Tahoma" w:eastAsia="Times New Roman" w:hAnsi="Tahoma" w:cs="Tahoma"/>
                <w:b/>
                <w:color w:val="000000"/>
                <w:sz w:val="21"/>
                <w:szCs w:val="21"/>
                <w:lang w:eastAsia="pt-BR"/>
              </w:rPr>
            </w:pPr>
          </w:p>
        </w:tc>
      </w:tr>
    </w:tbl>
    <w:p w14:paraId="541F4634" w14:textId="77777777" w:rsidR="007462F0" w:rsidRPr="00D84901" w:rsidRDefault="007462F0" w:rsidP="007462F0">
      <w:pPr>
        <w:spacing w:after="0" w:line="240" w:lineRule="auto"/>
        <w:rPr>
          <w:rFonts w:ascii="Tahoma" w:eastAsia="Times New Roman" w:hAnsi="Tahoma" w:cs="Tahoma"/>
          <w:vanish/>
          <w:sz w:val="21"/>
          <w:szCs w:val="21"/>
          <w:lang w:val="en-GB" w:eastAsia="pt-BR"/>
        </w:rPr>
      </w:pPr>
    </w:p>
    <w:tbl>
      <w:tblPr>
        <w:tblW w:w="9639" w:type="dxa"/>
        <w:tblInd w:w="-5" w:type="dxa"/>
        <w:tblLayout w:type="fixed"/>
        <w:tblCellMar>
          <w:left w:w="70" w:type="dxa"/>
          <w:right w:w="70" w:type="dxa"/>
        </w:tblCellMar>
        <w:tblLook w:val="04A0" w:firstRow="1" w:lastRow="0" w:firstColumn="1" w:lastColumn="0" w:noHBand="0" w:noVBand="1"/>
      </w:tblPr>
      <w:tblGrid>
        <w:gridCol w:w="6521"/>
        <w:gridCol w:w="1559"/>
        <w:gridCol w:w="1559"/>
      </w:tblGrid>
      <w:tr w:rsidR="007462F0" w:rsidRPr="00D84901" w14:paraId="07B8517F" w14:textId="77777777" w:rsidTr="00522B86">
        <w:trPr>
          <w:trHeight w:val="292"/>
        </w:trPr>
        <w:tc>
          <w:tcPr>
            <w:tcW w:w="65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D52A1B" w14:textId="77777777" w:rsidR="007462F0" w:rsidRPr="00D84901" w:rsidRDefault="007462F0" w:rsidP="00522B86">
            <w:pPr>
              <w:spacing w:after="0" w:line="240" w:lineRule="auto"/>
              <w:jc w:val="center"/>
              <w:rPr>
                <w:rFonts w:ascii="Tahoma" w:eastAsia="Times New Roman" w:hAnsi="Tahoma" w:cs="Tahoma"/>
                <w:b/>
                <w:bCs/>
                <w:color w:val="000000"/>
                <w:sz w:val="21"/>
                <w:szCs w:val="21"/>
                <w:lang w:eastAsia="pt-BR"/>
              </w:rPr>
            </w:pPr>
            <w:r w:rsidRPr="00D84901">
              <w:rPr>
                <w:rFonts w:ascii="Tahoma" w:eastAsia="Times New Roman" w:hAnsi="Tahoma" w:cs="Tahoma"/>
                <w:b/>
                <w:bCs/>
                <w:color w:val="000000"/>
                <w:sz w:val="21"/>
                <w:szCs w:val="21"/>
                <w:lang w:eastAsia="pt-BR"/>
              </w:rPr>
              <w:t xml:space="preserve">CRÉDITO PRIVADO </w:t>
            </w:r>
          </w:p>
        </w:tc>
        <w:tc>
          <w:tcPr>
            <w:tcW w:w="155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BD3941" w14:textId="77777777" w:rsidR="007462F0" w:rsidRPr="00D84901" w:rsidRDefault="007462F0" w:rsidP="00522B86">
            <w:pPr>
              <w:spacing w:after="0" w:line="240" w:lineRule="auto"/>
              <w:jc w:val="center"/>
              <w:rPr>
                <w:rFonts w:ascii="Tahoma" w:eastAsia="Times New Roman" w:hAnsi="Tahoma" w:cs="Tahoma"/>
                <w:b/>
                <w:bCs/>
                <w:color w:val="000000"/>
                <w:sz w:val="21"/>
                <w:szCs w:val="21"/>
                <w:lang w:eastAsia="pt-BR"/>
              </w:rPr>
            </w:pPr>
            <w:r w:rsidRPr="00D84901">
              <w:rPr>
                <w:rFonts w:ascii="Tahoma" w:eastAsia="Times New Roman" w:hAnsi="Tahoma" w:cs="Tahoma"/>
                <w:b/>
                <w:bCs/>
                <w:color w:val="000000"/>
                <w:sz w:val="21"/>
                <w:szCs w:val="21"/>
                <w:lang w:eastAsia="pt-BR"/>
              </w:rPr>
              <w:t>Permitido / Vedado</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04A5E97" w14:textId="77777777" w:rsidR="007462F0" w:rsidRPr="00D84901" w:rsidRDefault="007462F0" w:rsidP="00522B86">
            <w:pPr>
              <w:spacing w:after="0" w:line="240" w:lineRule="auto"/>
              <w:jc w:val="center"/>
              <w:rPr>
                <w:rFonts w:ascii="Tahoma" w:eastAsia="Times New Roman" w:hAnsi="Tahoma" w:cs="Tahoma"/>
                <w:b/>
                <w:bCs/>
                <w:color w:val="000000"/>
                <w:sz w:val="21"/>
                <w:szCs w:val="21"/>
                <w:lang w:eastAsia="pt-BR"/>
              </w:rPr>
            </w:pPr>
            <w:r w:rsidRPr="00D84901">
              <w:rPr>
                <w:rFonts w:ascii="Tahoma" w:eastAsia="Times New Roman" w:hAnsi="Tahoma" w:cs="Tahoma"/>
                <w:b/>
                <w:bCs/>
                <w:color w:val="000000"/>
                <w:sz w:val="21"/>
                <w:szCs w:val="21"/>
                <w:lang w:eastAsia="pt-BR"/>
              </w:rPr>
              <w:t>Limite aplicável</w:t>
            </w:r>
          </w:p>
          <w:p w14:paraId="101B7085" w14:textId="77777777" w:rsidR="007462F0" w:rsidRPr="00D84901" w:rsidRDefault="007462F0" w:rsidP="00522B86">
            <w:pPr>
              <w:spacing w:after="0" w:line="240" w:lineRule="auto"/>
              <w:jc w:val="center"/>
              <w:rPr>
                <w:rFonts w:ascii="Tahoma" w:eastAsia="Times New Roman" w:hAnsi="Tahoma" w:cs="Tahoma"/>
                <w:sz w:val="21"/>
                <w:szCs w:val="21"/>
                <w:lang w:eastAsia="pt-BR"/>
              </w:rPr>
            </w:pPr>
            <w:r w:rsidRPr="00D84901">
              <w:rPr>
                <w:rFonts w:ascii="Tahoma" w:eastAsia="Times New Roman" w:hAnsi="Tahoma" w:cs="Tahoma"/>
                <w:b/>
                <w:bCs/>
                <w:color w:val="000000"/>
                <w:sz w:val="21"/>
                <w:szCs w:val="21"/>
                <w:lang w:eastAsia="pt-BR"/>
              </w:rPr>
              <w:t>(% do PL)</w:t>
            </w:r>
          </w:p>
        </w:tc>
      </w:tr>
      <w:tr w:rsidR="007462F0" w:rsidRPr="00D84901" w14:paraId="231464F4" w14:textId="77777777" w:rsidTr="00522B86">
        <w:trPr>
          <w:trHeight w:val="993"/>
        </w:trPr>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B2AEF" w14:textId="77777777" w:rsidR="007462F0" w:rsidRPr="00D84901" w:rsidRDefault="007462F0" w:rsidP="00522B86">
            <w:pPr>
              <w:spacing w:after="0" w:line="240" w:lineRule="auto"/>
              <w:jc w:val="both"/>
              <w:rPr>
                <w:rFonts w:ascii="Tahoma" w:eastAsia="Times New Roman" w:hAnsi="Tahoma" w:cs="Tahoma"/>
                <w:color w:val="000000"/>
                <w:sz w:val="21"/>
                <w:szCs w:val="21"/>
                <w:lang w:eastAsia="pt-BR"/>
              </w:rPr>
            </w:pPr>
            <w:r w:rsidRPr="00D84901">
              <w:rPr>
                <w:rFonts w:ascii="Tahoma" w:eastAsia="Times New Roman" w:hAnsi="Tahoma" w:cs="Tahoma"/>
                <w:color w:val="000000"/>
                <w:sz w:val="21"/>
                <w:szCs w:val="21"/>
                <w:lang w:eastAsia="pt-BR"/>
              </w:rPr>
              <w:t>Ativos de crédito privado e/ou títulos públicos que não da União, considerando-se a consolidação dos investimentos do FUNDO e dos Fundos Investidos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E4AFCB3" w14:textId="77777777" w:rsidR="007462F0" w:rsidRPr="00D84901" w:rsidRDefault="007462F0" w:rsidP="00522B86">
            <w:pPr>
              <w:spacing w:after="0" w:line="240" w:lineRule="auto"/>
              <w:jc w:val="center"/>
              <w:rPr>
                <w:rFonts w:ascii="Tahoma" w:eastAsia="Times New Roman" w:hAnsi="Tahoma" w:cs="Tahoma"/>
                <w:color w:val="000000"/>
                <w:sz w:val="21"/>
                <w:szCs w:val="21"/>
                <w:lang w:eastAsia="pt-BR"/>
              </w:rPr>
            </w:pPr>
            <w:r w:rsidRPr="00D84901">
              <w:rPr>
                <w:rFonts w:ascii="Tahoma" w:eastAsia="Times New Roman" w:hAnsi="Tahoma" w:cs="Tahoma"/>
                <w:color w:val="000000"/>
                <w:sz w:val="21"/>
                <w:szCs w:val="21"/>
                <w:lang w:eastAsia="pt-BR"/>
              </w:rPr>
              <w:t>Permitido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DCD2BC1" w14:textId="77777777" w:rsidR="007462F0" w:rsidRPr="00D84901" w:rsidRDefault="007462F0" w:rsidP="00522B86">
            <w:pPr>
              <w:spacing w:after="0" w:line="240" w:lineRule="auto"/>
              <w:jc w:val="center"/>
              <w:rPr>
                <w:rFonts w:ascii="Tahoma" w:eastAsia="Times New Roman" w:hAnsi="Tahoma" w:cs="Tahoma"/>
                <w:b/>
                <w:color w:val="000000"/>
                <w:sz w:val="21"/>
                <w:szCs w:val="21"/>
                <w:highlight w:val="yellow"/>
                <w:lang w:eastAsia="pt-BR"/>
              </w:rPr>
            </w:pPr>
            <w:r w:rsidRPr="00D84901">
              <w:rPr>
                <w:rFonts w:ascii="Tahoma" w:eastAsia="Times New Roman" w:hAnsi="Tahoma" w:cs="Tahoma"/>
                <w:b/>
                <w:color w:val="000000"/>
                <w:sz w:val="21"/>
                <w:szCs w:val="21"/>
                <w:lang w:eastAsia="pt-BR"/>
              </w:rPr>
              <w:t>Até 100%</w:t>
            </w:r>
          </w:p>
        </w:tc>
      </w:tr>
      <w:tr w:rsidR="007462F0" w:rsidRPr="00D84901" w14:paraId="63389AE5" w14:textId="77777777" w:rsidTr="00522B86">
        <w:trPr>
          <w:trHeight w:val="292"/>
        </w:trPr>
        <w:tc>
          <w:tcPr>
            <w:tcW w:w="65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71B650" w14:textId="77777777" w:rsidR="007462F0" w:rsidRPr="00D84901" w:rsidRDefault="007462F0" w:rsidP="00522B86">
            <w:pPr>
              <w:spacing w:after="0" w:line="240" w:lineRule="auto"/>
              <w:jc w:val="center"/>
              <w:rPr>
                <w:rFonts w:ascii="Tahoma" w:eastAsia="Times New Roman" w:hAnsi="Tahoma" w:cs="Tahoma"/>
                <w:b/>
                <w:bCs/>
                <w:color w:val="000000"/>
                <w:sz w:val="21"/>
                <w:szCs w:val="21"/>
                <w:lang w:eastAsia="pt-BR"/>
              </w:rPr>
            </w:pPr>
            <w:r w:rsidRPr="00D84901">
              <w:rPr>
                <w:rFonts w:ascii="Tahoma" w:eastAsia="Times New Roman" w:hAnsi="Tahoma" w:cs="Tahoma"/>
                <w:b/>
                <w:bCs/>
                <w:color w:val="000000"/>
                <w:sz w:val="21"/>
                <w:szCs w:val="21"/>
                <w:lang w:eastAsia="pt-BR"/>
              </w:rPr>
              <w:t>INVESTIMENTO NO EXTERIOR</w:t>
            </w:r>
          </w:p>
        </w:tc>
        <w:tc>
          <w:tcPr>
            <w:tcW w:w="155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56BF475" w14:textId="77777777" w:rsidR="007462F0" w:rsidRPr="00D84901" w:rsidRDefault="007462F0" w:rsidP="00522B86">
            <w:pPr>
              <w:spacing w:after="0" w:line="240" w:lineRule="auto"/>
              <w:jc w:val="center"/>
              <w:rPr>
                <w:rFonts w:ascii="Tahoma" w:eastAsia="Times New Roman" w:hAnsi="Tahoma" w:cs="Tahoma"/>
                <w:b/>
                <w:bCs/>
                <w:color w:val="000000"/>
                <w:sz w:val="21"/>
                <w:szCs w:val="21"/>
                <w:lang w:eastAsia="pt-BR"/>
              </w:rPr>
            </w:pPr>
            <w:r w:rsidRPr="00D84901">
              <w:rPr>
                <w:rFonts w:ascii="Tahoma" w:eastAsia="Times New Roman" w:hAnsi="Tahoma" w:cs="Tahoma"/>
                <w:b/>
                <w:bCs/>
                <w:color w:val="000000"/>
                <w:sz w:val="21"/>
                <w:szCs w:val="21"/>
                <w:lang w:eastAsia="pt-BR"/>
              </w:rPr>
              <w:t>Permitido / Vedado</w:t>
            </w:r>
          </w:p>
        </w:tc>
        <w:tc>
          <w:tcPr>
            <w:tcW w:w="155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98DD45E" w14:textId="77777777" w:rsidR="007462F0" w:rsidRPr="00D84901" w:rsidRDefault="007462F0" w:rsidP="00522B86">
            <w:pPr>
              <w:spacing w:after="0" w:line="240" w:lineRule="auto"/>
              <w:jc w:val="center"/>
              <w:rPr>
                <w:rFonts w:ascii="Tahoma" w:eastAsia="Times New Roman" w:hAnsi="Tahoma" w:cs="Tahoma"/>
                <w:b/>
                <w:bCs/>
                <w:color w:val="000000"/>
                <w:sz w:val="21"/>
                <w:szCs w:val="21"/>
                <w:lang w:eastAsia="pt-BR"/>
              </w:rPr>
            </w:pPr>
            <w:r w:rsidRPr="00D84901">
              <w:rPr>
                <w:rFonts w:ascii="Tahoma" w:eastAsia="Times New Roman" w:hAnsi="Tahoma" w:cs="Tahoma"/>
                <w:b/>
                <w:bCs/>
                <w:color w:val="000000"/>
                <w:sz w:val="21"/>
                <w:szCs w:val="21"/>
                <w:lang w:eastAsia="pt-BR"/>
              </w:rPr>
              <w:t>Limite aplicável</w:t>
            </w:r>
          </w:p>
          <w:p w14:paraId="7118E5E6" w14:textId="77777777" w:rsidR="007462F0" w:rsidRPr="00D84901" w:rsidRDefault="007462F0" w:rsidP="00522B86">
            <w:pPr>
              <w:spacing w:after="0" w:line="240" w:lineRule="auto"/>
              <w:jc w:val="center"/>
              <w:rPr>
                <w:rFonts w:ascii="Tahoma" w:eastAsia="Times New Roman" w:hAnsi="Tahoma" w:cs="Tahoma"/>
                <w:sz w:val="21"/>
                <w:szCs w:val="21"/>
                <w:lang w:eastAsia="pt-BR"/>
              </w:rPr>
            </w:pPr>
            <w:r w:rsidRPr="00D84901">
              <w:rPr>
                <w:rFonts w:ascii="Tahoma" w:eastAsia="Times New Roman" w:hAnsi="Tahoma" w:cs="Tahoma"/>
                <w:b/>
                <w:bCs/>
                <w:color w:val="000000"/>
                <w:sz w:val="21"/>
                <w:szCs w:val="21"/>
                <w:lang w:eastAsia="pt-BR"/>
              </w:rPr>
              <w:t>(% do PL)</w:t>
            </w:r>
          </w:p>
        </w:tc>
      </w:tr>
      <w:tr w:rsidR="007462F0" w:rsidRPr="00D84901" w14:paraId="53192039" w14:textId="77777777" w:rsidTr="00522B86">
        <w:trPr>
          <w:trHeight w:val="292"/>
        </w:trPr>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B243A" w14:textId="77777777" w:rsidR="007462F0" w:rsidRPr="00D84901" w:rsidRDefault="007462F0" w:rsidP="00522B86">
            <w:pPr>
              <w:spacing w:after="0" w:line="240" w:lineRule="auto"/>
              <w:jc w:val="both"/>
              <w:rPr>
                <w:rFonts w:ascii="Tahoma" w:eastAsia="Times New Roman" w:hAnsi="Tahoma" w:cs="Tahoma"/>
                <w:color w:val="000000"/>
                <w:sz w:val="21"/>
                <w:szCs w:val="21"/>
                <w:lang w:eastAsia="pt-BR"/>
              </w:rPr>
            </w:pPr>
            <w:r w:rsidRPr="00D84901">
              <w:rPr>
                <w:rFonts w:ascii="Tahoma" w:eastAsia="Times New Roman" w:hAnsi="Tahoma" w:cs="Tahoma"/>
                <w:color w:val="000000"/>
                <w:sz w:val="21"/>
                <w:szCs w:val="21"/>
                <w:lang w:eastAsia="pt-BR"/>
              </w:rPr>
              <w:t xml:space="preserve">Ativos financeiros negociados no exterior que tenham a mesma </w:t>
            </w:r>
            <w:r w:rsidRPr="00D84901">
              <w:rPr>
                <w:rFonts w:ascii="Tahoma" w:eastAsia="Times New Roman" w:hAnsi="Tahoma" w:cs="Tahoma"/>
                <w:sz w:val="21"/>
                <w:szCs w:val="21"/>
                <w:lang w:eastAsia="pt-BR"/>
              </w:rPr>
              <w:t xml:space="preserve">natureza econômica dos ativos financeiros no Brasil </w:t>
            </w:r>
            <w:r w:rsidRPr="00D84901">
              <w:rPr>
                <w:rFonts w:ascii="Tahoma" w:eastAsia="Times New Roman" w:hAnsi="Tahoma" w:cs="Tahoma"/>
                <w:color w:val="000000"/>
                <w:sz w:val="21"/>
                <w:szCs w:val="21"/>
                <w:lang w:eastAsia="pt-BR"/>
              </w:rPr>
              <w:t xml:space="preserve">e/ou </w:t>
            </w:r>
            <w:proofErr w:type="spellStart"/>
            <w:r w:rsidRPr="00D84901">
              <w:rPr>
                <w:rFonts w:ascii="Tahoma" w:eastAsia="Times New Roman" w:hAnsi="Tahoma" w:cs="Tahoma"/>
                <w:color w:val="000000"/>
                <w:sz w:val="21"/>
                <w:szCs w:val="21"/>
                <w:lang w:eastAsia="pt-BR"/>
              </w:rPr>
              <w:t>Brazilian</w:t>
            </w:r>
            <w:proofErr w:type="spellEnd"/>
            <w:r w:rsidRPr="00D84901">
              <w:rPr>
                <w:rFonts w:ascii="Tahoma" w:eastAsia="Times New Roman" w:hAnsi="Tahoma" w:cs="Tahoma"/>
                <w:color w:val="000000"/>
                <w:sz w:val="21"/>
                <w:szCs w:val="21"/>
                <w:lang w:eastAsia="pt-BR"/>
              </w:rPr>
              <w:t xml:space="preserve"> Depositary </w:t>
            </w:r>
            <w:proofErr w:type="spellStart"/>
            <w:r w:rsidRPr="00D84901">
              <w:rPr>
                <w:rFonts w:ascii="Tahoma" w:eastAsia="Times New Roman" w:hAnsi="Tahoma" w:cs="Tahoma"/>
                <w:color w:val="000000"/>
                <w:sz w:val="21"/>
                <w:szCs w:val="21"/>
                <w:lang w:eastAsia="pt-BR"/>
              </w:rPr>
              <w:t>Receipt</w:t>
            </w:r>
            <w:proofErr w:type="spellEnd"/>
            <w:r w:rsidRPr="00D84901">
              <w:rPr>
                <w:rFonts w:ascii="Tahoma" w:eastAsia="Times New Roman" w:hAnsi="Tahoma" w:cs="Tahoma"/>
                <w:color w:val="000000"/>
                <w:sz w:val="21"/>
                <w:szCs w:val="21"/>
                <w:lang w:eastAsia="pt-BR"/>
              </w:rPr>
              <w:t xml:space="preserve"> - Nível I (exceto no caso de fundos de investimento que adotem o sufixo Ações – BDR-Nível I)</w:t>
            </w:r>
            <w:r w:rsidRPr="00D84901">
              <w:rPr>
                <w:rFonts w:ascii="Tahoma" w:eastAsia="Times New Roman" w:hAnsi="Tahoma" w:cs="Tahoma"/>
                <w:sz w:val="21"/>
                <w:szCs w:val="21"/>
                <w:lang w:eastAsia="pt-BR"/>
              </w:rPr>
              <w:t xml:space="preserve">, considerando-se a consolidação dos investimentos dos Fundos </w:t>
            </w:r>
            <w:r w:rsidRPr="00D84901">
              <w:rPr>
                <w:rFonts w:ascii="Tahoma" w:eastAsia="Times New Roman" w:hAnsi="Tahoma" w:cs="Tahoma"/>
                <w:color w:val="000000"/>
                <w:sz w:val="21"/>
                <w:szCs w:val="21"/>
                <w:lang w:eastAsia="pt-BR"/>
              </w:rPr>
              <w:t>Investidos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3C9812A" w14:textId="77777777" w:rsidR="007462F0" w:rsidRPr="00D84901" w:rsidRDefault="007462F0" w:rsidP="00522B86">
            <w:pPr>
              <w:spacing w:after="0" w:line="240" w:lineRule="auto"/>
              <w:jc w:val="center"/>
              <w:rPr>
                <w:rFonts w:ascii="Tahoma" w:eastAsia="Times New Roman" w:hAnsi="Tahoma" w:cs="Tahoma"/>
                <w:color w:val="000000"/>
                <w:sz w:val="21"/>
                <w:szCs w:val="21"/>
                <w:lang w:eastAsia="pt-BR"/>
              </w:rPr>
            </w:pPr>
            <w:r w:rsidRPr="00D84901">
              <w:rPr>
                <w:rFonts w:ascii="Tahoma" w:eastAsia="Times New Roman" w:hAnsi="Tahoma" w:cs="Tahoma"/>
                <w:color w:val="000000"/>
                <w:sz w:val="21"/>
                <w:szCs w:val="21"/>
                <w:lang w:eastAsia="pt-BR"/>
              </w:rPr>
              <w:t>Permitido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46CF5A9" w14:textId="77777777" w:rsidR="007462F0" w:rsidRPr="00D84901" w:rsidRDefault="007462F0" w:rsidP="00522B86">
            <w:pPr>
              <w:spacing w:after="0" w:line="240" w:lineRule="auto"/>
              <w:jc w:val="center"/>
              <w:rPr>
                <w:rFonts w:ascii="Tahoma" w:eastAsia="Times New Roman" w:hAnsi="Tahoma" w:cs="Tahoma"/>
                <w:b/>
                <w:color w:val="000000"/>
                <w:sz w:val="21"/>
                <w:szCs w:val="21"/>
                <w:lang w:eastAsia="pt-BR"/>
              </w:rPr>
            </w:pPr>
            <w:r w:rsidRPr="00D84901">
              <w:rPr>
                <w:rFonts w:ascii="Tahoma" w:eastAsia="Times New Roman" w:hAnsi="Tahoma" w:cs="Tahoma"/>
                <w:b/>
                <w:sz w:val="21"/>
                <w:szCs w:val="21"/>
                <w:lang w:eastAsia="pt-BR"/>
              </w:rPr>
              <w:t>Até 40%</w:t>
            </w:r>
          </w:p>
        </w:tc>
      </w:tr>
      <w:tr w:rsidR="007462F0" w:rsidRPr="00D84901" w14:paraId="4910CC6E" w14:textId="77777777" w:rsidTr="00522B86">
        <w:trPr>
          <w:trHeight w:val="292"/>
        </w:trPr>
        <w:tc>
          <w:tcPr>
            <w:tcW w:w="963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5F5FDA8" w14:textId="77777777" w:rsidR="007462F0" w:rsidRPr="00D84901" w:rsidRDefault="007462F0" w:rsidP="00522B86">
            <w:pPr>
              <w:spacing w:after="0" w:line="240" w:lineRule="auto"/>
              <w:jc w:val="both"/>
              <w:rPr>
                <w:rFonts w:ascii="Tahoma" w:eastAsia="Times New Roman" w:hAnsi="Tahoma" w:cs="Tahoma"/>
                <w:b/>
                <w:color w:val="000000"/>
                <w:sz w:val="21"/>
                <w:szCs w:val="21"/>
                <w:lang w:eastAsia="pt-BR"/>
              </w:rPr>
            </w:pPr>
            <w:r w:rsidRPr="00D84901">
              <w:rPr>
                <w:rFonts w:ascii="Tahoma" w:eastAsia="Times New Roman" w:hAnsi="Tahoma" w:cs="Tahoma"/>
                <w:b/>
                <w:color w:val="000000"/>
                <w:sz w:val="21"/>
                <w:szCs w:val="21"/>
                <w:lang w:eastAsia="pt-BR"/>
              </w:rPr>
              <w:t>As aplicações pelos Fundos Investidos em ativos financeiros no exterior não são cumulativamente consideradas no cálculo dos correspondentes limites de concentração por emissor e por modalidade de ativo financeiro aplicáveis aos ativos domésticos.</w:t>
            </w:r>
          </w:p>
        </w:tc>
      </w:tr>
    </w:tbl>
    <w:p w14:paraId="247F6CDB" w14:textId="77777777" w:rsidR="007462F0" w:rsidRPr="00D84901" w:rsidRDefault="007462F0" w:rsidP="007462F0">
      <w:pPr>
        <w:spacing w:after="0" w:line="240" w:lineRule="auto"/>
        <w:jc w:val="center"/>
        <w:rPr>
          <w:rFonts w:ascii="Tahoma" w:eastAsia="Times New Roman" w:hAnsi="Tahoma" w:cs="Tahoma"/>
          <w:b/>
          <w:sz w:val="21"/>
          <w:szCs w:val="21"/>
          <w:lang w:eastAsia="pt-BR"/>
        </w:rPr>
      </w:pPr>
    </w:p>
    <w:p w14:paraId="477FDFAE" w14:textId="77777777" w:rsidR="007462F0" w:rsidRPr="00D84901" w:rsidRDefault="007462F0" w:rsidP="007462F0">
      <w:pPr>
        <w:spacing w:after="0" w:line="240" w:lineRule="auto"/>
        <w:jc w:val="center"/>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DOS FUNDOS INVESTIDOS</w:t>
      </w:r>
    </w:p>
    <w:tbl>
      <w:tblPr>
        <w:tblW w:w="9639" w:type="dxa"/>
        <w:tblInd w:w="-5" w:type="dxa"/>
        <w:tblCellMar>
          <w:left w:w="70" w:type="dxa"/>
          <w:right w:w="70" w:type="dxa"/>
        </w:tblCellMar>
        <w:tblLook w:val="04A0" w:firstRow="1" w:lastRow="0" w:firstColumn="1" w:lastColumn="0" w:noHBand="0" w:noVBand="1"/>
      </w:tblPr>
      <w:tblGrid>
        <w:gridCol w:w="6521"/>
        <w:gridCol w:w="1559"/>
        <w:gridCol w:w="1559"/>
      </w:tblGrid>
      <w:tr w:rsidR="007462F0" w:rsidRPr="00D84901" w14:paraId="55D22BB5" w14:textId="77777777" w:rsidTr="00522B86">
        <w:trPr>
          <w:trHeight w:val="283"/>
        </w:trPr>
        <w:tc>
          <w:tcPr>
            <w:tcW w:w="652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FB4F30D" w14:textId="77777777" w:rsidR="007462F0" w:rsidRPr="00D84901" w:rsidRDefault="007462F0" w:rsidP="00522B86">
            <w:pPr>
              <w:spacing w:after="0" w:line="240" w:lineRule="auto"/>
              <w:jc w:val="center"/>
              <w:rPr>
                <w:rFonts w:ascii="Tahoma" w:eastAsia="Times New Roman" w:hAnsi="Tahoma" w:cs="Tahoma"/>
                <w:b/>
                <w:bCs/>
                <w:color w:val="000000"/>
                <w:sz w:val="21"/>
                <w:szCs w:val="21"/>
                <w:lang w:eastAsia="pt-BR"/>
              </w:rPr>
            </w:pPr>
            <w:r w:rsidRPr="00D84901">
              <w:rPr>
                <w:rFonts w:ascii="Tahoma" w:eastAsia="Times New Roman" w:hAnsi="Tahoma" w:cs="Tahoma"/>
                <w:b/>
                <w:bCs/>
                <w:color w:val="000000"/>
                <w:sz w:val="21"/>
                <w:szCs w:val="21"/>
                <w:lang w:eastAsia="pt-BR"/>
              </w:rPr>
              <w:t>COMPOSIÇÃO DA CARTEIRA</w:t>
            </w:r>
          </w:p>
        </w:tc>
        <w:tc>
          <w:tcPr>
            <w:tcW w:w="3118"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2BDCEF39" w14:textId="77777777" w:rsidR="007462F0" w:rsidRPr="00D84901" w:rsidRDefault="007462F0" w:rsidP="00522B86">
            <w:pPr>
              <w:spacing w:after="0" w:line="240" w:lineRule="auto"/>
              <w:jc w:val="center"/>
              <w:rPr>
                <w:rFonts w:ascii="Tahoma" w:eastAsia="Times New Roman" w:hAnsi="Tahoma" w:cs="Tahoma"/>
                <w:b/>
                <w:bCs/>
                <w:color w:val="000000"/>
                <w:sz w:val="21"/>
                <w:szCs w:val="21"/>
                <w:lang w:eastAsia="pt-BR"/>
              </w:rPr>
            </w:pPr>
            <w:r w:rsidRPr="00D84901">
              <w:rPr>
                <w:rFonts w:ascii="Tahoma" w:eastAsia="Times New Roman" w:hAnsi="Tahoma" w:cs="Tahoma"/>
                <w:b/>
                <w:bCs/>
                <w:color w:val="000000"/>
                <w:sz w:val="21"/>
                <w:szCs w:val="21"/>
                <w:lang w:eastAsia="pt-BR"/>
              </w:rPr>
              <w:t>% do PL</w:t>
            </w:r>
          </w:p>
        </w:tc>
      </w:tr>
      <w:tr w:rsidR="007462F0" w:rsidRPr="00D84901" w14:paraId="0DF83160" w14:textId="77777777" w:rsidTr="00522B86">
        <w:trPr>
          <w:trHeight w:val="283"/>
        </w:trPr>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39BF6" w14:textId="77777777" w:rsidR="007462F0" w:rsidRPr="00D84901" w:rsidRDefault="007462F0" w:rsidP="00522B86">
            <w:pPr>
              <w:spacing w:after="0" w:line="240" w:lineRule="auto"/>
              <w:jc w:val="both"/>
              <w:rPr>
                <w:rFonts w:ascii="Tahoma" w:eastAsia="Times New Roman" w:hAnsi="Tahoma" w:cs="Tahoma"/>
                <w:color w:val="000000"/>
                <w:sz w:val="21"/>
                <w:szCs w:val="21"/>
                <w:lang w:eastAsia="pt-BR"/>
              </w:rPr>
            </w:pPr>
            <w:r w:rsidRPr="00D84901">
              <w:rPr>
                <w:rFonts w:ascii="Tahoma" w:eastAsia="Times New Roman" w:hAnsi="Tahoma" w:cs="Tahoma"/>
                <w:color w:val="000000"/>
                <w:sz w:val="21"/>
                <w:szCs w:val="21"/>
                <w:lang w:eastAsia="pt-BR"/>
              </w:rPr>
              <w:t>Quaisquer ativos financeiros e/ou modalidades operacionais permitidos pela regulamentação em vigor</w:t>
            </w:r>
          </w:p>
        </w:tc>
        <w:tc>
          <w:tcPr>
            <w:tcW w:w="3118" w:type="dxa"/>
            <w:gridSpan w:val="2"/>
            <w:tcBorders>
              <w:top w:val="nil"/>
              <w:left w:val="nil"/>
              <w:bottom w:val="single" w:sz="4" w:space="0" w:color="auto"/>
              <w:right w:val="single" w:sz="4" w:space="0" w:color="auto"/>
            </w:tcBorders>
            <w:shd w:val="clear" w:color="auto" w:fill="auto"/>
            <w:noWrap/>
            <w:vAlign w:val="center"/>
            <w:hideMark/>
          </w:tcPr>
          <w:p w14:paraId="08E32B13" w14:textId="77777777" w:rsidR="007462F0" w:rsidRPr="00D84901" w:rsidRDefault="007462F0" w:rsidP="00522B86">
            <w:pPr>
              <w:spacing w:after="0" w:line="240" w:lineRule="auto"/>
              <w:jc w:val="center"/>
              <w:rPr>
                <w:rFonts w:ascii="Tahoma" w:eastAsia="Times New Roman" w:hAnsi="Tahoma" w:cs="Tahoma"/>
                <w:b/>
                <w:color w:val="000000"/>
                <w:sz w:val="21"/>
                <w:szCs w:val="21"/>
                <w:lang w:eastAsia="pt-BR"/>
              </w:rPr>
            </w:pPr>
            <w:r w:rsidRPr="00D84901">
              <w:rPr>
                <w:rFonts w:ascii="Tahoma" w:eastAsia="Times New Roman" w:hAnsi="Tahoma" w:cs="Tahoma"/>
                <w:b/>
                <w:color w:val="000000"/>
                <w:sz w:val="21"/>
                <w:szCs w:val="21"/>
                <w:lang w:eastAsia="pt-BR"/>
              </w:rPr>
              <w:t>Até 100%</w:t>
            </w:r>
          </w:p>
        </w:tc>
      </w:tr>
      <w:tr w:rsidR="007462F0" w:rsidRPr="00D84901" w14:paraId="48DA4252" w14:textId="77777777" w:rsidTr="00522B86">
        <w:trPr>
          <w:trHeight w:val="283"/>
        </w:trPr>
        <w:tc>
          <w:tcPr>
            <w:tcW w:w="65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8AEF91" w14:textId="77777777" w:rsidR="007462F0" w:rsidRPr="00D84901" w:rsidRDefault="007462F0" w:rsidP="00522B86">
            <w:pPr>
              <w:spacing w:after="0" w:line="240" w:lineRule="auto"/>
              <w:jc w:val="center"/>
              <w:rPr>
                <w:rFonts w:ascii="Tahoma" w:eastAsia="Times New Roman" w:hAnsi="Tahoma" w:cs="Tahoma"/>
                <w:b/>
                <w:bCs/>
                <w:color w:val="000000"/>
                <w:sz w:val="21"/>
                <w:szCs w:val="21"/>
                <w:lang w:eastAsia="pt-BR"/>
              </w:rPr>
            </w:pPr>
            <w:r w:rsidRPr="00D84901">
              <w:rPr>
                <w:rFonts w:ascii="Tahoma" w:eastAsia="Times New Roman" w:hAnsi="Tahoma" w:cs="Tahoma"/>
                <w:b/>
                <w:bCs/>
                <w:color w:val="000000"/>
                <w:sz w:val="21"/>
                <w:szCs w:val="21"/>
                <w:lang w:eastAsia="pt-BR"/>
              </w:rPr>
              <w:t xml:space="preserve">DERIVATIVOS </w:t>
            </w:r>
          </w:p>
        </w:tc>
        <w:tc>
          <w:tcPr>
            <w:tcW w:w="155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E15504A" w14:textId="77777777" w:rsidR="007462F0" w:rsidRPr="00D84901" w:rsidRDefault="007462F0" w:rsidP="00522B86">
            <w:pPr>
              <w:spacing w:after="0" w:line="240" w:lineRule="auto"/>
              <w:jc w:val="center"/>
              <w:rPr>
                <w:rFonts w:ascii="Tahoma" w:eastAsia="Times New Roman" w:hAnsi="Tahoma" w:cs="Tahoma"/>
                <w:b/>
                <w:bCs/>
                <w:color w:val="000000"/>
                <w:sz w:val="21"/>
                <w:szCs w:val="21"/>
                <w:lang w:eastAsia="pt-BR"/>
              </w:rPr>
            </w:pPr>
            <w:r w:rsidRPr="00D84901">
              <w:rPr>
                <w:rFonts w:ascii="Tahoma" w:eastAsia="Times New Roman" w:hAnsi="Tahoma" w:cs="Tahoma"/>
                <w:b/>
                <w:bCs/>
                <w:color w:val="000000"/>
                <w:sz w:val="21"/>
                <w:szCs w:val="21"/>
                <w:lang w:eastAsia="pt-BR"/>
              </w:rPr>
              <w:t>Permitido/ Vedado</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B5ECB7" w14:textId="77777777" w:rsidR="007462F0" w:rsidRPr="00D84901" w:rsidRDefault="007462F0" w:rsidP="00522B86">
            <w:pPr>
              <w:spacing w:after="0" w:line="240" w:lineRule="auto"/>
              <w:jc w:val="center"/>
              <w:rPr>
                <w:rFonts w:ascii="Tahoma" w:eastAsia="Times New Roman" w:hAnsi="Tahoma" w:cs="Tahoma"/>
                <w:b/>
                <w:bCs/>
                <w:color w:val="000000"/>
                <w:sz w:val="21"/>
                <w:szCs w:val="21"/>
                <w:lang w:eastAsia="pt-BR"/>
              </w:rPr>
            </w:pPr>
            <w:r w:rsidRPr="00D84901">
              <w:rPr>
                <w:rFonts w:ascii="Tahoma" w:eastAsia="Times New Roman" w:hAnsi="Tahoma" w:cs="Tahoma"/>
                <w:b/>
                <w:bCs/>
                <w:color w:val="000000"/>
                <w:sz w:val="21"/>
                <w:szCs w:val="21"/>
                <w:lang w:eastAsia="pt-BR"/>
              </w:rPr>
              <w:t>Limite aplicável</w:t>
            </w:r>
          </w:p>
          <w:p w14:paraId="28470D69" w14:textId="77777777" w:rsidR="007462F0" w:rsidRPr="00D84901" w:rsidRDefault="007462F0" w:rsidP="00522B86">
            <w:pPr>
              <w:spacing w:after="0" w:line="240" w:lineRule="auto"/>
              <w:jc w:val="center"/>
              <w:rPr>
                <w:rFonts w:ascii="Tahoma" w:eastAsia="Times New Roman" w:hAnsi="Tahoma" w:cs="Tahoma"/>
                <w:b/>
                <w:bCs/>
                <w:color w:val="000000"/>
                <w:sz w:val="21"/>
                <w:szCs w:val="21"/>
                <w:lang w:eastAsia="pt-BR"/>
              </w:rPr>
            </w:pPr>
            <w:r w:rsidRPr="00D84901">
              <w:rPr>
                <w:rFonts w:ascii="Tahoma" w:eastAsia="Times New Roman" w:hAnsi="Tahoma" w:cs="Tahoma"/>
                <w:b/>
                <w:bCs/>
                <w:color w:val="000000"/>
                <w:sz w:val="21"/>
                <w:szCs w:val="21"/>
                <w:lang w:eastAsia="pt-BR"/>
              </w:rPr>
              <w:t>(% do PL)</w:t>
            </w:r>
          </w:p>
        </w:tc>
      </w:tr>
      <w:tr w:rsidR="007462F0" w:rsidRPr="00D84901" w14:paraId="0DA80113" w14:textId="77777777" w:rsidTr="00522B86">
        <w:trPr>
          <w:trHeight w:val="283"/>
        </w:trPr>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F2112" w14:textId="77777777" w:rsidR="007462F0" w:rsidRPr="00D84901" w:rsidRDefault="007462F0" w:rsidP="00522B86">
            <w:pPr>
              <w:spacing w:after="0" w:line="240" w:lineRule="auto"/>
              <w:rPr>
                <w:rFonts w:ascii="Tahoma" w:eastAsia="Times New Roman" w:hAnsi="Tahoma" w:cs="Tahoma"/>
                <w:color w:val="000000"/>
                <w:sz w:val="21"/>
                <w:szCs w:val="21"/>
                <w:lang w:eastAsia="pt-BR"/>
              </w:rPr>
            </w:pPr>
            <w:r w:rsidRPr="00D84901">
              <w:rPr>
                <w:rFonts w:ascii="Tahoma" w:eastAsia="Times New Roman" w:hAnsi="Tahoma" w:cs="Tahoma"/>
                <w:color w:val="000000"/>
                <w:sz w:val="21"/>
                <w:szCs w:val="21"/>
                <w:lang w:eastAsia="pt-BR"/>
              </w:rPr>
              <w:t>Proteção da carteira (</w:t>
            </w:r>
            <w:r w:rsidRPr="00D84901">
              <w:rPr>
                <w:rFonts w:ascii="Tahoma" w:eastAsia="Times New Roman" w:hAnsi="Tahoma" w:cs="Tahoma"/>
                <w:i/>
                <w:color w:val="000000"/>
                <w:sz w:val="21"/>
                <w:szCs w:val="21"/>
                <w:lang w:eastAsia="pt-BR"/>
              </w:rPr>
              <w:t>hedge</w:t>
            </w:r>
            <w:r w:rsidRPr="00D84901">
              <w:rPr>
                <w:rFonts w:ascii="Tahoma" w:eastAsia="Times New Roman" w:hAnsi="Tahoma" w:cs="Tahoma"/>
                <w:color w:val="000000"/>
                <w:sz w:val="21"/>
                <w:szCs w:val="21"/>
                <w:lang w:eastAsia="pt-BR"/>
              </w:rPr>
              <w: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314B536" w14:textId="77777777" w:rsidR="007462F0" w:rsidRPr="00D84901" w:rsidRDefault="007462F0" w:rsidP="00522B86">
            <w:pPr>
              <w:spacing w:after="0" w:line="240" w:lineRule="auto"/>
              <w:jc w:val="center"/>
              <w:rPr>
                <w:rFonts w:ascii="Tahoma" w:eastAsia="Times New Roman" w:hAnsi="Tahoma" w:cs="Tahoma"/>
                <w:color w:val="000000"/>
                <w:sz w:val="21"/>
                <w:szCs w:val="21"/>
                <w:lang w:eastAsia="pt-BR"/>
              </w:rPr>
            </w:pPr>
            <w:r w:rsidRPr="00D84901">
              <w:rPr>
                <w:rFonts w:ascii="Tahoma" w:eastAsia="Times New Roman" w:hAnsi="Tahoma" w:cs="Tahoma"/>
                <w:color w:val="000000"/>
                <w:sz w:val="21"/>
                <w:szCs w:val="21"/>
                <w:lang w:eastAsia="pt-BR"/>
              </w:rPr>
              <w:t>Permitido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C78B442" w14:textId="77777777" w:rsidR="007462F0" w:rsidRPr="00D84901" w:rsidRDefault="007462F0" w:rsidP="00522B86">
            <w:pPr>
              <w:spacing w:after="0" w:line="240" w:lineRule="auto"/>
              <w:jc w:val="center"/>
              <w:rPr>
                <w:rFonts w:ascii="Tahoma" w:eastAsia="Times New Roman" w:hAnsi="Tahoma" w:cs="Tahoma"/>
                <w:b/>
                <w:color w:val="000000"/>
                <w:sz w:val="21"/>
                <w:szCs w:val="21"/>
                <w:lang w:eastAsia="pt-BR"/>
              </w:rPr>
            </w:pPr>
            <w:r w:rsidRPr="00D84901">
              <w:rPr>
                <w:rFonts w:ascii="Tahoma" w:eastAsia="Times New Roman" w:hAnsi="Tahoma" w:cs="Tahoma"/>
                <w:b/>
                <w:color w:val="000000"/>
                <w:sz w:val="21"/>
                <w:szCs w:val="21"/>
                <w:lang w:eastAsia="pt-BR"/>
              </w:rPr>
              <w:t>Até 100%</w:t>
            </w:r>
          </w:p>
        </w:tc>
      </w:tr>
      <w:tr w:rsidR="007462F0" w:rsidRPr="00D84901" w14:paraId="5643688A" w14:textId="77777777" w:rsidTr="00522B86">
        <w:trPr>
          <w:trHeight w:val="283"/>
        </w:trPr>
        <w:tc>
          <w:tcPr>
            <w:tcW w:w="6521" w:type="dxa"/>
            <w:tcBorders>
              <w:top w:val="nil"/>
              <w:left w:val="single" w:sz="4" w:space="0" w:color="auto"/>
              <w:bottom w:val="single" w:sz="4" w:space="0" w:color="auto"/>
              <w:right w:val="single" w:sz="4" w:space="0" w:color="auto"/>
            </w:tcBorders>
            <w:shd w:val="clear" w:color="auto" w:fill="auto"/>
            <w:noWrap/>
            <w:vAlign w:val="center"/>
            <w:hideMark/>
          </w:tcPr>
          <w:p w14:paraId="013DF91E" w14:textId="77777777" w:rsidR="007462F0" w:rsidRPr="00D84901" w:rsidRDefault="007462F0" w:rsidP="00522B86">
            <w:pPr>
              <w:spacing w:after="0" w:line="240" w:lineRule="auto"/>
              <w:rPr>
                <w:rFonts w:ascii="Tahoma" w:eastAsia="Times New Roman" w:hAnsi="Tahoma" w:cs="Tahoma"/>
                <w:color w:val="000000"/>
                <w:sz w:val="21"/>
                <w:szCs w:val="21"/>
                <w:lang w:eastAsia="pt-BR"/>
              </w:rPr>
            </w:pPr>
            <w:r w:rsidRPr="00D84901">
              <w:rPr>
                <w:rFonts w:ascii="Tahoma" w:eastAsia="Times New Roman" w:hAnsi="Tahoma" w:cs="Tahoma"/>
                <w:color w:val="000000"/>
                <w:sz w:val="21"/>
                <w:szCs w:val="21"/>
                <w:lang w:eastAsia="pt-BR"/>
              </w:rPr>
              <w:t>Assunção de risco</w:t>
            </w:r>
          </w:p>
        </w:tc>
        <w:tc>
          <w:tcPr>
            <w:tcW w:w="1559" w:type="dxa"/>
            <w:tcBorders>
              <w:top w:val="nil"/>
              <w:left w:val="nil"/>
              <w:bottom w:val="single" w:sz="4" w:space="0" w:color="auto"/>
              <w:right w:val="single" w:sz="4" w:space="0" w:color="auto"/>
            </w:tcBorders>
            <w:shd w:val="clear" w:color="auto" w:fill="auto"/>
            <w:vAlign w:val="center"/>
            <w:hideMark/>
          </w:tcPr>
          <w:p w14:paraId="418AA4C0" w14:textId="77777777" w:rsidR="007462F0" w:rsidRPr="00D84901" w:rsidRDefault="007462F0" w:rsidP="00522B86">
            <w:pPr>
              <w:spacing w:after="0" w:line="240" w:lineRule="auto"/>
              <w:jc w:val="center"/>
              <w:rPr>
                <w:rFonts w:ascii="Tahoma" w:eastAsia="Times New Roman" w:hAnsi="Tahoma" w:cs="Tahoma"/>
                <w:color w:val="000000"/>
                <w:sz w:val="21"/>
                <w:szCs w:val="21"/>
                <w:lang w:eastAsia="pt-BR"/>
              </w:rPr>
            </w:pPr>
            <w:r w:rsidRPr="00D84901">
              <w:rPr>
                <w:rFonts w:ascii="Tahoma" w:eastAsia="Times New Roman" w:hAnsi="Tahoma" w:cs="Tahoma"/>
                <w:color w:val="000000"/>
                <w:sz w:val="21"/>
                <w:szCs w:val="21"/>
                <w:lang w:eastAsia="pt-BR"/>
              </w:rPr>
              <w:t>Permitido</w:t>
            </w:r>
          </w:p>
        </w:tc>
        <w:tc>
          <w:tcPr>
            <w:tcW w:w="1559" w:type="dxa"/>
            <w:tcBorders>
              <w:top w:val="nil"/>
              <w:left w:val="nil"/>
              <w:bottom w:val="single" w:sz="4" w:space="0" w:color="auto"/>
              <w:right w:val="single" w:sz="4" w:space="0" w:color="auto"/>
            </w:tcBorders>
            <w:shd w:val="clear" w:color="auto" w:fill="auto"/>
            <w:noWrap/>
            <w:vAlign w:val="center"/>
            <w:hideMark/>
          </w:tcPr>
          <w:p w14:paraId="7EDF4412" w14:textId="77777777" w:rsidR="007462F0" w:rsidRPr="00D84901" w:rsidRDefault="007462F0" w:rsidP="00522B86">
            <w:pPr>
              <w:spacing w:after="0" w:line="240" w:lineRule="auto"/>
              <w:jc w:val="center"/>
              <w:rPr>
                <w:rFonts w:ascii="Tahoma" w:eastAsia="Times New Roman" w:hAnsi="Tahoma" w:cs="Tahoma"/>
                <w:b/>
                <w:color w:val="000000"/>
                <w:sz w:val="21"/>
                <w:szCs w:val="21"/>
                <w:lang w:eastAsia="pt-BR"/>
              </w:rPr>
            </w:pPr>
            <w:r w:rsidRPr="00D84901">
              <w:rPr>
                <w:rFonts w:ascii="Tahoma" w:eastAsia="Times New Roman" w:hAnsi="Tahoma" w:cs="Tahoma"/>
                <w:b/>
                <w:color w:val="000000"/>
                <w:sz w:val="21"/>
                <w:szCs w:val="21"/>
                <w:lang w:eastAsia="pt-BR"/>
              </w:rPr>
              <w:t>Até 100% </w:t>
            </w:r>
          </w:p>
        </w:tc>
      </w:tr>
      <w:tr w:rsidR="007462F0" w:rsidRPr="00D84901" w14:paraId="54D7E29D" w14:textId="77777777" w:rsidTr="00522B86">
        <w:trPr>
          <w:trHeight w:val="283"/>
        </w:trPr>
        <w:tc>
          <w:tcPr>
            <w:tcW w:w="6521" w:type="dxa"/>
            <w:tcBorders>
              <w:top w:val="nil"/>
              <w:left w:val="single" w:sz="4" w:space="0" w:color="auto"/>
              <w:bottom w:val="single" w:sz="4" w:space="0" w:color="auto"/>
              <w:right w:val="single" w:sz="4" w:space="0" w:color="auto"/>
            </w:tcBorders>
            <w:shd w:val="clear" w:color="auto" w:fill="auto"/>
            <w:noWrap/>
            <w:vAlign w:val="center"/>
            <w:hideMark/>
          </w:tcPr>
          <w:p w14:paraId="730E55AA" w14:textId="77777777" w:rsidR="007462F0" w:rsidRPr="00D84901" w:rsidRDefault="007462F0" w:rsidP="00522B86">
            <w:pPr>
              <w:spacing w:after="0" w:line="240" w:lineRule="auto"/>
              <w:rPr>
                <w:rFonts w:ascii="Tahoma" w:eastAsia="Times New Roman" w:hAnsi="Tahoma" w:cs="Tahoma"/>
                <w:sz w:val="21"/>
                <w:szCs w:val="21"/>
                <w:lang w:eastAsia="pt-BR"/>
              </w:rPr>
            </w:pPr>
            <w:r w:rsidRPr="00D84901">
              <w:rPr>
                <w:rFonts w:ascii="Tahoma" w:eastAsia="Times New Roman" w:hAnsi="Tahoma" w:cs="Tahoma"/>
                <w:sz w:val="21"/>
                <w:szCs w:val="21"/>
                <w:lang w:eastAsia="pt-BR"/>
              </w:rPr>
              <w:t>Alavancagem</w:t>
            </w:r>
          </w:p>
        </w:tc>
        <w:tc>
          <w:tcPr>
            <w:tcW w:w="1559" w:type="dxa"/>
            <w:tcBorders>
              <w:top w:val="nil"/>
              <w:left w:val="nil"/>
              <w:bottom w:val="single" w:sz="4" w:space="0" w:color="auto"/>
              <w:right w:val="single" w:sz="4" w:space="0" w:color="auto"/>
            </w:tcBorders>
            <w:shd w:val="clear" w:color="auto" w:fill="auto"/>
            <w:vAlign w:val="center"/>
            <w:hideMark/>
          </w:tcPr>
          <w:p w14:paraId="07F94B4E" w14:textId="77777777" w:rsidR="007462F0" w:rsidRPr="00D84901" w:rsidRDefault="007462F0" w:rsidP="00522B86">
            <w:pPr>
              <w:spacing w:after="0" w:line="240" w:lineRule="auto"/>
              <w:jc w:val="center"/>
              <w:rPr>
                <w:rFonts w:ascii="Tahoma" w:eastAsia="Times New Roman" w:hAnsi="Tahoma" w:cs="Tahoma"/>
                <w:sz w:val="21"/>
                <w:szCs w:val="21"/>
                <w:lang w:eastAsia="pt-BR"/>
              </w:rPr>
            </w:pPr>
            <w:r w:rsidRPr="00D84901">
              <w:rPr>
                <w:rFonts w:ascii="Tahoma" w:eastAsia="Times New Roman" w:hAnsi="Tahoma" w:cs="Tahoma"/>
                <w:sz w:val="21"/>
                <w:szCs w:val="21"/>
                <w:lang w:eastAsia="pt-BR"/>
              </w:rPr>
              <w:t xml:space="preserve">Permitido </w:t>
            </w:r>
          </w:p>
        </w:tc>
        <w:tc>
          <w:tcPr>
            <w:tcW w:w="1559" w:type="dxa"/>
            <w:tcBorders>
              <w:top w:val="nil"/>
              <w:left w:val="nil"/>
              <w:bottom w:val="single" w:sz="4" w:space="0" w:color="auto"/>
              <w:right w:val="single" w:sz="4" w:space="0" w:color="auto"/>
            </w:tcBorders>
            <w:shd w:val="clear" w:color="auto" w:fill="auto"/>
            <w:noWrap/>
            <w:vAlign w:val="center"/>
            <w:hideMark/>
          </w:tcPr>
          <w:p w14:paraId="01CA9C39" w14:textId="77777777" w:rsidR="007462F0" w:rsidRPr="00D84901" w:rsidRDefault="007462F0" w:rsidP="00522B86">
            <w:pPr>
              <w:spacing w:after="0" w:line="240" w:lineRule="auto"/>
              <w:jc w:val="center"/>
              <w:rPr>
                <w:rFonts w:ascii="Tahoma" w:eastAsia="Times New Roman" w:hAnsi="Tahoma" w:cs="Tahoma"/>
                <w:sz w:val="21"/>
                <w:szCs w:val="21"/>
                <w:lang w:eastAsia="pt-BR"/>
              </w:rPr>
            </w:pPr>
            <w:r w:rsidRPr="00D84901">
              <w:rPr>
                <w:rFonts w:ascii="Tahoma" w:eastAsia="Times New Roman" w:hAnsi="Tahoma" w:cs="Tahoma"/>
                <w:b/>
                <w:sz w:val="21"/>
                <w:szCs w:val="21"/>
                <w:lang w:eastAsia="pt-BR"/>
              </w:rPr>
              <w:t xml:space="preserve">Sem limite máximo definido </w:t>
            </w:r>
          </w:p>
        </w:tc>
      </w:tr>
    </w:tbl>
    <w:p w14:paraId="791D8BCF" w14:textId="77777777" w:rsidR="007462F0" w:rsidRPr="00D84901" w:rsidRDefault="007462F0" w:rsidP="007462F0">
      <w:pPr>
        <w:spacing w:after="0" w:line="240" w:lineRule="auto"/>
        <w:jc w:val="both"/>
        <w:rPr>
          <w:rFonts w:ascii="Tahoma" w:eastAsia="Times New Roman" w:hAnsi="Tahoma" w:cs="Tahoma"/>
          <w:sz w:val="21"/>
          <w:szCs w:val="21"/>
          <w:lang w:eastAsia="pt-BR"/>
        </w:rPr>
      </w:pPr>
    </w:p>
    <w:p w14:paraId="7D896ED2" w14:textId="77777777" w:rsidR="007462F0" w:rsidRPr="00D84901" w:rsidRDefault="007462F0" w:rsidP="007462F0">
      <w:pPr>
        <w:spacing w:after="0" w:line="240" w:lineRule="auto"/>
        <w:jc w:val="center"/>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DAS OPERAÇÕES COM O ADMINISTRADOR, GESTOR E LIGADAS PELO FUNDO E/OU PELOS FUNDOS INVESTIDOS</w:t>
      </w:r>
    </w:p>
    <w:p w14:paraId="1C6D5A6A" w14:textId="77777777" w:rsidR="007462F0" w:rsidRPr="00D84901" w:rsidRDefault="007462F0" w:rsidP="007462F0">
      <w:pPr>
        <w:spacing w:after="0" w:line="240" w:lineRule="auto"/>
        <w:rPr>
          <w:rFonts w:ascii="Tahoma" w:eastAsia="Times New Roman" w:hAnsi="Tahoma" w:cs="Tahoma"/>
          <w:sz w:val="21"/>
          <w:szCs w:val="21"/>
          <w:lang w:eastAsia="pt-BR"/>
        </w:rPr>
      </w:pPr>
    </w:p>
    <w:tbl>
      <w:tblPr>
        <w:tblW w:w="9639" w:type="dxa"/>
        <w:tblInd w:w="-5" w:type="dxa"/>
        <w:tblCellMar>
          <w:left w:w="70" w:type="dxa"/>
          <w:right w:w="70" w:type="dxa"/>
        </w:tblCellMar>
        <w:tblLook w:val="04A0" w:firstRow="1" w:lastRow="0" w:firstColumn="1" w:lastColumn="0" w:noHBand="0" w:noVBand="1"/>
      </w:tblPr>
      <w:tblGrid>
        <w:gridCol w:w="6521"/>
        <w:gridCol w:w="1559"/>
        <w:gridCol w:w="1559"/>
      </w:tblGrid>
      <w:tr w:rsidR="007462F0" w:rsidRPr="00D84901" w14:paraId="5F069418" w14:textId="77777777" w:rsidTr="00522B86">
        <w:trPr>
          <w:trHeight w:val="283"/>
        </w:trPr>
        <w:tc>
          <w:tcPr>
            <w:tcW w:w="65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A324C2E" w14:textId="77777777" w:rsidR="007462F0" w:rsidRPr="00D84901" w:rsidRDefault="007462F0" w:rsidP="00522B86">
            <w:pPr>
              <w:spacing w:after="0" w:line="240" w:lineRule="auto"/>
              <w:jc w:val="center"/>
              <w:rPr>
                <w:rFonts w:ascii="Tahoma" w:eastAsia="Times New Roman" w:hAnsi="Tahoma" w:cs="Tahoma"/>
                <w:b/>
                <w:bCs/>
                <w:color w:val="000000"/>
                <w:sz w:val="21"/>
                <w:szCs w:val="21"/>
                <w:lang w:eastAsia="pt-BR"/>
              </w:rPr>
            </w:pPr>
            <w:r w:rsidRPr="00D84901">
              <w:rPr>
                <w:rFonts w:ascii="Tahoma" w:eastAsia="Times New Roman" w:hAnsi="Tahoma" w:cs="Tahoma"/>
                <w:b/>
                <w:bCs/>
                <w:color w:val="000000"/>
                <w:sz w:val="21"/>
                <w:szCs w:val="21"/>
                <w:lang w:eastAsia="pt-BR"/>
              </w:rPr>
              <w:t xml:space="preserve">OPERAÇÕES COM O ADMINISTRADOR, GESTOR E LIGADAS </w:t>
            </w:r>
          </w:p>
        </w:tc>
        <w:tc>
          <w:tcPr>
            <w:tcW w:w="155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A158F9" w14:textId="77777777" w:rsidR="007462F0" w:rsidRPr="00D84901" w:rsidRDefault="007462F0" w:rsidP="00522B86">
            <w:pPr>
              <w:spacing w:after="0" w:line="240" w:lineRule="auto"/>
              <w:jc w:val="center"/>
              <w:rPr>
                <w:rFonts w:ascii="Tahoma" w:eastAsia="Times New Roman" w:hAnsi="Tahoma" w:cs="Tahoma"/>
                <w:b/>
                <w:bCs/>
                <w:color w:val="000000"/>
                <w:sz w:val="21"/>
                <w:szCs w:val="21"/>
                <w:lang w:eastAsia="pt-BR"/>
              </w:rPr>
            </w:pPr>
            <w:r w:rsidRPr="00D84901">
              <w:rPr>
                <w:rFonts w:ascii="Tahoma" w:eastAsia="Times New Roman" w:hAnsi="Tahoma" w:cs="Tahoma"/>
                <w:b/>
                <w:bCs/>
                <w:color w:val="000000"/>
                <w:sz w:val="21"/>
                <w:szCs w:val="21"/>
                <w:lang w:eastAsia="pt-BR"/>
              </w:rPr>
              <w:t>Permitido/ Vedado</w:t>
            </w:r>
          </w:p>
        </w:tc>
        <w:tc>
          <w:tcPr>
            <w:tcW w:w="155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6DF479C" w14:textId="77777777" w:rsidR="007462F0" w:rsidRPr="00D84901" w:rsidRDefault="007462F0" w:rsidP="00522B86">
            <w:pPr>
              <w:spacing w:after="0" w:line="240" w:lineRule="auto"/>
              <w:jc w:val="center"/>
              <w:rPr>
                <w:rFonts w:ascii="Tahoma" w:eastAsia="Times New Roman" w:hAnsi="Tahoma" w:cs="Tahoma"/>
                <w:b/>
                <w:bCs/>
                <w:color w:val="000000"/>
                <w:sz w:val="21"/>
                <w:szCs w:val="21"/>
                <w:lang w:eastAsia="pt-BR"/>
              </w:rPr>
            </w:pPr>
            <w:r w:rsidRPr="00D84901">
              <w:rPr>
                <w:rFonts w:ascii="Tahoma" w:eastAsia="Times New Roman" w:hAnsi="Tahoma" w:cs="Tahoma"/>
                <w:b/>
                <w:bCs/>
                <w:color w:val="000000"/>
                <w:sz w:val="21"/>
                <w:szCs w:val="21"/>
                <w:lang w:eastAsia="pt-BR"/>
              </w:rPr>
              <w:t>Limite aplicável</w:t>
            </w:r>
          </w:p>
          <w:p w14:paraId="4ECB0EE0" w14:textId="77777777" w:rsidR="007462F0" w:rsidRPr="00D84901" w:rsidRDefault="007462F0" w:rsidP="00522B86">
            <w:pPr>
              <w:spacing w:after="0" w:line="240" w:lineRule="auto"/>
              <w:jc w:val="center"/>
              <w:rPr>
                <w:rFonts w:ascii="Tahoma" w:eastAsia="Times New Roman" w:hAnsi="Tahoma" w:cs="Tahoma"/>
                <w:sz w:val="21"/>
                <w:szCs w:val="21"/>
                <w:lang w:eastAsia="pt-BR"/>
              </w:rPr>
            </w:pPr>
            <w:r w:rsidRPr="00D84901">
              <w:rPr>
                <w:rFonts w:ascii="Tahoma" w:eastAsia="Times New Roman" w:hAnsi="Tahoma" w:cs="Tahoma"/>
                <w:b/>
                <w:bCs/>
                <w:color w:val="000000"/>
                <w:sz w:val="21"/>
                <w:szCs w:val="21"/>
                <w:lang w:eastAsia="pt-BR"/>
              </w:rPr>
              <w:t>(% do PL)</w:t>
            </w:r>
          </w:p>
        </w:tc>
      </w:tr>
      <w:tr w:rsidR="007462F0" w:rsidRPr="00D84901" w14:paraId="4354EE96" w14:textId="77777777" w:rsidTr="00522B86">
        <w:trPr>
          <w:trHeight w:val="283"/>
        </w:trPr>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C4C11" w14:textId="77777777" w:rsidR="007462F0" w:rsidRPr="00D84901" w:rsidRDefault="007462F0" w:rsidP="00522B86">
            <w:pPr>
              <w:spacing w:after="0" w:line="240" w:lineRule="auto"/>
              <w:jc w:val="both"/>
              <w:rPr>
                <w:rFonts w:ascii="Tahoma" w:eastAsia="Times New Roman" w:hAnsi="Tahoma" w:cs="Tahoma"/>
                <w:color w:val="000000"/>
                <w:sz w:val="21"/>
                <w:szCs w:val="21"/>
                <w:lang w:eastAsia="pt-BR"/>
              </w:rPr>
            </w:pPr>
            <w:r w:rsidRPr="00D84901">
              <w:rPr>
                <w:rFonts w:ascii="Tahoma" w:eastAsia="Times New Roman" w:hAnsi="Tahoma" w:cs="Tahoma"/>
                <w:color w:val="000000"/>
                <w:sz w:val="21"/>
                <w:szCs w:val="21"/>
                <w:lang w:eastAsia="pt-BR"/>
              </w:rPr>
              <w:t xml:space="preserve">Títulos ou valores mobiliários de emissão do ADMINISTRADOR, do GESTOR ou de empresas a eles ligadas, </w:t>
            </w:r>
            <w:r w:rsidRPr="00D84901">
              <w:rPr>
                <w:rFonts w:ascii="Tahoma" w:eastAsia="Times New Roman" w:hAnsi="Tahoma" w:cs="Tahoma"/>
                <w:sz w:val="21"/>
                <w:szCs w:val="21"/>
                <w:lang w:eastAsia="pt-BR"/>
              </w:rPr>
              <w:t>considerando-se a consolidação dos investimentos do FUNDO e dos Fundos Investidos, sendo vedada a aquisição de ações do ADMINISTRADOR,</w:t>
            </w:r>
            <w:r w:rsidRPr="00D84901">
              <w:rPr>
                <w:rFonts w:ascii="Tahoma" w:eastAsia="Times New Roman" w:hAnsi="Tahoma" w:cs="Tahoma"/>
                <w:color w:val="000000"/>
                <w:sz w:val="21"/>
                <w:szCs w:val="21"/>
                <w:lang w:eastAsia="pt-BR"/>
              </w:rPr>
              <w:t xml:space="preserve"> </w:t>
            </w:r>
            <w:r w:rsidRPr="00D84901">
              <w:rPr>
                <w:rFonts w:ascii="Tahoma" w:eastAsia="Times New Roman" w:hAnsi="Tahoma" w:cs="Tahoma"/>
                <w:sz w:val="21"/>
                <w:szCs w:val="21"/>
                <w:lang w:eastAsia="pt-BR"/>
              </w:rPr>
              <w:t>exceto nas hipóteses em que o Fundo Investido busque reproduzir índice de mercado do qual estas ações façam parte, exclusivamente na proporção desta participação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7AED881" w14:textId="77777777" w:rsidR="007462F0" w:rsidRPr="00D84901" w:rsidRDefault="007462F0" w:rsidP="00522B86">
            <w:pPr>
              <w:spacing w:after="0" w:line="240" w:lineRule="auto"/>
              <w:jc w:val="center"/>
              <w:rPr>
                <w:rFonts w:ascii="Tahoma" w:eastAsia="Times New Roman" w:hAnsi="Tahoma" w:cs="Tahoma"/>
                <w:color w:val="000000"/>
                <w:sz w:val="21"/>
                <w:szCs w:val="21"/>
                <w:lang w:eastAsia="pt-BR"/>
              </w:rPr>
            </w:pPr>
            <w:r w:rsidRPr="00D84901">
              <w:rPr>
                <w:rFonts w:ascii="Tahoma" w:eastAsia="Times New Roman" w:hAnsi="Tahoma" w:cs="Tahoma"/>
                <w:color w:val="000000"/>
                <w:sz w:val="21"/>
                <w:szCs w:val="21"/>
                <w:lang w:eastAsia="pt-BR"/>
              </w:rPr>
              <w:t>Permitido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9B4ACC6" w14:textId="77777777" w:rsidR="007462F0" w:rsidRPr="00D84901" w:rsidRDefault="007462F0" w:rsidP="00522B86">
            <w:pPr>
              <w:spacing w:after="0" w:line="240" w:lineRule="auto"/>
              <w:jc w:val="center"/>
              <w:rPr>
                <w:rFonts w:ascii="Tahoma" w:eastAsia="Times New Roman" w:hAnsi="Tahoma" w:cs="Tahoma"/>
                <w:b/>
                <w:color w:val="000000"/>
                <w:sz w:val="21"/>
                <w:szCs w:val="21"/>
                <w:lang w:eastAsia="pt-BR"/>
              </w:rPr>
            </w:pPr>
            <w:r w:rsidRPr="00D84901">
              <w:rPr>
                <w:rFonts w:ascii="Tahoma" w:eastAsia="Times New Roman" w:hAnsi="Tahoma" w:cs="Tahoma"/>
                <w:b/>
                <w:color w:val="000000"/>
                <w:sz w:val="21"/>
                <w:szCs w:val="21"/>
                <w:lang w:eastAsia="pt-BR"/>
              </w:rPr>
              <w:t>Até 100%</w:t>
            </w:r>
          </w:p>
        </w:tc>
      </w:tr>
      <w:tr w:rsidR="007462F0" w:rsidRPr="00D84901" w14:paraId="3EB9A511" w14:textId="77777777" w:rsidTr="00522B86">
        <w:trPr>
          <w:trHeight w:val="283"/>
        </w:trPr>
        <w:tc>
          <w:tcPr>
            <w:tcW w:w="6521" w:type="dxa"/>
            <w:tcBorders>
              <w:top w:val="nil"/>
              <w:left w:val="single" w:sz="4" w:space="0" w:color="auto"/>
              <w:bottom w:val="single" w:sz="4" w:space="0" w:color="auto"/>
              <w:right w:val="single" w:sz="4" w:space="0" w:color="auto"/>
            </w:tcBorders>
            <w:shd w:val="clear" w:color="auto" w:fill="auto"/>
            <w:vAlign w:val="center"/>
            <w:hideMark/>
          </w:tcPr>
          <w:p w14:paraId="2C51D559" w14:textId="77777777" w:rsidR="007462F0" w:rsidRPr="00D84901" w:rsidRDefault="007462F0" w:rsidP="00522B86">
            <w:pPr>
              <w:spacing w:after="0" w:line="240" w:lineRule="auto"/>
              <w:jc w:val="both"/>
              <w:rPr>
                <w:rFonts w:ascii="Tahoma" w:eastAsia="Times New Roman" w:hAnsi="Tahoma" w:cs="Tahoma"/>
                <w:color w:val="000000"/>
                <w:sz w:val="21"/>
                <w:szCs w:val="21"/>
                <w:lang w:eastAsia="pt-BR"/>
              </w:rPr>
            </w:pPr>
            <w:r w:rsidRPr="00D84901">
              <w:rPr>
                <w:rFonts w:ascii="Tahoma" w:eastAsia="Times New Roman" w:hAnsi="Tahoma" w:cs="Tahoma"/>
                <w:color w:val="000000"/>
                <w:sz w:val="21"/>
                <w:szCs w:val="21"/>
                <w:lang w:eastAsia="pt-BR"/>
              </w:rPr>
              <w:t>Cotas de fundos de investimento administrados pelo ADMINISTRADOR, GESTOR ou empresas a eles ligadas</w:t>
            </w:r>
          </w:p>
        </w:tc>
        <w:tc>
          <w:tcPr>
            <w:tcW w:w="1559" w:type="dxa"/>
            <w:tcBorders>
              <w:top w:val="nil"/>
              <w:left w:val="nil"/>
              <w:bottom w:val="single" w:sz="4" w:space="0" w:color="auto"/>
              <w:right w:val="single" w:sz="4" w:space="0" w:color="auto"/>
            </w:tcBorders>
            <w:shd w:val="clear" w:color="auto" w:fill="auto"/>
            <w:vAlign w:val="center"/>
            <w:hideMark/>
          </w:tcPr>
          <w:p w14:paraId="5A727D8A" w14:textId="77777777" w:rsidR="007462F0" w:rsidRPr="00D84901" w:rsidRDefault="007462F0" w:rsidP="00522B86">
            <w:pPr>
              <w:spacing w:after="0" w:line="240" w:lineRule="auto"/>
              <w:jc w:val="center"/>
              <w:rPr>
                <w:rFonts w:ascii="Tahoma" w:eastAsia="Times New Roman" w:hAnsi="Tahoma" w:cs="Tahoma"/>
                <w:color w:val="000000"/>
                <w:sz w:val="21"/>
                <w:szCs w:val="21"/>
                <w:lang w:eastAsia="pt-BR"/>
              </w:rPr>
            </w:pPr>
            <w:r w:rsidRPr="00D84901">
              <w:rPr>
                <w:rFonts w:ascii="Tahoma" w:eastAsia="Times New Roman" w:hAnsi="Tahoma" w:cs="Tahoma"/>
                <w:color w:val="000000"/>
                <w:sz w:val="21"/>
                <w:szCs w:val="21"/>
                <w:lang w:eastAsia="pt-BR"/>
              </w:rPr>
              <w:t>Permitido</w:t>
            </w:r>
          </w:p>
        </w:tc>
        <w:tc>
          <w:tcPr>
            <w:tcW w:w="1559" w:type="dxa"/>
            <w:tcBorders>
              <w:top w:val="nil"/>
              <w:left w:val="nil"/>
              <w:bottom w:val="single" w:sz="4" w:space="0" w:color="auto"/>
              <w:right w:val="single" w:sz="4" w:space="0" w:color="auto"/>
            </w:tcBorders>
            <w:shd w:val="clear" w:color="auto" w:fill="auto"/>
            <w:noWrap/>
            <w:vAlign w:val="center"/>
            <w:hideMark/>
          </w:tcPr>
          <w:p w14:paraId="7546F889" w14:textId="77777777" w:rsidR="007462F0" w:rsidRPr="00D84901" w:rsidRDefault="007462F0" w:rsidP="00522B86">
            <w:pPr>
              <w:spacing w:after="0" w:line="240" w:lineRule="auto"/>
              <w:jc w:val="center"/>
              <w:rPr>
                <w:rFonts w:ascii="Tahoma" w:eastAsia="Times New Roman" w:hAnsi="Tahoma" w:cs="Tahoma"/>
                <w:b/>
                <w:color w:val="000000"/>
                <w:sz w:val="21"/>
                <w:szCs w:val="21"/>
                <w:lang w:eastAsia="pt-BR"/>
              </w:rPr>
            </w:pPr>
            <w:r w:rsidRPr="00D84901">
              <w:rPr>
                <w:rFonts w:ascii="Tahoma" w:eastAsia="Times New Roman" w:hAnsi="Tahoma" w:cs="Tahoma"/>
                <w:b/>
                <w:color w:val="000000"/>
                <w:sz w:val="21"/>
                <w:szCs w:val="21"/>
                <w:lang w:eastAsia="pt-BR"/>
              </w:rPr>
              <w:t>Até 100%</w:t>
            </w:r>
          </w:p>
        </w:tc>
      </w:tr>
      <w:tr w:rsidR="007462F0" w:rsidRPr="00D84901" w14:paraId="1EE85D05" w14:textId="77777777" w:rsidTr="00522B86">
        <w:trPr>
          <w:trHeight w:val="283"/>
        </w:trPr>
        <w:tc>
          <w:tcPr>
            <w:tcW w:w="6521" w:type="dxa"/>
            <w:tcBorders>
              <w:top w:val="nil"/>
              <w:left w:val="single" w:sz="4" w:space="0" w:color="auto"/>
              <w:bottom w:val="single" w:sz="4" w:space="0" w:color="auto"/>
              <w:right w:val="single" w:sz="4" w:space="0" w:color="auto"/>
            </w:tcBorders>
            <w:shd w:val="clear" w:color="auto" w:fill="auto"/>
            <w:vAlign w:val="center"/>
            <w:hideMark/>
          </w:tcPr>
          <w:p w14:paraId="72FE5C68" w14:textId="77777777" w:rsidR="007462F0" w:rsidRPr="00D84901" w:rsidRDefault="007462F0" w:rsidP="00522B86">
            <w:pPr>
              <w:spacing w:after="0" w:line="240" w:lineRule="auto"/>
              <w:jc w:val="both"/>
              <w:rPr>
                <w:rFonts w:ascii="Tahoma" w:eastAsia="Times New Roman" w:hAnsi="Tahoma" w:cs="Tahoma"/>
                <w:color w:val="000000"/>
                <w:sz w:val="21"/>
                <w:szCs w:val="21"/>
                <w:lang w:eastAsia="pt-BR"/>
              </w:rPr>
            </w:pPr>
            <w:r w:rsidRPr="00D84901">
              <w:rPr>
                <w:rFonts w:ascii="Tahoma" w:eastAsia="Times New Roman" w:hAnsi="Tahoma" w:cs="Tahoma"/>
                <w:color w:val="000000"/>
                <w:sz w:val="21"/>
                <w:szCs w:val="21"/>
                <w:lang w:eastAsia="pt-BR"/>
              </w:rPr>
              <w:lastRenderedPageBreak/>
              <w:t>Operações tendo como contraparte o ADMINISTRADOR, o GESTOR e empresas a eles ligadas, bem como fundos de investimento, clubes de investimento e/ou carteiras administradas pelo ADMINISTRADOR, pelo GESTOR ou por empresas a eles ligadas</w:t>
            </w:r>
          </w:p>
        </w:tc>
        <w:tc>
          <w:tcPr>
            <w:tcW w:w="1559" w:type="dxa"/>
            <w:tcBorders>
              <w:top w:val="nil"/>
              <w:left w:val="nil"/>
              <w:bottom w:val="single" w:sz="4" w:space="0" w:color="auto"/>
              <w:right w:val="single" w:sz="4" w:space="0" w:color="auto"/>
            </w:tcBorders>
            <w:shd w:val="clear" w:color="auto" w:fill="auto"/>
            <w:vAlign w:val="center"/>
            <w:hideMark/>
          </w:tcPr>
          <w:p w14:paraId="232BFCD1" w14:textId="77777777" w:rsidR="007462F0" w:rsidRPr="00D84901" w:rsidRDefault="007462F0" w:rsidP="00522B86">
            <w:pPr>
              <w:spacing w:after="0" w:line="240" w:lineRule="auto"/>
              <w:jc w:val="center"/>
              <w:rPr>
                <w:rFonts w:ascii="Tahoma" w:eastAsia="Times New Roman" w:hAnsi="Tahoma" w:cs="Tahoma"/>
                <w:color w:val="000000"/>
                <w:sz w:val="21"/>
                <w:szCs w:val="21"/>
                <w:lang w:eastAsia="pt-BR"/>
              </w:rPr>
            </w:pPr>
            <w:r w:rsidRPr="00D84901">
              <w:rPr>
                <w:rFonts w:ascii="Tahoma" w:eastAsia="Times New Roman" w:hAnsi="Tahoma" w:cs="Tahoma"/>
                <w:color w:val="000000"/>
                <w:sz w:val="21"/>
                <w:szCs w:val="21"/>
                <w:lang w:eastAsia="pt-BR"/>
              </w:rPr>
              <w:t>Permitido</w:t>
            </w:r>
          </w:p>
        </w:tc>
        <w:tc>
          <w:tcPr>
            <w:tcW w:w="1559" w:type="dxa"/>
            <w:tcBorders>
              <w:top w:val="nil"/>
              <w:left w:val="nil"/>
              <w:bottom w:val="single" w:sz="4" w:space="0" w:color="auto"/>
              <w:right w:val="single" w:sz="4" w:space="0" w:color="auto"/>
            </w:tcBorders>
            <w:shd w:val="clear" w:color="auto" w:fill="auto"/>
            <w:noWrap/>
            <w:vAlign w:val="center"/>
            <w:hideMark/>
          </w:tcPr>
          <w:p w14:paraId="698E9B4A" w14:textId="77777777" w:rsidR="007462F0" w:rsidRPr="00D84901" w:rsidRDefault="007462F0" w:rsidP="00522B86">
            <w:pPr>
              <w:spacing w:after="0" w:line="240" w:lineRule="auto"/>
              <w:jc w:val="center"/>
              <w:rPr>
                <w:rFonts w:ascii="Tahoma" w:eastAsia="Times New Roman" w:hAnsi="Tahoma" w:cs="Tahoma"/>
                <w:b/>
                <w:color w:val="000000"/>
                <w:sz w:val="21"/>
                <w:szCs w:val="21"/>
                <w:lang w:eastAsia="pt-BR"/>
              </w:rPr>
            </w:pPr>
            <w:r w:rsidRPr="00D84901">
              <w:rPr>
                <w:rFonts w:ascii="Tahoma" w:eastAsia="Times New Roman" w:hAnsi="Tahoma" w:cs="Tahoma"/>
                <w:b/>
                <w:color w:val="000000"/>
                <w:sz w:val="21"/>
                <w:szCs w:val="21"/>
                <w:lang w:eastAsia="pt-BR"/>
              </w:rPr>
              <w:t>Até 100%</w:t>
            </w:r>
          </w:p>
        </w:tc>
      </w:tr>
    </w:tbl>
    <w:p w14:paraId="53455B50" w14:textId="77777777" w:rsidR="007462F0" w:rsidRPr="00D84901" w:rsidRDefault="007462F0" w:rsidP="007462F0">
      <w:pPr>
        <w:spacing w:after="0" w:line="240" w:lineRule="auto"/>
        <w:jc w:val="both"/>
        <w:rPr>
          <w:rFonts w:ascii="Tahoma" w:eastAsia="Times New Roman" w:hAnsi="Tahoma" w:cs="Tahoma"/>
          <w:sz w:val="21"/>
          <w:szCs w:val="21"/>
          <w:lang w:eastAsia="pt-BR"/>
        </w:rPr>
      </w:pPr>
    </w:p>
    <w:p w14:paraId="26CCE561" w14:textId="77777777" w:rsidR="007462F0" w:rsidRPr="00D84901" w:rsidRDefault="007462F0" w:rsidP="007462F0">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3.3.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1D88817F" w14:textId="77777777" w:rsidR="007462F0" w:rsidRPr="00D84901" w:rsidRDefault="007462F0" w:rsidP="007462F0">
      <w:pPr>
        <w:spacing w:after="0" w:line="240" w:lineRule="auto"/>
        <w:jc w:val="both"/>
        <w:rPr>
          <w:rFonts w:ascii="Tahoma" w:eastAsia="Times New Roman" w:hAnsi="Tahoma" w:cs="Tahoma"/>
          <w:sz w:val="21"/>
          <w:szCs w:val="21"/>
          <w:lang w:eastAsia="pt-BR"/>
        </w:rPr>
      </w:pPr>
    </w:p>
    <w:p w14:paraId="18DCB503" w14:textId="77777777" w:rsidR="007462F0" w:rsidRPr="00D84901" w:rsidRDefault="007462F0" w:rsidP="007462F0">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3.4. Os limites indicados nos quadros acima serão considerados em conjunto e cumulativamente.</w:t>
      </w:r>
    </w:p>
    <w:p w14:paraId="6618FFB1" w14:textId="77777777" w:rsidR="007462F0" w:rsidRPr="00D84901" w:rsidRDefault="007462F0" w:rsidP="007462F0">
      <w:pPr>
        <w:spacing w:after="0" w:line="240" w:lineRule="auto"/>
        <w:jc w:val="both"/>
        <w:rPr>
          <w:rFonts w:ascii="Tahoma" w:eastAsia="Times New Roman" w:hAnsi="Tahoma" w:cs="Tahoma"/>
          <w:sz w:val="21"/>
          <w:szCs w:val="21"/>
          <w:lang w:eastAsia="pt-BR"/>
        </w:rPr>
      </w:pPr>
    </w:p>
    <w:p w14:paraId="68160DB4" w14:textId="77777777" w:rsidR="007462F0" w:rsidRPr="00D84901" w:rsidRDefault="007462F0" w:rsidP="007462F0">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3.5. Observado o disposto nos quadros acima, cada Fundo Investido observará os limites por emissor e por modalidade de ativo previstos na regulamentação aplicável.</w:t>
      </w:r>
    </w:p>
    <w:p w14:paraId="31189B84" w14:textId="77777777" w:rsidR="007462F0" w:rsidRPr="00D84901" w:rsidRDefault="007462F0" w:rsidP="007462F0">
      <w:pPr>
        <w:spacing w:after="0" w:line="240" w:lineRule="auto"/>
        <w:jc w:val="both"/>
        <w:rPr>
          <w:rFonts w:ascii="Tahoma" w:eastAsia="Times New Roman" w:hAnsi="Tahoma" w:cs="Tahoma"/>
          <w:sz w:val="21"/>
          <w:szCs w:val="21"/>
          <w:lang w:eastAsia="pt-BR"/>
        </w:rPr>
      </w:pPr>
    </w:p>
    <w:p w14:paraId="1812EABA" w14:textId="77777777" w:rsidR="007462F0" w:rsidRPr="00D84901" w:rsidRDefault="007462F0" w:rsidP="007462F0">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 xml:space="preserve">3.6. O FUNDO não será obrigado a consolidar as aplicações em cotas de fundos de índice negociados em mercados organizados e em cotas de Fundos Investidos cujas carteiras sejam geridas por terceiros não ligados ao ADMINISTRADOR ou ao GESTOR do FUNDO. </w:t>
      </w:r>
    </w:p>
    <w:p w14:paraId="28C397E5" w14:textId="77777777" w:rsidR="007462F0" w:rsidRPr="00D84901" w:rsidRDefault="007462F0" w:rsidP="007462F0">
      <w:pPr>
        <w:spacing w:after="0" w:line="240" w:lineRule="auto"/>
        <w:jc w:val="both"/>
        <w:rPr>
          <w:rFonts w:ascii="Tahoma" w:eastAsia="Times New Roman" w:hAnsi="Tahoma" w:cs="Tahoma"/>
          <w:sz w:val="21"/>
          <w:szCs w:val="21"/>
          <w:lang w:eastAsia="pt-BR"/>
        </w:rPr>
      </w:pPr>
    </w:p>
    <w:p w14:paraId="72A6FA1D" w14:textId="77777777" w:rsidR="007462F0" w:rsidRPr="00D84901" w:rsidRDefault="007462F0" w:rsidP="007462F0">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0AD62725" w14:textId="77777777" w:rsidR="007462F0" w:rsidRPr="00D84901" w:rsidRDefault="007462F0" w:rsidP="007462F0">
      <w:pPr>
        <w:spacing w:after="0" w:line="240" w:lineRule="auto"/>
        <w:jc w:val="both"/>
        <w:rPr>
          <w:rFonts w:ascii="Tahoma" w:eastAsia="Times New Roman" w:hAnsi="Tahoma" w:cs="Tahoma"/>
          <w:sz w:val="21"/>
          <w:szCs w:val="21"/>
          <w:lang w:eastAsia="pt-BR"/>
        </w:rPr>
      </w:pPr>
    </w:p>
    <w:p w14:paraId="54A86C9D" w14:textId="77777777" w:rsidR="007462F0" w:rsidRPr="00D84901" w:rsidRDefault="007462F0" w:rsidP="007462F0">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5C5BA963" w14:textId="77777777" w:rsidR="007462F0" w:rsidRPr="00D84901" w:rsidRDefault="007462F0" w:rsidP="007462F0">
      <w:pPr>
        <w:spacing w:after="0" w:line="240" w:lineRule="auto"/>
        <w:jc w:val="both"/>
        <w:rPr>
          <w:rFonts w:ascii="Tahoma" w:eastAsia="Times New Roman" w:hAnsi="Tahoma" w:cs="Tahoma"/>
          <w:sz w:val="21"/>
          <w:szCs w:val="21"/>
          <w:lang w:eastAsia="pt-BR"/>
        </w:rPr>
      </w:pPr>
    </w:p>
    <w:p w14:paraId="437E1973" w14:textId="77777777" w:rsidR="007462F0" w:rsidRPr="00D84901" w:rsidRDefault="007462F0" w:rsidP="007462F0">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3.9. Ficam vedadas as aplicações pelo FUNDO em cotas de fundos de investimento que invistam diretamente no FUNDO.</w:t>
      </w:r>
    </w:p>
    <w:p w14:paraId="57A32C7D" w14:textId="77777777" w:rsidR="007462F0" w:rsidRPr="00D84901" w:rsidRDefault="007462F0" w:rsidP="007462F0">
      <w:pPr>
        <w:spacing w:after="0" w:line="240" w:lineRule="auto"/>
        <w:jc w:val="both"/>
        <w:rPr>
          <w:rFonts w:ascii="Tahoma" w:eastAsia="Times New Roman" w:hAnsi="Tahoma" w:cs="Tahoma"/>
          <w:sz w:val="21"/>
          <w:szCs w:val="21"/>
          <w:lang w:eastAsia="pt-BR"/>
        </w:rPr>
      </w:pPr>
    </w:p>
    <w:p w14:paraId="29EE9DD7" w14:textId="77777777" w:rsidR="007462F0" w:rsidRPr="00D84901" w:rsidRDefault="007462F0" w:rsidP="007462F0">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3.10. O ADMINISTRADOR, o GESTOR e qualquer empresa pertencente ao mesmo conglomerado financeiro, bem como diretores, gerentes e funcionários dessas empresas poderão ter posições em subscrever ou operar com ativos financeiros que integrem ou venham a integrar a CARTEIRA do FUNDO e/ou a carteira dos Fundos Investidos.</w:t>
      </w:r>
    </w:p>
    <w:p w14:paraId="422A0032" w14:textId="77777777" w:rsidR="007462F0" w:rsidRPr="00D84901" w:rsidRDefault="007462F0" w:rsidP="007462F0">
      <w:pPr>
        <w:spacing w:after="0" w:line="240" w:lineRule="auto"/>
        <w:jc w:val="both"/>
        <w:rPr>
          <w:rFonts w:ascii="Tahoma" w:eastAsia="Times New Roman" w:hAnsi="Tahoma" w:cs="Tahoma"/>
          <w:sz w:val="21"/>
          <w:szCs w:val="21"/>
          <w:lang w:eastAsia="pt-BR"/>
        </w:rPr>
      </w:pPr>
    </w:p>
    <w:p w14:paraId="605655C1" w14:textId="77777777" w:rsidR="007462F0" w:rsidRPr="00D84901" w:rsidRDefault="007462F0" w:rsidP="007462F0">
      <w:pPr>
        <w:tabs>
          <w:tab w:val="left" w:pos="426"/>
          <w:tab w:val="left" w:pos="1843"/>
        </w:tabs>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r w:rsidRPr="00D84901" w:rsidDel="00AE6AD9">
        <w:rPr>
          <w:rFonts w:ascii="Tahoma" w:eastAsia="Times New Roman" w:hAnsi="Tahoma" w:cs="Tahoma"/>
          <w:sz w:val="21"/>
          <w:szCs w:val="21"/>
          <w:lang w:eastAsia="pt-BR"/>
        </w:rPr>
        <w:t xml:space="preserve">  </w:t>
      </w:r>
    </w:p>
    <w:p w14:paraId="6B24B3EA" w14:textId="77777777" w:rsidR="007462F0" w:rsidRPr="00D84901" w:rsidRDefault="007462F0" w:rsidP="007462F0">
      <w:pPr>
        <w:tabs>
          <w:tab w:val="left" w:pos="426"/>
          <w:tab w:val="left" w:pos="1843"/>
        </w:tabs>
        <w:spacing w:after="0" w:line="240" w:lineRule="auto"/>
        <w:jc w:val="both"/>
        <w:rPr>
          <w:rFonts w:ascii="Tahoma" w:eastAsia="Times New Roman" w:hAnsi="Tahoma" w:cs="Tahoma"/>
          <w:sz w:val="21"/>
          <w:szCs w:val="21"/>
          <w:lang w:eastAsia="pt-BR"/>
        </w:rPr>
      </w:pPr>
    </w:p>
    <w:p w14:paraId="7A16F9F0" w14:textId="77777777" w:rsidR="007462F0" w:rsidRPr="00D84901" w:rsidRDefault="007462F0" w:rsidP="007462F0">
      <w:pPr>
        <w:pBdr>
          <w:bottom w:val="single" w:sz="6" w:space="1" w:color="auto"/>
        </w:pBdr>
        <w:spacing w:after="0" w:line="280" w:lineRule="atLeast"/>
        <w:jc w:val="center"/>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 xml:space="preserve">CLÁUSULA QUARTA –DOS RISCOS </w:t>
      </w:r>
    </w:p>
    <w:p w14:paraId="5E7F559C"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56043164" w14:textId="77777777" w:rsidR="007462F0" w:rsidRPr="00D84901" w:rsidRDefault="007462F0" w:rsidP="007462F0">
      <w:pPr>
        <w:spacing w:after="0" w:line="240" w:lineRule="auto"/>
        <w:jc w:val="both"/>
        <w:rPr>
          <w:rFonts w:ascii="Tahoma" w:eastAsia="Times New Roman" w:hAnsi="Tahoma" w:cs="Tahoma"/>
          <w:color w:val="000000"/>
          <w:sz w:val="21"/>
          <w:szCs w:val="21"/>
          <w:lang w:eastAsia="pt-BR"/>
        </w:rPr>
      </w:pPr>
      <w:r w:rsidRPr="00D84901">
        <w:rPr>
          <w:rFonts w:ascii="Tahoma" w:eastAsia="Times New Roman" w:hAnsi="Tahoma" w:cs="Tahoma"/>
          <w:sz w:val="21"/>
          <w:szCs w:val="21"/>
          <w:lang w:eastAsia="pt-BR"/>
        </w:rPr>
        <w:t>4.1.</w:t>
      </w:r>
      <w:r w:rsidRPr="00D84901">
        <w:rPr>
          <w:rFonts w:ascii="Tahoma" w:eastAsia="Times New Roman" w:hAnsi="Tahoma" w:cs="Tahoma"/>
          <w:sz w:val="21"/>
          <w:szCs w:val="21"/>
          <w:lang w:eastAsia="pt-BR"/>
        </w:rPr>
        <w:tab/>
      </w:r>
      <w:r w:rsidRPr="00D84901">
        <w:rPr>
          <w:rFonts w:ascii="Tahoma" w:eastAsia="Times New Roman" w:hAnsi="Tahoma" w:cs="Tahoma"/>
          <w:color w:val="000000"/>
          <w:sz w:val="21"/>
          <w:szCs w:val="21"/>
          <w:lang w:eastAsia="pt-BR"/>
        </w:rPr>
        <w:t>O FUNDO e seus Cotistas estão sujeitos, principalmente, aos seguintes fatores risco:</w:t>
      </w:r>
    </w:p>
    <w:p w14:paraId="79E79C7F" w14:textId="77777777" w:rsidR="007462F0" w:rsidRPr="00D84901" w:rsidRDefault="007462F0" w:rsidP="007462F0">
      <w:pPr>
        <w:spacing w:after="0" w:line="240" w:lineRule="auto"/>
        <w:jc w:val="both"/>
        <w:rPr>
          <w:rFonts w:ascii="Tahoma" w:eastAsia="Times New Roman" w:hAnsi="Tahoma" w:cs="Tahoma"/>
          <w:color w:val="000000"/>
          <w:sz w:val="21"/>
          <w:szCs w:val="21"/>
          <w:lang w:eastAsia="pt-BR"/>
        </w:rPr>
      </w:pPr>
    </w:p>
    <w:p w14:paraId="456BA5CE" w14:textId="77777777" w:rsidR="007462F0" w:rsidRPr="00D84901" w:rsidRDefault="007462F0" w:rsidP="007462F0">
      <w:pPr>
        <w:spacing w:after="0" w:line="240" w:lineRule="auto"/>
        <w:jc w:val="both"/>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Risco de Mercado:</w:t>
      </w:r>
      <w:r w:rsidRPr="00D84901">
        <w:rPr>
          <w:rFonts w:ascii="Tahoma" w:eastAsia="Times New Roman" w:hAnsi="Tahoma" w:cs="Tahoma"/>
          <w:sz w:val="21"/>
          <w:szCs w:val="21"/>
          <w:lang w:eastAsia="pt-BR"/>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4DC49871" w14:textId="77777777" w:rsidR="007462F0" w:rsidRPr="00D84901" w:rsidRDefault="007462F0" w:rsidP="007462F0">
      <w:pPr>
        <w:spacing w:after="0" w:line="240" w:lineRule="auto"/>
        <w:jc w:val="both"/>
        <w:rPr>
          <w:rFonts w:ascii="Tahoma" w:eastAsia="Times New Roman" w:hAnsi="Tahoma" w:cs="Tahoma"/>
          <w:b/>
          <w:sz w:val="21"/>
          <w:szCs w:val="21"/>
          <w:lang w:eastAsia="pt-BR"/>
        </w:rPr>
      </w:pPr>
    </w:p>
    <w:p w14:paraId="0A190145" w14:textId="77777777" w:rsidR="007462F0" w:rsidRPr="00D84901" w:rsidRDefault="007462F0" w:rsidP="007462F0">
      <w:pPr>
        <w:spacing w:after="0" w:line="240" w:lineRule="auto"/>
        <w:jc w:val="both"/>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Risco de Crédito:</w:t>
      </w:r>
      <w:r w:rsidRPr="00D84901">
        <w:rPr>
          <w:rFonts w:ascii="Tahoma" w:eastAsia="Times New Roman" w:hAnsi="Tahoma" w:cs="Tahoma"/>
          <w:sz w:val="21"/>
          <w:szCs w:val="21"/>
          <w:lang w:eastAsia="pt-BR"/>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7C525BDA" w14:textId="77777777" w:rsidR="007462F0" w:rsidRPr="00D84901" w:rsidRDefault="007462F0" w:rsidP="007462F0">
      <w:pPr>
        <w:spacing w:after="0" w:line="240" w:lineRule="auto"/>
        <w:jc w:val="both"/>
        <w:rPr>
          <w:rFonts w:ascii="Tahoma" w:eastAsia="Times New Roman" w:hAnsi="Tahoma" w:cs="Tahoma"/>
          <w:b/>
          <w:sz w:val="21"/>
          <w:szCs w:val="21"/>
          <w:lang w:eastAsia="pt-BR"/>
        </w:rPr>
      </w:pPr>
    </w:p>
    <w:p w14:paraId="7E9AA557" w14:textId="77777777" w:rsidR="007462F0" w:rsidRPr="00D84901" w:rsidRDefault="007462F0" w:rsidP="007462F0">
      <w:pPr>
        <w:spacing w:after="0" w:line="240" w:lineRule="auto"/>
        <w:jc w:val="both"/>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Risco de Liquidez:</w:t>
      </w:r>
      <w:r w:rsidRPr="00D84901">
        <w:rPr>
          <w:rFonts w:ascii="Tahoma" w:eastAsia="Times New Roman" w:hAnsi="Tahoma" w:cs="Tahoma"/>
          <w:sz w:val="21"/>
          <w:szCs w:val="21"/>
          <w:lang w:eastAsia="pt-BR"/>
        </w:rPr>
        <w:t xml:space="preserve">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w:t>
      </w:r>
      <w:r w:rsidRPr="00D84901">
        <w:rPr>
          <w:rFonts w:ascii="Tahoma" w:eastAsia="Times New Roman" w:hAnsi="Tahoma" w:cs="Tahoma"/>
          <w:sz w:val="21"/>
          <w:szCs w:val="21"/>
          <w:lang w:eastAsia="pt-BR"/>
        </w:rPr>
        <w:lastRenderedPageBreak/>
        <w:t>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0DC5F138" w14:textId="77777777" w:rsidR="007462F0" w:rsidRPr="00D84901" w:rsidRDefault="007462F0" w:rsidP="007462F0">
      <w:pPr>
        <w:spacing w:after="0" w:line="240" w:lineRule="auto"/>
        <w:jc w:val="both"/>
        <w:rPr>
          <w:rFonts w:ascii="Tahoma" w:eastAsia="Times New Roman" w:hAnsi="Tahoma" w:cs="Tahoma"/>
          <w:b/>
          <w:sz w:val="21"/>
          <w:szCs w:val="21"/>
          <w:lang w:eastAsia="pt-BR"/>
        </w:rPr>
      </w:pPr>
    </w:p>
    <w:p w14:paraId="7DC3B97F" w14:textId="77777777" w:rsidR="007462F0" w:rsidRPr="00D84901" w:rsidRDefault="007462F0" w:rsidP="007462F0">
      <w:pPr>
        <w:spacing w:after="0" w:line="240" w:lineRule="auto"/>
        <w:jc w:val="both"/>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Risco Decorrente da Precificação dos Ativos Financeiros:</w:t>
      </w:r>
      <w:r w:rsidRPr="00D84901">
        <w:rPr>
          <w:rFonts w:ascii="Tahoma" w:eastAsia="Times New Roman" w:hAnsi="Tahoma" w:cs="Tahoma"/>
          <w:sz w:val="21"/>
          <w:szCs w:val="21"/>
          <w:lang w:eastAsia="pt-BR"/>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58B03A44" w14:textId="77777777" w:rsidR="007462F0" w:rsidRPr="00D84901" w:rsidRDefault="007462F0" w:rsidP="007462F0">
      <w:pPr>
        <w:spacing w:after="0" w:line="240" w:lineRule="auto"/>
        <w:jc w:val="both"/>
        <w:rPr>
          <w:rFonts w:ascii="Tahoma" w:eastAsia="Times New Roman" w:hAnsi="Tahoma" w:cs="Tahoma"/>
          <w:b/>
          <w:sz w:val="21"/>
          <w:szCs w:val="21"/>
          <w:lang w:eastAsia="pt-BR"/>
        </w:rPr>
      </w:pPr>
    </w:p>
    <w:p w14:paraId="7BB829BA" w14:textId="77777777" w:rsidR="007462F0" w:rsidRPr="00D84901" w:rsidRDefault="007462F0" w:rsidP="007462F0">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b/>
          <w:sz w:val="21"/>
          <w:szCs w:val="21"/>
          <w:lang w:eastAsia="pt-BR"/>
        </w:rPr>
        <w:t>Risco Relacionado aos Fundos Investidos:</w:t>
      </w:r>
      <w:r w:rsidRPr="00D84901">
        <w:rPr>
          <w:rFonts w:ascii="Tahoma" w:eastAsia="Times New Roman" w:hAnsi="Tahoma" w:cs="Tahoma"/>
          <w:sz w:val="21"/>
          <w:szCs w:val="21"/>
          <w:lang w:eastAsia="pt-BR"/>
        </w:rPr>
        <w:t xml:space="preserve"> o FUNDO, na qualidade de cotista dos Fundos Investidos, está sujeito a todos os riscos envolvidos nas aplicações realizadas por tais Fundos Investidos. O ADMINISTRADOR e o GESTOR não têm qualquer poder de decisão ou interferência na composição da carteira de investimento ou na definição de estratégias de gestão dos Fundos Investidos geridos por terceiros. </w:t>
      </w:r>
    </w:p>
    <w:p w14:paraId="6325BB68" w14:textId="77777777" w:rsidR="007462F0" w:rsidRPr="00D84901" w:rsidRDefault="007462F0" w:rsidP="007462F0">
      <w:pPr>
        <w:spacing w:after="0" w:line="240" w:lineRule="auto"/>
        <w:jc w:val="both"/>
        <w:rPr>
          <w:rFonts w:ascii="Tahoma" w:eastAsia="Times New Roman" w:hAnsi="Tahoma" w:cs="Tahoma"/>
          <w:b/>
          <w:sz w:val="21"/>
          <w:szCs w:val="21"/>
          <w:lang w:eastAsia="pt-BR"/>
        </w:rPr>
      </w:pPr>
    </w:p>
    <w:p w14:paraId="399361EB" w14:textId="77777777" w:rsidR="007462F0" w:rsidRPr="00D84901" w:rsidRDefault="007462F0" w:rsidP="007462F0">
      <w:pPr>
        <w:spacing w:after="0" w:line="240" w:lineRule="auto"/>
        <w:jc w:val="both"/>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Risco de Perdas Patrimoniais:</w:t>
      </w:r>
      <w:r w:rsidRPr="00D84901">
        <w:rPr>
          <w:rFonts w:ascii="Tahoma" w:eastAsia="Times New Roman" w:hAnsi="Tahoma" w:cs="Tahoma"/>
          <w:sz w:val="21"/>
          <w:szCs w:val="21"/>
          <w:lang w:eastAsia="pt-BR"/>
        </w:rPr>
        <w:t xml:space="preserve"> Este FUNDO e/ou os Fundos Investidos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r w:rsidRPr="00D84901" w:rsidDel="00DE07D3">
        <w:rPr>
          <w:rFonts w:ascii="Tahoma" w:eastAsia="Times New Roman" w:hAnsi="Tahoma" w:cs="Tahoma"/>
          <w:sz w:val="21"/>
          <w:szCs w:val="21"/>
          <w:lang w:eastAsia="pt-BR"/>
        </w:rPr>
        <w:t xml:space="preserve"> </w:t>
      </w:r>
    </w:p>
    <w:p w14:paraId="662045BE" w14:textId="77777777" w:rsidR="007462F0" w:rsidRPr="00D84901" w:rsidRDefault="007462F0" w:rsidP="007462F0">
      <w:pPr>
        <w:spacing w:after="0" w:line="240" w:lineRule="auto"/>
        <w:jc w:val="both"/>
        <w:rPr>
          <w:rFonts w:ascii="Tahoma" w:eastAsia="Times New Roman" w:hAnsi="Tahoma" w:cs="Tahoma"/>
          <w:b/>
          <w:sz w:val="21"/>
          <w:szCs w:val="21"/>
          <w:lang w:eastAsia="pt-BR"/>
        </w:rPr>
      </w:pPr>
    </w:p>
    <w:p w14:paraId="7F206DE6" w14:textId="77777777" w:rsidR="007462F0" w:rsidRPr="00D84901" w:rsidRDefault="007462F0" w:rsidP="007462F0">
      <w:pPr>
        <w:spacing w:after="0" w:line="240" w:lineRule="auto"/>
        <w:jc w:val="both"/>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Risco de Concentração:</w:t>
      </w:r>
      <w:r w:rsidRPr="00D84901">
        <w:rPr>
          <w:rFonts w:ascii="Tahoma" w:eastAsia="Times New Roman" w:hAnsi="Tahoma" w:cs="Tahoma"/>
          <w:sz w:val="21"/>
          <w:szCs w:val="21"/>
          <w:lang w:eastAsia="pt-BR"/>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1A2515A1" w14:textId="77777777" w:rsidR="007462F0" w:rsidRPr="00D84901" w:rsidRDefault="007462F0" w:rsidP="007462F0">
      <w:pPr>
        <w:spacing w:after="0" w:line="240" w:lineRule="auto"/>
        <w:jc w:val="both"/>
        <w:rPr>
          <w:rFonts w:ascii="Tahoma" w:eastAsia="Times New Roman" w:hAnsi="Tahoma" w:cs="Tahoma"/>
          <w:b/>
          <w:sz w:val="21"/>
          <w:szCs w:val="21"/>
          <w:lang w:eastAsia="pt-BR"/>
        </w:rPr>
      </w:pPr>
    </w:p>
    <w:p w14:paraId="1BBB8BBF" w14:textId="77777777" w:rsidR="007462F0" w:rsidRPr="00D84901" w:rsidRDefault="007462F0" w:rsidP="007462F0">
      <w:pPr>
        <w:spacing w:after="0" w:line="240" w:lineRule="auto"/>
        <w:jc w:val="both"/>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Risco Cambial:</w:t>
      </w:r>
      <w:r w:rsidRPr="00D84901">
        <w:rPr>
          <w:rFonts w:ascii="Tahoma" w:eastAsia="Times New Roman" w:hAnsi="Tahoma" w:cs="Tahoma"/>
          <w:sz w:val="21"/>
          <w:szCs w:val="21"/>
          <w:lang w:eastAsia="pt-BR"/>
        </w:rPr>
        <w:t xml:space="preserve">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04ECD217" w14:textId="77777777" w:rsidR="007462F0" w:rsidRPr="00D84901" w:rsidRDefault="007462F0" w:rsidP="007462F0">
      <w:pPr>
        <w:spacing w:after="0" w:line="240" w:lineRule="auto"/>
        <w:jc w:val="both"/>
        <w:rPr>
          <w:rFonts w:ascii="Tahoma" w:eastAsia="Times New Roman" w:hAnsi="Tahoma" w:cs="Tahoma"/>
          <w:b/>
          <w:sz w:val="21"/>
          <w:szCs w:val="21"/>
          <w:lang w:eastAsia="pt-BR"/>
        </w:rPr>
      </w:pPr>
    </w:p>
    <w:p w14:paraId="0C447C93" w14:textId="77777777" w:rsidR="007462F0" w:rsidRPr="00D84901" w:rsidRDefault="007462F0" w:rsidP="007462F0">
      <w:pPr>
        <w:spacing w:after="0" w:line="240" w:lineRule="auto"/>
        <w:jc w:val="both"/>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Risco de Concentração em Créditos Privados:</w:t>
      </w:r>
      <w:r w:rsidRPr="00D84901">
        <w:rPr>
          <w:rFonts w:ascii="Tahoma" w:eastAsia="Times New Roman" w:hAnsi="Tahoma" w:cs="Tahoma"/>
          <w:sz w:val="21"/>
          <w:szCs w:val="21"/>
          <w:lang w:eastAsia="pt-BR"/>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3A6BBA11" w14:textId="77777777" w:rsidR="007462F0" w:rsidRPr="00D84901" w:rsidRDefault="007462F0" w:rsidP="007462F0">
      <w:pPr>
        <w:spacing w:after="0" w:line="240" w:lineRule="auto"/>
        <w:jc w:val="both"/>
        <w:rPr>
          <w:rFonts w:ascii="Tahoma" w:eastAsia="Times New Roman" w:hAnsi="Tahoma" w:cs="Tahoma"/>
          <w:b/>
          <w:sz w:val="21"/>
          <w:szCs w:val="21"/>
          <w:lang w:eastAsia="pt-BR"/>
        </w:rPr>
      </w:pPr>
    </w:p>
    <w:p w14:paraId="51CDED86" w14:textId="77777777" w:rsidR="007462F0" w:rsidRPr="00D84901" w:rsidRDefault="007462F0" w:rsidP="007462F0">
      <w:pPr>
        <w:spacing w:after="0" w:line="240" w:lineRule="auto"/>
        <w:jc w:val="both"/>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 xml:space="preserve">Risco de Mercado Externo: </w:t>
      </w:r>
      <w:r w:rsidRPr="00D84901">
        <w:rPr>
          <w:rFonts w:ascii="Tahoma" w:eastAsia="Times New Roman" w:hAnsi="Tahoma" w:cs="Tahoma"/>
          <w:sz w:val="21"/>
          <w:szCs w:val="21"/>
          <w:lang w:eastAsia="pt-BR"/>
        </w:rPr>
        <w:t>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641E153B" w14:textId="77777777" w:rsidR="007462F0" w:rsidRPr="00D84901" w:rsidRDefault="007462F0" w:rsidP="007462F0">
      <w:pPr>
        <w:spacing w:after="0" w:line="240" w:lineRule="auto"/>
        <w:jc w:val="both"/>
        <w:rPr>
          <w:rFonts w:ascii="Tahoma" w:eastAsia="Times New Roman" w:hAnsi="Tahoma" w:cs="Tahoma"/>
          <w:b/>
          <w:bCs/>
          <w:color w:val="000000"/>
          <w:sz w:val="21"/>
          <w:szCs w:val="21"/>
          <w:lang w:eastAsia="pt-BR"/>
        </w:rPr>
      </w:pPr>
    </w:p>
    <w:p w14:paraId="71215352" w14:textId="77777777" w:rsidR="007462F0" w:rsidRPr="00D84901" w:rsidRDefault="007462F0" w:rsidP="007462F0">
      <w:pPr>
        <w:spacing w:after="0" w:line="240" w:lineRule="auto"/>
        <w:jc w:val="both"/>
        <w:rPr>
          <w:rFonts w:ascii="Tahoma" w:eastAsia="Times New Roman" w:hAnsi="Tahoma" w:cs="Tahoma"/>
          <w:b/>
          <w:sz w:val="21"/>
          <w:szCs w:val="21"/>
          <w:lang w:eastAsia="pt-BR"/>
        </w:rPr>
      </w:pPr>
      <w:r w:rsidRPr="00D84901">
        <w:rPr>
          <w:rFonts w:ascii="Tahoma" w:eastAsia="Times New Roman" w:hAnsi="Tahoma" w:cs="Tahoma"/>
          <w:b/>
          <w:bCs/>
          <w:color w:val="000000"/>
          <w:sz w:val="21"/>
          <w:szCs w:val="21"/>
          <w:lang w:eastAsia="pt-BR"/>
        </w:rPr>
        <w:t xml:space="preserve">Risco do Tratamento Fiscal: </w:t>
      </w:r>
      <w:r w:rsidRPr="00D84901">
        <w:rPr>
          <w:rFonts w:ascii="Tahoma" w:eastAsia="Times New Roman" w:hAnsi="Tahoma" w:cs="Tahoma"/>
          <w:bCs/>
          <w:iCs/>
          <w:color w:val="000000"/>
          <w:sz w:val="21"/>
          <w:szCs w:val="21"/>
          <w:lang w:eastAsia="pt-BR"/>
        </w:rPr>
        <w:t>O FUNDO tentará obter o tratamento fiscal previsto para fundos de investimento de longo prazo previsto na regulamentação fiscal vigente, de modo que não há garantia de que o Fundo terá o tratamento tributário perseguido, sendo que, caso o Fundo seja descaracterizado, passará a ter tratamento tributário aplicável aos fundos de investimento de curto prazo.</w:t>
      </w:r>
    </w:p>
    <w:p w14:paraId="2686574B" w14:textId="77777777" w:rsidR="007462F0" w:rsidRPr="00D84901" w:rsidRDefault="007462F0" w:rsidP="007462F0">
      <w:pPr>
        <w:spacing w:after="0" w:line="240" w:lineRule="auto"/>
        <w:jc w:val="both"/>
        <w:rPr>
          <w:rFonts w:ascii="Tahoma" w:eastAsia="Times New Roman" w:hAnsi="Tahoma" w:cs="Tahoma"/>
          <w:b/>
          <w:sz w:val="21"/>
          <w:szCs w:val="21"/>
          <w:lang w:eastAsia="pt-BR"/>
        </w:rPr>
      </w:pPr>
    </w:p>
    <w:p w14:paraId="0ACF9E4F" w14:textId="77777777" w:rsidR="007462F0" w:rsidRPr="00D84901" w:rsidRDefault="007462F0" w:rsidP="007462F0">
      <w:pPr>
        <w:spacing w:after="0" w:line="240" w:lineRule="auto"/>
        <w:jc w:val="both"/>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 xml:space="preserve">Risco Regulatório: </w:t>
      </w:r>
      <w:r w:rsidRPr="00D84901">
        <w:rPr>
          <w:rFonts w:ascii="Tahoma" w:eastAsia="Times New Roman" w:hAnsi="Tahoma" w:cs="Tahoma"/>
          <w:sz w:val="21"/>
          <w:szCs w:val="21"/>
          <w:lang w:eastAsia="pt-BR"/>
        </w:rPr>
        <w:t xml:space="preserve">As eventuais alterações e/ou interpretações das normas ou leis aplicáveis ao FUNDO, e/ou aos Fundos Investidos e/ou aos Cotistas, tanto pela CVM quanto por reguladores específicos a cada segmento de </w:t>
      </w:r>
      <w:r w:rsidRPr="00D84901">
        <w:rPr>
          <w:rFonts w:ascii="Tahoma" w:eastAsia="Times New Roman" w:hAnsi="Tahoma" w:cs="Tahoma"/>
          <w:sz w:val="21"/>
          <w:szCs w:val="21"/>
          <w:lang w:eastAsia="pt-BR"/>
        </w:rPr>
        <w:lastRenderedPageBreak/>
        <w:t>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59F8E9CE" w14:textId="77777777" w:rsidR="007462F0" w:rsidRPr="00D84901" w:rsidRDefault="007462F0" w:rsidP="007462F0">
      <w:pPr>
        <w:spacing w:after="0" w:line="240" w:lineRule="auto"/>
        <w:jc w:val="both"/>
        <w:rPr>
          <w:rFonts w:ascii="Tahoma" w:eastAsia="Times New Roman" w:hAnsi="Tahoma" w:cs="Tahoma"/>
          <w:b/>
          <w:bCs/>
          <w:color w:val="000000"/>
          <w:sz w:val="21"/>
          <w:szCs w:val="21"/>
          <w:lang w:eastAsia="pt-BR"/>
        </w:rPr>
      </w:pPr>
    </w:p>
    <w:p w14:paraId="3D2E6B03" w14:textId="77777777" w:rsidR="007462F0" w:rsidRPr="00D84901" w:rsidRDefault="007462F0" w:rsidP="007462F0">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38CC3080" w14:textId="77777777" w:rsidR="007462F0" w:rsidRPr="00D84901" w:rsidRDefault="007462F0" w:rsidP="007462F0">
      <w:pPr>
        <w:spacing w:after="0" w:line="240" w:lineRule="auto"/>
        <w:jc w:val="both"/>
        <w:rPr>
          <w:rFonts w:ascii="Tahoma" w:eastAsia="Times New Roman" w:hAnsi="Tahoma" w:cs="Tahoma"/>
          <w:sz w:val="21"/>
          <w:szCs w:val="21"/>
          <w:lang w:eastAsia="pt-BR"/>
        </w:rPr>
      </w:pPr>
    </w:p>
    <w:p w14:paraId="0C6D733F" w14:textId="77777777" w:rsidR="007462F0" w:rsidRPr="00D84901" w:rsidRDefault="007462F0" w:rsidP="007462F0">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5DEAFC12" w14:textId="77777777" w:rsidR="007462F0" w:rsidRPr="00D84901" w:rsidRDefault="007462F0" w:rsidP="007462F0">
      <w:pPr>
        <w:spacing w:after="0" w:line="240" w:lineRule="auto"/>
        <w:jc w:val="both"/>
        <w:rPr>
          <w:rFonts w:ascii="Tahoma" w:eastAsia="Times New Roman" w:hAnsi="Tahoma" w:cs="Tahoma"/>
          <w:sz w:val="21"/>
          <w:szCs w:val="21"/>
          <w:lang w:eastAsia="pt-BR"/>
        </w:rPr>
      </w:pPr>
    </w:p>
    <w:p w14:paraId="1AD5239F" w14:textId="77777777" w:rsidR="007462F0" w:rsidRPr="00D84901" w:rsidRDefault="007462F0" w:rsidP="007462F0">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7DC43F82"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6CC559A2" w14:textId="77777777" w:rsidR="007462F0" w:rsidRPr="00D84901" w:rsidRDefault="007462F0" w:rsidP="007462F0">
      <w:pPr>
        <w:pBdr>
          <w:bottom w:val="single" w:sz="6" w:space="1" w:color="auto"/>
        </w:pBdr>
        <w:spacing w:after="0" w:line="280" w:lineRule="atLeast"/>
        <w:jc w:val="center"/>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CLÁUSULA QUINTA – DA ADMINISTRAÇÃO E DOS PRESTADORES DE SERVIÇOS</w:t>
      </w:r>
    </w:p>
    <w:p w14:paraId="6A0C7BFB"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7BFD4E2E" w14:textId="77777777" w:rsidR="007462F0" w:rsidRPr="00D84901" w:rsidRDefault="007462F0" w:rsidP="007462F0">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 xml:space="preserve">5.1. O FUNDO é administrado e gerido pela </w:t>
      </w:r>
      <w:r w:rsidRPr="00D84901">
        <w:rPr>
          <w:rFonts w:ascii="Tahoma" w:eastAsia="Times New Roman" w:hAnsi="Tahoma" w:cs="Tahoma"/>
          <w:b/>
          <w:bCs/>
          <w:sz w:val="21"/>
          <w:szCs w:val="21"/>
          <w:lang w:eastAsia="pt-BR"/>
        </w:rPr>
        <w:t>SANTANDER DISTRIBUIDORA DE TÍTULOS E VALORES MOBILIÁRIOS S.A.,</w:t>
      </w:r>
      <w:r w:rsidRPr="00D84901">
        <w:rPr>
          <w:rFonts w:ascii="Tahoma" w:eastAsia="Times New Roman" w:hAnsi="Tahoma" w:cs="Tahoma"/>
          <w:sz w:val="21"/>
          <w:szCs w:val="21"/>
          <w:lang w:eastAsia="pt-BR"/>
        </w:rPr>
        <w:t xml:space="preserve"> com sede na Rua João </w:t>
      </w:r>
      <w:proofErr w:type="spellStart"/>
      <w:r w:rsidRPr="00D84901">
        <w:rPr>
          <w:rFonts w:ascii="Tahoma" w:eastAsia="Times New Roman" w:hAnsi="Tahoma" w:cs="Tahoma"/>
          <w:sz w:val="21"/>
          <w:szCs w:val="21"/>
          <w:lang w:eastAsia="pt-BR"/>
        </w:rPr>
        <w:t>Brícola</w:t>
      </w:r>
      <w:proofErr w:type="spellEnd"/>
      <w:r w:rsidRPr="00D84901">
        <w:rPr>
          <w:rFonts w:ascii="Tahoma" w:eastAsia="Times New Roman" w:hAnsi="Tahoma" w:cs="Tahoma"/>
          <w:sz w:val="21"/>
          <w:szCs w:val="21"/>
          <w:lang w:eastAsia="pt-BR"/>
        </w:rPr>
        <w:t>, 24 – 16º e 17º andares – Centro Histórico, São Paulo/SP, inscrita no CNPJ sob nº 03.502.968/0001-04 e credenciada na CVM para a administração de carteiras conforme Ato Declaratório CVM nº 20006, de 28/07/2022 (“ADMINISTRADOR” e “GESTOR”).</w:t>
      </w:r>
    </w:p>
    <w:p w14:paraId="3FAD4089"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74918B21"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5.2. Os serviços de custódia, tesouraria, controladoria e processamento dos Ativos Financeiros</w:t>
      </w:r>
      <w:r w:rsidRPr="00D84901" w:rsidDel="00FA248C">
        <w:rPr>
          <w:rFonts w:ascii="Tahoma" w:eastAsia="Times New Roman" w:hAnsi="Tahoma" w:cs="Tahoma"/>
          <w:sz w:val="21"/>
          <w:szCs w:val="21"/>
          <w:lang w:eastAsia="pt-BR"/>
        </w:rPr>
        <w:t xml:space="preserve"> </w:t>
      </w:r>
      <w:r w:rsidRPr="00D84901">
        <w:rPr>
          <w:rFonts w:ascii="Tahoma" w:eastAsia="Times New Roman" w:hAnsi="Tahoma" w:cs="Tahoma"/>
          <w:sz w:val="21"/>
          <w:szCs w:val="21"/>
          <w:lang w:eastAsia="pt-BR"/>
        </w:rPr>
        <w:t xml:space="preserve">integrantes da Carteira do FUNDO serão realizados pela </w:t>
      </w:r>
      <w:r w:rsidRPr="00D84901">
        <w:rPr>
          <w:rFonts w:ascii="Tahoma" w:eastAsia="Times New Roman" w:hAnsi="Tahoma" w:cs="Tahoma"/>
          <w:b/>
          <w:sz w:val="21"/>
          <w:szCs w:val="21"/>
          <w:lang w:eastAsia="pt-BR"/>
        </w:rPr>
        <w:t>S3 CACEIS BRASIL DISTRIBUIDORA DE TÍTULOS E VALORES MOBILIÁRIOS S.A.</w:t>
      </w:r>
      <w:r w:rsidRPr="00D84901">
        <w:rPr>
          <w:rFonts w:ascii="Tahoma" w:eastAsia="Times New Roman" w:hAnsi="Tahoma" w:cs="Tahoma"/>
          <w:sz w:val="21"/>
          <w:szCs w:val="21"/>
          <w:lang w:eastAsia="pt-BR"/>
        </w:rPr>
        <w:t>, com sede na Rua Amador Bueno, 474, 1º andar, Bloco D, Santo Amaro, São Paulo/SP, inscrita no CNPJ nº 62.318.407/0001-19, e credenciado na CVM para exercer a custódia de valores mobiliários conforme Ato Declaratório CVM nº 12.676, de 07/11/2012 (“CUSTODIANTE”).</w:t>
      </w:r>
    </w:p>
    <w:p w14:paraId="0E935625"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455C854F"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5.3. As informações sobre os prestadores de serviços de distribuição das cotas do FUNDO e de controladoria e processamento do passivo do FUNDO (escrituração de cotas) ficarão disponíveis para consulta, no site da CVM.</w:t>
      </w:r>
    </w:p>
    <w:p w14:paraId="09730690"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1CCF7424"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 xml:space="preserve">5.4. O ADMINISTRADOR poderá contratar terceiros, em nome do FUNDO, para prestação de demais serviços. </w:t>
      </w:r>
    </w:p>
    <w:p w14:paraId="5DA75AE6"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785710E1" w14:textId="77777777" w:rsidR="007462F0" w:rsidRPr="00D84901" w:rsidRDefault="007462F0" w:rsidP="007462F0">
      <w:pPr>
        <w:pBdr>
          <w:bottom w:val="single" w:sz="6" w:space="1" w:color="auto"/>
        </w:pBdr>
        <w:spacing w:after="0" w:line="280" w:lineRule="atLeast"/>
        <w:jc w:val="center"/>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CLÁUSULA SEXTA – DA REMUNERAÇÃO E DEMAIS ENCARGOS</w:t>
      </w:r>
    </w:p>
    <w:p w14:paraId="3F2F7416"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1A853CA5"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047458D1"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7E7FF95A"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b/>
          <w:sz w:val="21"/>
          <w:szCs w:val="21"/>
          <w:lang w:eastAsia="pt-BR"/>
        </w:rPr>
        <w:t>Taxa de Administração Mínima</w:t>
      </w:r>
      <w:r w:rsidRPr="00D84901">
        <w:rPr>
          <w:rFonts w:ascii="Tahoma" w:eastAsia="Times New Roman" w:hAnsi="Tahoma" w:cs="Tahoma"/>
          <w:sz w:val="21"/>
          <w:szCs w:val="21"/>
          <w:lang w:eastAsia="pt-BR"/>
        </w:rPr>
        <w:t>: Não será cobrada taxa de administração mínima no FUNDO.</w:t>
      </w:r>
    </w:p>
    <w:p w14:paraId="0E8DF114"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766637A5"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b/>
          <w:bCs/>
          <w:sz w:val="21"/>
          <w:szCs w:val="21"/>
          <w:lang w:eastAsia="pt-BR"/>
        </w:rPr>
        <w:t>Taxa de Administração Máxima</w:t>
      </w:r>
      <w:r w:rsidRPr="00D84901">
        <w:rPr>
          <w:rFonts w:ascii="Tahoma" w:eastAsia="Times New Roman" w:hAnsi="Tahoma" w:cs="Tahoma"/>
          <w:sz w:val="21"/>
          <w:szCs w:val="21"/>
          <w:lang w:eastAsia="pt-BR"/>
        </w:rPr>
        <w:t>:</w:t>
      </w:r>
      <w:r w:rsidRPr="00D84901" w:rsidDel="00B03ECA">
        <w:rPr>
          <w:rFonts w:ascii="Tahoma" w:eastAsia="Times New Roman" w:hAnsi="Tahoma" w:cs="Tahoma"/>
          <w:sz w:val="21"/>
          <w:szCs w:val="21"/>
          <w:lang w:eastAsia="pt-BR"/>
        </w:rPr>
        <w:t xml:space="preserve"> </w:t>
      </w:r>
      <w:r w:rsidRPr="00D84901">
        <w:rPr>
          <w:rFonts w:ascii="Tahoma" w:eastAsia="Times New Roman" w:hAnsi="Tahoma" w:cs="Tahoma"/>
          <w:sz w:val="21"/>
          <w:szCs w:val="21"/>
          <w:lang w:eastAsia="pt-BR"/>
        </w:rPr>
        <w:t>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4A71BBAA"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08393304"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6.1.1. A Taxa de Administração Mínima será calculada e provisionada por dia útil sobre o valor do patrimônio líquido do FUNDO do dia útil imediatamente anterior, mediante divisão da taxa anual por 252 (duzentos e cinquenta e dois) dias, sendo paga mensalmente, até o 5º (quinto) dia útil do mês subsequente.</w:t>
      </w:r>
    </w:p>
    <w:p w14:paraId="1566D428"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24E5C2BF"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6.1.3. O FUNDO poderá aplicar seus recursos em fundos de investimento que cobrem taxa de performance, ingresso e saída.</w:t>
      </w:r>
      <w:r w:rsidRPr="00D84901">
        <w:rPr>
          <w:rFonts w:ascii="Tahoma" w:eastAsia="Times New Roman" w:hAnsi="Tahoma" w:cs="Tahoma"/>
          <w:sz w:val="21"/>
          <w:szCs w:val="21"/>
          <w:vertAlign w:val="superscript"/>
          <w:lang w:eastAsia="pt-BR"/>
        </w:rPr>
        <w:t xml:space="preserve"> </w:t>
      </w:r>
    </w:p>
    <w:p w14:paraId="1D6CE66A"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75D03FDB"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6.2. Não haverá cobrança de taxa de performance e taxa de custódia no FUNDO.</w:t>
      </w:r>
    </w:p>
    <w:p w14:paraId="512E9C1C"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0427B937" w14:textId="77777777" w:rsidR="007462F0" w:rsidRPr="00D84901" w:rsidRDefault="007462F0" w:rsidP="007462F0">
      <w:pPr>
        <w:spacing w:after="0" w:line="280" w:lineRule="atLeast"/>
        <w:jc w:val="both"/>
        <w:rPr>
          <w:rFonts w:ascii="Tahoma" w:eastAsia="Arial Unicode MS" w:hAnsi="Tahoma" w:cs="Tahoma"/>
          <w:sz w:val="21"/>
          <w:szCs w:val="21"/>
          <w:lang w:eastAsia="pt-BR"/>
        </w:rPr>
      </w:pPr>
      <w:r w:rsidRPr="00D84901">
        <w:rPr>
          <w:rFonts w:ascii="Tahoma" w:eastAsia="Arial Unicode MS" w:hAnsi="Tahoma" w:cs="Tahoma"/>
          <w:sz w:val="21"/>
          <w:szCs w:val="21"/>
          <w:lang w:eastAsia="pt-BR"/>
        </w:rPr>
        <w:t xml:space="preserve">6.3. Não será cobrada dos </w:t>
      </w:r>
      <w:proofErr w:type="gramStart"/>
      <w:r w:rsidRPr="00D84901">
        <w:rPr>
          <w:rFonts w:ascii="Tahoma" w:eastAsia="Arial Unicode MS" w:hAnsi="Tahoma" w:cs="Tahoma"/>
          <w:sz w:val="21"/>
          <w:szCs w:val="21"/>
          <w:lang w:eastAsia="pt-BR"/>
        </w:rPr>
        <w:t>Cotistas taxa</w:t>
      </w:r>
      <w:proofErr w:type="gramEnd"/>
      <w:r w:rsidRPr="00D84901">
        <w:rPr>
          <w:rFonts w:ascii="Tahoma" w:eastAsia="Arial Unicode MS" w:hAnsi="Tahoma" w:cs="Tahoma"/>
          <w:sz w:val="21"/>
          <w:szCs w:val="21"/>
          <w:lang w:eastAsia="pt-BR"/>
        </w:rPr>
        <w:t xml:space="preserve"> de ingresso e de saída quando da realização de aplicação e resgate no FUNDO, respectivamente.</w:t>
      </w:r>
    </w:p>
    <w:p w14:paraId="02F91AB2"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2981DC7B"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6.4. Além das Taxas de Administração e da Taxa de Performance, se houver, constituirão encargos que poderão ser debitados diretamente do FUNDO as seguintes despesas:</w:t>
      </w:r>
    </w:p>
    <w:p w14:paraId="75F42EE7"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33B84B0E" w14:textId="77777777" w:rsidR="007462F0" w:rsidRPr="00D84901" w:rsidRDefault="007462F0" w:rsidP="007462F0">
      <w:pPr>
        <w:spacing w:after="0" w:line="280" w:lineRule="atLeast"/>
        <w:jc w:val="both"/>
        <w:rPr>
          <w:rFonts w:ascii="Tahoma" w:eastAsia="Arial Unicode MS" w:hAnsi="Tahoma" w:cs="Tahoma"/>
          <w:sz w:val="21"/>
          <w:szCs w:val="21"/>
          <w:lang w:eastAsia="pt-BR"/>
        </w:rPr>
      </w:pPr>
      <w:r w:rsidRPr="00D84901">
        <w:rPr>
          <w:rFonts w:ascii="Tahoma" w:eastAsia="Arial Unicode MS" w:hAnsi="Tahoma" w:cs="Tahoma"/>
          <w:sz w:val="21"/>
          <w:szCs w:val="21"/>
          <w:lang w:eastAsia="pt-BR"/>
        </w:rPr>
        <w:t>(i) taxas, impostos ou contribuições federais, estaduais, municipais ou autárquicas, que recaiam ou venham a recair sobre os bens, direitos e obrigações do FUNDO;</w:t>
      </w:r>
    </w:p>
    <w:p w14:paraId="40242ABB" w14:textId="77777777" w:rsidR="007462F0" w:rsidRPr="00D84901" w:rsidRDefault="007462F0" w:rsidP="007462F0">
      <w:pPr>
        <w:spacing w:after="0" w:line="280" w:lineRule="atLeast"/>
        <w:jc w:val="both"/>
        <w:rPr>
          <w:rFonts w:ascii="Tahoma" w:eastAsia="Arial Unicode MS" w:hAnsi="Tahoma" w:cs="Tahoma"/>
          <w:sz w:val="21"/>
          <w:szCs w:val="21"/>
          <w:lang w:eastAsia="pt-BR"/>
        </w:rPr>
      </w:pPr>
    </w:p>
    <w:p w14:paraId="46882F2F" w14:textId="77777777" w:rsidR="007462F0" w:rsidRPr="00D84901" w:rsidRDefault="007462F0" w:rsidP="007462F0">
      <w:pPr>
        <w:spacing w:after="0" w:line="280" w:lineRule="atLeast"/>
        <w:jc w:val="both"/>
        <w:rPr>
          <w:rFonts w:ascii="Tahoma" w:eastAsia="Arial Unicode MS" w:hAnsi="Tahoma" w:cs="Tahoma"/>
          <w:sz w:val="21"/>
          <w:szCs w:val="21"/>
          <w:lang w:eastAsia="pt-BR"/>
        </w:rPr>
      </w:pPr>
      <w:r w:rsidRPr="00D84901">
        <w:rPr>
          <w:rFonts w:ascii="Tahoma" w:eastAsia="Arial Unicode MS" w:hAnsi="Tahoma" w:cs="Tahoma"/>
          <w:sz w:val="21"/>
          <w:szCs w:val="21"/>
          <w:lang w:eastAsia="pt-BR"/>
        </w:rPr>
        <w:t>(</w:t>
      </w:r>
      <w:proofErr w:type="spellStart"/>
      <w:r w:rsidRPr="00D84901">
        <w:rPr>
          <w:rFonts w:ascii="Tahoma" w:eastAsia="Arial Unicode MS" w:hAnsi="Tahoma" w:cs="Tahoma"/>
          <w:sz w:val="21"/>
          <w:szCs w:val="21"/>
          <w:lang w:eastAsia="pt-BR"/>
        </w:rPr>
        <w:t>ii</w:t>
      </w:r>
      <w:proofErr w:type="spellEnd"/>
      <w:r w:rsidRPr="00D84901">
        <w:rPr>
          <w:rFonts w:ascii="Tahoma" w:eastAsia="Arial Unicode MS" w:hAnsi="Tahoma" w:cs="Tahoma"/>
          <w:sz w:val="21"/>
          <w:szCs w:val="21"/>
          <w:lang w:eastAsia="pt-BR"/>
        </w:rPr>
        <w:t>) despesas com o registro de documentos em cartório, impressão, expedição e publicação de relatórios e informações periódicas previstas na regulamentação em vigor;</w:t>
      </w:r>
    </w:p>
    <w:p w14:paraId="71870373" w14:textId="77777777" w:rsidR="007462F0" w:rsidRPr="00D84901" w:rsidRDefault="007462F0" w:rsidP="007462F0">
      <w:pPr>
        <w:spacing w:after="0" w:line="280" w:lineRule="atLeast"/>
        <w:jc w:val="both"/>
        <w:rPr>
          <w:rFonts w:ascii="Tahoma" w:eastAsia="Arial Unicode MS" w:hAnsi="Tahoma" w:cs="Tahoma"/>
          <w:sz w:val="21"/>
          <w:szCs w:val="21"/>
          <w:highlight w:val="yellow"/>
          <w:lang w:eastAsia="pt-BR"/>
        </w:rPr>
      </w:pPr>
    </w:p>
    <w:p w14:paraId="639C49C3" w14:textId="77777777" w:rsidR="007462F0" w:rsidRPr="00D84901" w:rsidRDefault="007462F0" w:rsidP="007462F0">
      <w:pPr>
        <w:spacing w:after="0" w:line="280" w:lineRule="atLeast"/>
        <w:jc w:val="both"/>
        <w:rPr>
          <w:rFonts w:ascii="Tahoma" w:eastAsia="Arial Unicode MS" w:hAnsi="Tahoma" w:cs="Tahoma"/>
          <w:sz w:val="21"/>
          <w:szCs w:val="21"/>
          <w:lang w:eastAsia="pt-BR"/>
        </w:rPr>
      </w:pPr>
      <w:r w:rsidRPr="00D84901">
        <w:rPr>
          <w:rFonts w:ascii="Tahoma" w:eastAsia="Arial Unicode MS" w:hAnsi="Tahoma" w:cs="Tahoma"/>
          <w:sz w:val="21"/>
          <w:szCs w:val="21"/>
          <w:lang w:eastAsia="pt-BR"/>
        </w:rPr>
        <w:t>(</w:t>
      </w:r>
      <w:proofErr w:type="spellStart"/>
      <w:r w:rsidRPr="00D84901">
        <w:rPr>
          <w:rFonts w:ascii="Tahoma" w:eastAsia="Arial Unicode MS" w:hAnsi="Tahoma" w:cs="Tahoma"/>
          <w:sz w:val="21"/>
          <w:szCs w:val="21"/>
          <w:lang w:eastAsia="pt-BR"/>
        </w:rPr>
        <w:t>iii</w:t>
      </w:r>
      <w:proofErr w:type="spellEnd"/>
      <w:r w:rsidRPr="00D84901">
        <w:rPr>
          <w:rFonts w:ascii="Tahoma" w:eastAsia="Arial Unicode MS" w:hAnsi="Tahoma" w:cs="Tahoma"/>
          <w:sz w:val="21"/>
          <w:szCs w:val="21"/>
          <w:lang w:eastAsia="pt-BR"/>
        </w:rPr>
        <w:t>) despesas com correspondência de interesse do FUNDO, inclusive comunicações aos Cotistas;</w:t>
      </w:r>
    </w:p>
    <w:p w14:paraId="7DC6A8C2" w14:textId="77777777" w:rsidR="007462F0" w:rsidRPr="00D84901" w:rsidRDefault="007462F0" w:rsidP="007462F0">
      <w:pPr>
        <w:spacing w:after="0" w:line="280" w:lineRule="atLeast"/>
        <w:jc w:val="both"/>
        <w:rPr>
          <w:rFonts w:ascii="Tahoma" w:eastAsia="Arial Unicode MS" w:hAnsi="Tahoma" w:cs="Tahoma"/>
          <w:sz w:val="21"/>
          <w:szCs w:val="21"/>
          <w:highlight w:val="yellow"/>
          <w:lang w:eastAsia="pt-BR"/>
        </w:rPr>
      </w:pPr>
    </w:p>
    <w:p w14:paraId="49452265" w14:textId="77777777" w:rsidR="007462F0" w:rsidRPr="00D84901" w:rsidRDefault="007462F0" w:rsidP="007462F0">
      <w:pPr>
        <w:spacing w:after="0" w:line="280" w:lineRule="atLeast"/>
        <w:jc w:val="both"/>
        <w:rPr>
          <w:rFonts w:ascii="Tahoma" w:eastAsia="Arial Unicode MS" w:hAnsi="Tahoma" w:cs="Tahoma"/>
          <w:sz w:val="21"/>
          <w:szCs w:val="21"/>
          <w:lang w:eastAsia="pt-BR"/>
        </w:rPr>
      </w:pPr>
      <w:r w:rsidRPr="00D84901">
        <w:rPr>
          <w:rFonts w:ascii="Tahoma" w:eastAsia="Arial Unicode MS" w:hAnsi="Tahoma" w:cs="Tahoma"/>
          <w:sz w:val="21"/>
          <w:szCs w:val="21"/>
          <w:lang w:eastAsia="pt-BR"/>
        </w:rPr>
        <w:t>(</w:t>
      </w:r>
      <w:proofErr w:type="spellStart"/>
      <w:r w:rsidRPr="00D84901">
        <w:rPr>
          <w:rFonts w:ascii="Tahoma" w:eastAsia="Arial Unicode MS" w:hAnsi="Tahoma" w:cs="Tahoma"/>
          <w:sz w:val="21"/>
          <w:szCs w:val="21"/>
          <w:lang w:eastAsia="pt-BR"/>
        </w:rPr>
        <w:t>iv</w:t>
      </w:r>
      <w:proofErr w:type="spellEnd"/>
      <w:r w:rsidRPr="00D84901">
        <w:rPr>
          <w:rFonts w:ascii="Tahoma" w:eastAsia="Arial Unicode MS" w:hAnsi="Tahoma" w:cs="Tahoma"/>
          <w:sz w:val="21"/>
          <w:szCs w:val="21"/>
          <w:lang w:eastAsia="pt-BR"/>
        </w:rPr>
        <w:t>) honorários e despesas do auditor independente;</w:t>
      </w:r>
    </w:p>
    <w:p w14:paraId="7C4569B5" w14:textId="77777777" w:rsidR="007462F0" w:rsidRPr="00D84901" w:rsidRDefault="007462F0" w:rsidP="007462F0">
      <w:pPr>
        <w:spacing w:after="0" w:line="280" w:lineRule="atLeast"/>
        <w:jc w:val="both"/>
        <w:rPr>
          <w:rFonts w:ascii="Tahoma" w:eastAsia="Arial Unicode MS" w:hAnsi="Tahoma" w:cs="Tahoma"/>
          <w:sz w:val="21"/>
          <w:szCs w:val="21"/>
          <w:highlight w:val="yellow"/>
          <w:lang w:eastAsia="pt-BR"/>
        </w:rPr>
      </w:pPr>
    </w:p>
    <w:p w14:paraId="0DF54FF9" w14:textId="77777777" w:rsidR="007462F0" w:rsidRPr="00D84901" w:rsidRDefault="007462F0" w:rsidP="007462F0">
      <w:pPr>
        <w:spacing w:after="0" w:line="280" w:lineRule="atLeast"/>
        <w:jc w:val="both"/>
        <w:rPr>
          <w:rFonts w:ascii="Tahoma" w:eastAsia="Arial Unicode MS" w:hAnsi="Tahoma" w:cs="Tahoma"/>
          <w:sz w:val="21"/>
          <w:szCs w:val="21"/>
          <w:lang w:eastAsia="pt-BR"/>
        </w:rPr>
      </w:pPr>
      <w:r w:rsidRPr="00D84901">
        <w:rPr>
          <w:rFonts w:ascii="Tahoma" w:eastAsia="Arial Unicode MS" w:hAnsi="Tahoma" w:cs="Tahoma"/>
          <w:sz w:val="21"/>
          <w:szCs w:val="21"/>
          <w:lang w:eastAsia="pt-BR"/>
        </w:rPr>
        <w:t xml:space="preserve">(v) emolumentos e comissões pagas por operações do FUNDO; </w:t>
      </w:r>
    </w:p>
    <w:p w14:paraId="1709C9D1" w14:textId="77777777" w:rsidR="007462F0" w:rsidRPr="00D84901" w:rsidRDefault="007462F0" w:rsidP="007462F0">
      <w:pPr>
        <w:spacing w:after="0" w:line="280" w:lineRule="atLeast"/>
        <w:jc w:val="both"/>
        <w:rPr>
          <w:rFonts w:ascii="Tahoma" w:eastAsia="Arial Unicode MS" w:hAnsi="Tahoma" w:cs="Tahoma"/>
          <w:sz w:val="21"/>
          <w:szCs w:val="21"/>
          <w:lang w:eastAsia="pt-BR"/>
        </w:rPr>
      </w:pPr>
    </w:p>
    <w:p w14:paraId="6D901FE7" w14:textId="77777777" w:rsidR="007462F0" w:rsidRPr="00D84901" w:rsidRDefault="007462F0" w:rsidP="007462F0">
      <w:pPr>
        <w:spacing w:after="0" w:line="280" w:lineRule="atLeast"/>
        <w:jc w:val="both"/>
        <w:rPr>
          <w:rFonts w:ascii="Tahoma" w:eastAsia="Arial Unicode MS" w:hAnsi="Tahoma" w:cs="Tahoma"/>
          <w:sz w:val="21"/>
          <w:szCs w:val="21"/>
          <w:lang w:eastAsia="pt-BR"/>
        </w:rPr>
      </w:pPr>
      <w:r w:rsidRPr="00D84901">
        <w:rPr>
          <w:rFonts w:ascii="Tahoma" w:eastAsia="Arial Unicode MS" w:hAnsi="Tahoma" w:cs="Tahoma"/>
          <w:sz w:val="21"/>
          <w:szCs w:val="21"/>
          <w:lang w:eastAsia="pt-BR"/>
        </w:rPr>
        <w:t>(vi) honorários de advogado, custas e despesas processuais correlatas, incorridas em razão de defesa dos interesses do FUNDO, em juízo ou fora dele, inclusive o valor da condenação imputada ao FUNDO, se for o caso;</w:t>
      </w:r>
    </w:p>
    <w:p w14:paraId="4D24DDF9" w14:textId="77777777" w:rsidR="007462F0" w:rsidRPr="00D84901" w:rsidRDefault="007462F0" w:rsidP="007462F0">
      <w:pPr>
        <w:spacing w:after="0" w:line="280" w:lineRule="atLeast"/>
        <w:jc w:val="both"/>
        <w:rPr>
          <w:rFonts w:ascii="Tahoma" w:eastAsia="Arial Unicode MS" w:hAnsi="Tahoma" w:cs="Tahoma"/>
          <w:sz w:val="21"/>
          <w:szCs w:val="21"/>
          <w:highlight w:val="yellow"/>
          <w:lang w:eastAsia="pt-BR"/>
        </w:rPr>
      </w:pPr>
    </w:p>
    <w:p w14:paraId="1A647971" w14:textId="77777777" w:rsidR="007462F0" w:rsidRPr="00D84901" w:rsidRDefault="007462F0" w:rsidP="007462F0">
      <w:pPr>
        <w:spacing w:after="0" w:line="280" w:lineRule="atLeast"/>
        <w:jc w:val="both"/>
        <w:rPr>
          <w:rFonts w:ascii="Tahoma" w:eastAsia="Arial Unicode MS" w:hAnsi="Tahoma" w:cs="Tahoma"/>
          <w:sz w:val="21"/>
          <w:szCs w:val="21"/>
          <w:lang w:eastAsia="pt-BR"/>
        </w:rPr>
      </w:pPr>
      <w:r w:rsidRPr="00D84901">
        <w:rPr>
          <w:rFonts w:ascii="Tahoma" w:eastAsia="Arial Unicode MS" w:hAnsi="Tahoma" w:cs="Tahoma"/>
          <w:sz w:val="21"/>
          <w:szCs w:val="21"/>
          <w:lang w:eastAsia="pt-BR"/>
        </w:rPr>
        <w:t>(</w:t>
      </w:r>
      <w:proofErr w:type="spellStart"/>
      <w:r w:rsidRPr="00D84901">
        <w:rPr>
          <w:rFonts w:ascii="Tahoma" w:eastAsia="Arial Unicode MS" w:hAnsi="Tahoma" w:cs="Tahoma"/>
          <w:sz w:val="21"/>
          <w:szCs w:val="21"/>
          <w:lang w:eastAsia="pt-BR"/>
        </w:rPr>
        <w:t>vii</w:t>
      </w:r>
      <w:proofErr w:type="spellEnd"/>
      <w:r w:rsidRPr="00D84901">
        <w:rPr>
          <w:rFonts w:ascii="Tahoma" w:eastAsia="Arial Unicode MS" w:hAnsi="Tahoma" w:cs="Tahoma"/>
          <w:sz w:val="21"/>
          <w:szCs w:val="21"/>
          <w:lang w:eastAsia="pt-BR"/>
        </w:rPr>
        <w:t>) parcela de prejuízos não coberta por apólices de seguro e não decorrente diretamente de culpa ou dolo dos prestadores dos serviços de administração no exercício de suas respectivas funções;</w:t>
      </w:r>
    </w:p>
    <w:p w14:paraId="1B93B1AE" w14:textId="77777777" w:rsidR="007462F0" w:rsidRPr="00D84901" w:rsidRDefault="007462F0" w:rsidP="007462F0">
      <w:pPr>
        <w:spacing w:after="0" w:line="280" w:lineRule="atLeast"/>
        <w:jc w:val="both"/>
        <w:rPr>
          <w:rFonts w:ascii="Tahoma" w:eastAsia="Arial Unicode MS" w:hAnsi="Tahoma" w:cs="Tahoma"/>
          <w:sz w:val="21"/>
          <w:szCs w:val="21"/>
          <w:highlight w:val="yellow"/>
          <w:lang w:eastAsia="pt-BR"/>
        </w:rPr>
      </w:pPr>
    </w:p>
    <w:p w14:paraId="0C141A95" w14:textId="77777777" w:rsidR="007462F0" w:rsidRPr="00D84901" w:rsidRDefault="007462F0" w:rsidP="007462F0">
      <w:pPr>
        <w:spacing w:after="0" w:line="280" w:lineRule="atLeast"/>
        <w:jc w:val="both"/>
        <w:rPr>
          <w:rFonts w:ascii="Tahoma" w:eastAsia="Arial Unicode MS" w:hAnsi="Tahoma" w:cs="Tahoma"/>
          <w:sz w:val="21"/>
          <w:szCs w:val="21"/>
          <w:lang w:eastAsia="pt-BR"/>
        </w:rPr>
      </w:pPr>
      <w:r w:rsidRPr="00D84901">
        <w:rPr>
          <w:rFonts w:ascii="Tahoma" w:eastAsia="Arial Unicode MS" w:hAnsi="Tahoma" w:cs="Tahoma"/>
          <w:sz w:val="21"/>
          <w:szCs w:val="21"/>
          <w:lang w:eastAsia="pt-BR"/>
        </w:rPr>
        <w:t>(</w:t>
      </w:r>
      <w:proofErr w:type="spellStart"/>
      <w:r w:rsidRPr="00D84901">
        <w:rPr>
          <w:rFonts w:ascii="Tahoma" w:eastAsia="Arial Unicode MS" w:hAnsi="Tahoma" w:cs="Tahoma"/>
          <w:sz w:val="21"/>
          <w:szCs w:val="21"/>
          <w:lang w:eastAsia="pt-BR"/>
        </w:rPr>
        <w:t>viii</w:t>
      </w:r>
      <w:proofErr w:type="spellEnd"/>
      <w:r w:rsidRPr="00D84901">
        <w:rPr>
          <w:rFonts w:ascii="Tahoma" w:eastAsia="Arial Unicode MS" w:hAnsi="Tahoma" w:cs="Tahoma"/>
          <w:sz w:val="21"/>
          <w:szCs w:val="21"/>
          <w:lang w:eastAsia="pt-BR"/>
        </w:rPr>
        <w:t>) despesas relacionadas, direta ou indiretamente, ao exercício de direito de voto decorrente de Ativos Financeiros do FUNDO;</w:t>
      </w:r>
    </w:p>
    <w:p w14:paraId="7A4C8CB5" w14:textId="77777777" w:rsidR="007462F0" w:rsidRPr="00D84901" w:rsidRDefault="007462F0" w:rsidP="007462F0">
      <w:pPr>
        <w:spacing w:after="0" w:line="280" w:lineRule="atLeast"/>
        <w:jc w:val="both"/>
        <w:rPr>
          <w:rFonts w:ascii="Tahoma" w:eastAsia="Arial Unicode MS" w:hAnsi="Tahoma" w:cs="Tahoma"/>
          <w:sz w:val="21"/>
          <w:szCs w:val="21"/>
          <w:lang w:eastAsia="pt-BR"/>
        </w:rPr>
      </w:pPr>
    </w:p>
    <w:p w14:paraId="65BF0000" w14:textId="77777777" w:rsidR="007462F0" w:rsidRPr="00D84901" w:rsidRDefault="007462F0" w:rsidP="007462F0">
      <w:pPr>
        <w:spacing w:after="0" w:line="280" w:lineRule="atLeast"/>
        <w:jc w:val="both"/>
        <w:rPr>
          <w:rFonts w:ascii="Tahoma" w:eastAsia="Arial Unicode MS" w:hAnsi="Tahoma" w:cs="Tahoma"/>
          <w:sz w:val="21"/>
          <w:szCs w:val="21"/>
          <w:lang w:eastAsia="pt-BR"/>
        </w:rPr>
      </w:pPr>
      <w:r w:rsidRPr="00D84901">
        <w:rPr>
          <w:rFonts w:ascii="Tahoma" w:eastAsia="Arial Unicode MS" w:hAnsi="Tahoma" w:cs="Tahoma"/>
          <w:sz w:val="21"/>
          <w:szCs w:val="21"/>
          <w:lang w:eastAsia="pt-BR"/>
        </w:rPr>
        <w:t>(</w:t>
      </w:r>
      <w:proofErr w:type="spellStart"/>
      <w:r w:rsidRPr="00D84901">
        <w:rPr>
          <w:rFonts w:ascii="Tahoma" w:eastAsia="Arial Unicode MS" w:hAnsi="Tahoma" w:cs="Tahoma"/>
          <w:sz w:val="21"/>
          <w:szCs w:val="21"/>
          <w:lang w:eastAsia="pt-BR"/>
        </w:rPr>
        <w:t>ix</w:t>
      </w:r>
      <w:proofErr w:type="spellEnd"/>
      <w:r w:rsidRPr="00D84901">
        <w:rPr>
          <w:rFonts w:ascii="Tahoma" w:eastAsia="Arial Unicode MS" w:hAnsi="Tahoma" w:cs="Tahoma"/>
          <w:sz w:val="21"/>
          <w:szCs w:val="21"/>
          <w:lang w:eastAsia="pt-BR"/>
        </w:rPr>
        <w:t>) despesas com liquidação, registro e custódia de operações com títulos e valores mobiliários, Ativos Financeiros e modalidades operacionais;</w:t>
      </w:r>
    </w:p>
    <w:p w14:paraId="6B6FF0C4" w14:textId="77777777" w:rsidR="007462F0" w:rsidRPr="00D84901" w:rsidRDefault="007462F0" w:rsidP="007462F0">
      <w:pPr>
        <w:spacing w:after="0" w:line="280" w:lineRule="atLeast"/>
        <w:jc w:val="both"/>
        <w:rPr>
          <w:rFonts w:ascii="Tahoma" w:eastAsia="Arial Unicode MS" w:hAnsi="Tahoma" w:cs="Tahoma"/>
          <w:sz w:val="21"/>
          <w:szCs w:val="21"/>
          <w:lang w:eastAsia="pt-BR"/>
        </w:rPr>
      </w:pPr>
    </w:p>
    <w:p w14:paraId="40747734" w14:textId="77777777" w:rsidR="007462F0" w:rsidRPr="00D84901" w:rsidRDefault="007462F0" w:rsidP="007462F0">
      <w:pPr>
        <w:spacing w:after="0" w:line="280" w:lineRule="atLeast"/>
        <w:jc w:val="both"/>
        <w:rPr>
          <w:rFonts w:ascii="Tahoma" w:eastAsia="Arial Unicode MS" w:hAnsi="Tahoma" w:cs="Tahoma"/>
          <w:sz w:val="21"/>
          <w:szCs w:val="21"/>
          <w:lang w:eastAsia="pt-BR"/>
        </w:rPr>
      </w:pPr>
      <w:r w:rsidRPr="00D84901">
        <w:rPr>
          <w:rFonts w:ascii="Tahoma" w:eastAsia="Arial Unicode MS" w:hAnsi="Tahoma" w:cs="Tahoma"/>
          <w:sz w:val="21"/>
          <w:szCs w:val="21"/>
          <w:lang w:eastAsia="pt-BR"/>
        </w:rPr>
        <w:t>(x) despesas com fechamento de câmbio, vinculadas às suas operações ou com certificados ou recibos de depósito de valores mobiliários; e</w:t>
      </w:r>
    </w:p>
    <w:p w14:paraId="4F0DE43A" w14:textId="77777777" w:rsidR="007462F0" w:rsidRPr="00D84901" w:rsidRDefault="007462F0" w:rsidP="007462F0">
      <w:pPr>
        <w:spacing w:after="0" w:line="280" w:lineRule="atLeast"/>
        <w:jc w:val="both"/>
        <w:rPr>
          <w:rFonts w:ascii="Tahoma" w:eastAsia="Arial Unicode MS" w:hAnsi="Tahoma" w:cs="Tahoma"/>
          <w:sz w:val="21"/>
          <w:szCs w:val="21"/>
          <w:lang w:eastAsia="pt-BR"/>
        </w:rPr>
      </w:pPr>
    </w:p>
    <w:p w14:paraId="62F952D8" w14:textId="77777777" w:rsidR="007462F0" w:rsidRPr="00D84901" w:rsidRDefault="007462F0" w:rsidP="007462F0">
      <w:pPr>
        <w:spacing w:after="0" w:line="280" w:lineRule="atLeast"/>
        <w:jc w:val="both"/>
        <w:rPr>
          <w:rFonts w:ascii="Tahoma" w:eastAsia="Arial Unicode MS" w:hAnsi="Tahoma" w:cs="Tahoma"/>
          <w:sz w:val="21"/>
          <w:szCs w:val="21"/>
          <w:lang w:eastAsia="pt-BR"/>
        </w:rPr>
      </w:pPr>
      <w:r w:rsidRPr="00D84901">
        <w:rPr>
          <w:rFonts w:ascii="Tahoma" w:eastAsia="Arial Unicode MS" w:hAnsi="Tahoma" w:cs="Tahoma"/>
          <w:sz w:val="21"/>
          <w:szCs w:val="21"/>
          <w:lang w:eastAsia="pt-BR"/>
        </w:rPr>
        <w:t>(xi) os montantes devidos a fundos investidores na hipótese de acordo de remuneração com base na taxa de administração e/ou performance, observado o disposto na regulamentação vigente.</w:t>
      </w:r>
    </w:p>
    <w:p w14:paraId="11EC1724" w14:textId="77777777" w:rsidR="007462F0" w:rsidRPr="00D84901" w:rsidRDefault="007462F0" w:rsidP="007462F0">
      <w:pPr>
        <w:spacing w:after="0" w:line="280" w:lineRule="atLeast"/>
        <w:jc w:val="both"/>
        <w:rPr>
          <w:rFonts w:ascii="Tahoma" w:eastAsia="Arial Unicode MS" w:hAnsi="Tahoma" w:cs="Tahoma"/>
          <w:sz w:val="21"/>
          <w:szCs w:val="21"/>
          <w:lang w:eastAsia="pt-BR"/>
        </w:rPr>
      </w:pPr>
    </w:p>
    <w:p w14:paraId="29407E6C"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6.5.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w:t>
      </w:r>
    </w:p>
    <w:p w14:paraId="2A3EAD82" w14:textId="77777777" w:rsidR="007462F0" w:rsidRPr="00D84901" w:rsidRDefault="007462F0" w:rsidP="007462F0">
      <w:pPr>
        <w:jc w:val="center"/>
        <w:rPr>
          <w:rFonts w:ascii="Tahoma" w:hAnsi="Tahoma" w:cs="Tahoma"/>
          <w:b/>
          <w:color w:val="000000"/>
          <w:sz w:val="21"/>
          <w:szCs w:val="21"/>
        </w:rPr>
      </w:pPr>
      <w:r w:rsidRPr="00D84901">
        <w:rPr>
          <w:rFonts w:ascii="Tahoma" w:hAnsi="Tahoma" w:cs="Tahoma"/>
          <w:b/>
          <w:color w:val="000000"/>
          <w:sz w:val="21"/>
          <w:szCs w:val="21"/>
        </w:rPr>
        <w:t>CLÁUSULA SÉTIMA – DAS COTAS: DISTRIBUIÇÃO, EMISSÃO E RESGATE</w:t>
      </w:r>
    </w:p>
    <w:p w14:paraId="41931783"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7.1. As cotas do FUNDO correspondem a frações ideais do seu patrimônio e são nominativas e escriturais.</w:t>
      </w:r>
    </w:p>
    <w:p w14:paraId="42F9DAC6"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064AC423"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7.1.1. As cotas do FUNDO terão seu valor calculado a cada dia útil, com base em avaliação patrimonial que considere os critérios de avaliação previstos na regulamentação em vigor.</w:t>
      </w:r>
    </w:p>
    <w:p w14:paraId="7D531CE5"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78888782"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p>
    <w:p w14:paraId="28C36C0E"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6C15293A"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D84901">
        <w:rPr>
          <w:rFonts w:ascii="Tahoma" w:eastAsia="Times New Roman" w:hAnsi="Tahoma" w:cs="Tahoma"/>
          <w:sz w:val="21"/>
          <w:szCs w:val="21"/>
          <w:vertAlign w:val="superscript"/>
          <w:lang w:eastAsia="pt-BR"/>
        </w:rPr>
        <w:t xml:space="preserve"> </w:t>
      </w:r>
    </w:p>
    <w:p w14:paraId="02DB959A"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3D06EE6A"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7.3.1. Considerando a atuação dos fundos de investimento em que o FUNDO aplica em mercados no exterior, o encerramento do dia poderá ser considerado como o horário de fechamento dos respectivos mercados nos quais atuem.</w:t>
      </w:r>
      <w:r w:rsidRPr="00D84901">
        <w:rPr>
          <w:rFonts w:ascii="Tahoma" w:eastAsia="Times New Roman" w:hAnsi="Tahoma" w:cs="Tahoma"/>
          <w:sz w:val="21"/>
          <w:szCs w:val="21"/>
          <w:vertAlign w:val="superscript"/>
          <w:lang w:eastAsia="pt-BR"/>
        </w:rPr>
        <w:t xml:space="preserve"> </w:t>
      </w:r>
    </w:p>
    <w:p w14:paraId="4DF53E90" w14:textId="77777777" w:rsidR="007462F0" w:rsidRPr="00D84901" w:rsidRDefault="007462F0" w:rsidP="007462F0">
      <w:pPr>
        <w:spacing w:after="0" w:line="240" w:lineRule="auto"/>
        <w:jc w:val="both"/>
        <w:rPr>
          <w:rFonts w:ascii="Tahoma" w:eastAsia="Times New Roman" w:hAnsi="Tahoma" w:cs="Tahoma"/>
          <w:sz w:val="21"/>
          <w:szCs w:val="21"/>
          <w:lang w:eastAsia="pt-BR"/>
        </w:rPr>
      </w:pPr>
    </w:p>
    <w:p w14:paraId="546DF3ED"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1933AE3B"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6EAFCCD2"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7.5. A qualidade dos Cotistas caracteriza-se pela inscrição do nome do titular no registro de Cotistas do FUNDO.</w:t>
      </w:r>
    </w:p>
    <w:p w14:paraId="695187C0"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77D1CD81"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46C5B843"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2A3AB97C"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7.6. A adesão dos Cotistas aos termos deste Regulamento dar-se-á pela assinatura do Termo de Adesão e Ciência de Risco ou mediante manifestação de aceite por meio eletrônico, através do qual atestam que tiveram acesso ao Regulamento e que conhecem, entendem e aceitam os riscos nele descritos, aos quais os investimentos do FUNDO estão expostos em razão dos mercados de sua atuação.</w:t>
      </w:r>
    </w:p>
    <w:p w14:paraId="29EA870A"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254B5EEE"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w:t>
      </w:r>
    </w:p>
    <w:p w14:paraId="57859133" w14:textId="77777777" w:rsidR="007462F0" w:rsidRPr="00D84901" w:rsidRDefault="007462F0" w:rsidP="007462F0">
      <w:pPr>
        <w:spacing w:after="0" w:line="280" w:lineRule="atLeast"/>
        <w:jc w:val="center"/>
        <w:rPr>
          <w:rFonts w:ascii="Tahoma" w:eastAsia="Times New Roman" w:hAnsi="Tahoma" w:cs="Tahoma"/>
          <w:sz w:val="21"/>
          <w:szCs w:val="21"/>
          <w:lang w:eastAsia="pt-BR"/>
        </w:rPr>
      </w:pPr>
    </w:p>
    <w:p w14:paraId="3A2028F8"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7.7. A aplicação e o resgate de cotas do FUNDO podem ser efetuados em ordem de pagamento, débito e crédito em conta corrente ou por meio de sistemas de transferência eletrônica de recursos autorizados pelo Banco Central do Brasil (“BACEN”).</w:t>
      </w:r>
    </w:p>
    <w:p w14:paraId="7ED08AF5"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216FC32E"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napToGrid w:val="0"/>
          <w:sz w:val="21"/>
          <w:szCs w:val="21"/>
          <w:lang w:eastAsia="pt-BR"/>
        </w:rPr>
        <w:t xml:space="preserve">7.7.1 Quando os Cotistas forem titulares de conta em entidade administradora de mercado organizado, a aplicação e o resgate no FUNDO poderão ser realizados mediante ordem de crédito ou débito por meio de tal conta, desde que tal serviço esteja disponível e disponha da prévia concordância do </w:t>
      </w:r>
      <w:r w:rsidRPr="00D84901">
        <w:rPr>
          <w:rFonts w:ascii="Tahoma" w:eastAsia="Times New Roman" w:hAnsi="Tahoma" w:cs="Tahoma"/>
          <w:sz w:val="21"/>
          <w:szCs w:val="21"/>
          <w:lang w:eastAsia="pt-BR"/>
        </w:rPr>
        <w:t>ADMINISTRADOR</w:t>
      </w:r>
      <w:r w:rsidRPr="00D84901">
        <w:rPr>
          <w:rFonts w:ascii="Tahoma" w:eastAsia="Times New Roman" w:hAnsi="Tahoma" w:cs="Tahoma"/>
          <w:snapToGrid w:val="0"/>
          <w:sz w:val="21"/>
          <w:szCs w:val="21"/>
          <w:lang w:eastAsia="pt-BR"/>
        </w:rPr>
        <w:t>.</w:t>
      </w:r>
    </w:p>
    <w:p w14:paraId="579F7E05"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1CB27C81"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7.7.2 A integralização e o resgate das cotas do FUNDO poderão ser realizados em moeda corrente nacional ou em Ativos Financeiros, a critério do ADMINISTRADOR e do GESTOR e observado o disposto no item 7.9. abaixo.</w:t>
      </w:r>
    </w:p>
    <w:p w14:paraId="065F2FEB"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0CBDEFB0"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7.8. O ADMINISTRADOR poderá suspender, a qualquer momento, novas aplicações no FUNDO, podendo tal suspensão aplicar-se apenas aos novos investidores.</w:t>
      </w:r>
    </w:p>
    <w:p w14:paraId="6DA0F7F2"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5354E3EB"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lastRenderedPageBreak/>
        <w:t>7.8.1. A suspensão do recebimento de novas aplicações em um dia não impede a reabertura posterior do FUNDO para aplicações.</w:t>
      </w:r>
    </w:p>
    <w:p w14:paraId="7AB88283"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1373DB1F"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7.9. A integralização e o resgate das cotas poderão ser efetuados diretamente com Ativos Financeiros, desde que sejam observadas as seguintes condições:</w:t>
      </w:r>
    </w:p>
    <w:p w14:paraId="5EA9EDBB"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381204FD" w14:textId="77777777" w:rsidR="007462F0" w:rsidRPr="00D84901" w:rsidRDefault="007462F0" w:rsidP="007462F0">
      <w:pPr>
        <w:numPr>
          <w:ilvl w:val="0"/>
          <w:numId w:val="4"/>
        </w:numPr>
        <w:spacing w:after="0" w:line="280" w:lineRule="atLeast"/>
        <w:contextualSpacing/>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os Ativos Financeiros sejam previamente analisados e aprovados pelo GESTOR;</w:t>
      </w:r>
    </w:p>
    <w:p w14:paraId="26562086" w14:textId="77777777" w:rsidR="007462F0" w:rsidRPr="00D84901" w:rsidRDefault="007462F0" w:rsidP="007462F0">
      <w:pPr>
        <w:spacing w:after="0" w:line="280" w:lineRule="atLeast"/>
        <w:contextualSpacing/>
        <w:jc w:val="both"/>
        <w:rPr>
          <w:rFonts w:ascii="Tahoma" w:eastAsia="Times New Roman" w:hAnsi="Tahoma" w:cs="Tahoma"/>
          <w:sz w:val="21"/>
          <w:szCs w:val="21"/>
          <w:lang w:eastAsia="pt-BR"/>
        </w:rPr>
      </w:pPr>
    </w:p>
    <w:p w14:paraId="512A7A83" w14:textId="77777777" w:rsidR="007462F0" w:rsidRPr="00D84901" w:rsidRDefault="007462F0" w:rsidP="007462F0">
      <w:pPr>
        <w:numPr>
          <w:ilvl w:val="0"/>
          <w:numId w:val="4"/>
        </w:numPr>
        <w:spacing w:after="0" w:line="280" w:lineRule="atLeast"/>
        <w:contextualSpacing/>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na integralização de cotas os Ativos Financeiros a serem utilizados devem: (i) estar livres de qualquer ônus e/ou gravame, podendo ser livremente negociados; (</w:t>
      </w:r>
      <w:proofErr w:type="spellStart"/>
      <w:r w:rsidRPr="00D84901">
        <w:rPr>
          <w:rFonts w:ascii="Tahoma" w:eastAsia="Times New Roman" w:hAnsi="Tahoma" w:cs="Tahoma"/>
          <w:sz w:val="21"/>
          <w:szCs w:val="21"/>
          <w:lang w:eastAsia="pt-BR"/>
        </w:rPr>
        <w:t>ii</w:t>
      </w:r>
      <w:proofErr w:type="spellEnd"/>
      <w:r w:rsidRPr="00D84901">
        <w:rPr>
          <w:rFonts w:ascii="Tahoma" w:eastAsia="Times New Roman" w:hAnsi="Tahoma" w:cs="Tahoma"/>
          <w:sz w:val="21"/>
          <w:szCs w:val="21"/>
          <w:lang w:eastAsia="pt-BR"/>
        </w:rPr>
        <w:t>) ter como titular e/ou comitente o próprio cotista; (</w:t>
      </w:r>
      <w:proofErr w:type="spellStart"/>
      <w:r w:rsidRPr="00D84901">
        <w:rPr>
          <w:rFonts w:ascii="Tahoma" w:eastAsia="Times New Roman" w:hAnsi="Tahoma" w:cs="Tahoma"/>
          <w:sz w:val="21"/>
          <w:szCs w:val="21"/>
          <w:lang w:eastAsia="pt-BR"/>
        </w:rPr>
        <w:t>iii</w:t>
      </w:r>
      <w:proofErr w:type="spellEnd"/>
      <w:r w:rsidRPr="00D84901">
        <w:rPr>
          <w:rFonts w:ascii="Tahoma" w:eastAsia="Times New Roman" w:hAnsi="Tahoma" w:cs="Tahoma"/>
          <w:sz w:val="21"/>
          <w:szCs w:val="21"/>
          <w:lang w:eastAsia="pt-BR"/>
        </w:rPr>
        <w:t>) atender aos valores mínimos para aplicação, se houver; (</w:t>
      </w:r>
      <w:proofErr w:type="spellStart"/>
      <w:r w:rsidRPr="00D84901">
        <w:rPr>
          <w:rFonts w:ascii="Tahoma" w:eastAsia="Times New Roman" w:hAnsi="Tahoma" w:cs="Tahoma"/>
          <w:sz w:val="21"/>
          <w:szCs w:val="21"/>
          <w:lang w:eastAsia="pt-BR"/>
        </w:rPr>
        <w:t>iv</w:t>
      </w:r>
      <w:proofErr w:type="spellEnd"/>
      <w:r w:rsidRPr="00D84901">
        <w:rPr>
          <w:rFonts w:ascii="Tahoma" w:eastAsia="Times New Roman" w:hAnsi="Tahoma" w:cs="Tahoma"/>
          <w:sz w:val="21"/>
          <w:szCs w:val="21"/>
          <w:lang w:eastAsia="pt-BR"/>
        </w:rPr>
        <w:t>)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w:t>
      </w:r>
    </w:p>
    <w:p w14:paraId="65AAD884" w14:textId="77777777" w:rsidR="007462F0" w:rsidRPr="00D84901" w:rsidRDefault="007462F0" w:rsidP="007462F0">
      <w:pPr>
        <w:pStyle w:val="PargrafodaLista"/>
        <w:numPr>
          <w:ilvl w:val="0"/>
          <w:numId w:val="4"/>
        </w:numPr>
        <w:spacing w:after="160" w:line="259" w:lineRule="auto"/>
        <w:jc w:val="both"/>
        <w:rPr>
          <w:rFonts w:ascii="Tahoma" w:hAnsi="Tahoma" w:cs="Tahoma"/>
          <w:sz w:val="21"/>
          <w:szCs w:val="21"/>
        </w:rPr>
      </w:pPr>
      <w:r w:rsidRPr="00D84901">
        <w:rPr>
          <w:rFonts w:ascii="Tahoma" w:hAnsi="Tahoma" w:cs="Tahoma"/>
          <w:sz w:val="21"/>
          <w:szCs w:val="21"/>
        </w:rPr>
        <w:t>no resgate de cotas, os ativos financeiros a serem utilizados para pagamento aos Cotistas, devem: (i) estar livres de qualquer ônus e/ou gravame, podendo ser livremente negociados; (</w:t>
      </w:r>
      <w:proofErr w:type="spellStart"/>
      <w:r w:rsidRPr="00D84901">
        <w:rPr>
          <w:rFonts w:ascii="Tahoma" w:hAnsi="Tahoma" w:cs="Tahoma"/>
          <w:sz w:val="21"/>
          <w:szCs w:val="21"/>
        </w:rPr>
        <w:t>ii</w:t>
      </w:r>
      <w:proofErr w:type="spellEnd"/>
      <w:r w:rsidRPr="00D84901">
        <w:rPr>
          <w:rFonts w:ascii="Tahoma" w:hAnsi="Tahoma" w:cs="Tahoma"/>
          <w:sz w:val="21"/>
          <w:szCs w:val="21"/>
        </w:rPr>
        <w:t>) ter como titular e/ou comitente o próprio FUNDO; (</w:t>
      </w:r>
      <w:proofErr w:type="spellStart"/>
      <w:r w:rsidRPr="00D84901">
        <w:rPr>
          <w:rFonts w:ascii="Tahoma" w:hAnsi="Tahoma" w:cs="Tahoma"/>
          <w:sz w:val="21"/>
          <w:szCs w:val="21"/>
        </w:rPr>
        <w:t>iii</w:t>
      </w:r>
      <w:proofErr w:type="spellEnd"/>
      <w:r w:rsidRPr="00D84901">
        <w:rPr>
          <w:rFonts w:ascii="Tahoma" w:hAnsi="Tahoma" w:cs="Tahoma"/>
          <w:sz w:val="21"/>
          <w:szCs w:val="21"/>
        </w:rPr>
        <w:t>) atender aos valores mínimos para resgate, se houver; e (</w:t>
      </w:r>
      <w:proofErr w:type="spellStart"/>
      <w:r w:rsidRPr="00D84901">
        <w:rPr>
          <w:rFonts w:ascii="Tahoma" w:hAnsi="Tahoma" w:cs="Tahoma"/>
          <w:sz w:val="21"/>
          <w:szCs w:val="21"/>
        </w:rPr>
        <w:t>iv</w:t>
      </w:r>
      <w:proofErr w:type="spellEnd"/>
      <w:r w:rsidRPr="00D84901">
        <w:rPr>
          <w:rFonts w:ascii="Tahoma" w:hAnsi="Tahoma" w:cs="Tahoma"/>
          <w:sz w:val="21"/>
          <w:szCs w:val="21"/>
        </w:rPr>
        <w:t>) estar devidamente custodiados e registrados em sistema de registro e liquidação financeira de ativos autorizados pelo BACEN ou em instituições autorizadas à prestação de serviços de custódia pela CVM.</w:t>
      </w:r>
    </w:p>
    <w:p w14:paraId="6641337E"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6E61460F"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7.9.1. Na integralização e no resgate será utilizado o valor dos ativos financeiros precificados na CARTEIRA do FUNDO segundo as regras e procedimentos estabelecidos no Manual de Marcação a Mercado adotado para o FUNDO.</w:t>
      </w:r>
    </w:p>
    <w:p w14:paraId="24C98CC3"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6329CA1D"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7.9.2. Na integralização e no resgate de cotas, com Ativos Financeiros deverão ser observadas as correspondentes obrigações fiscais relacionadas a tais eventos, estando, ADMINISTRADOR e os Cotistas, cientes, cada qual, de suas respectivas responsabilidades.</w:t>
      </w:r>
      <w:r w:rsidRPr="00D84901">
        <w:rPr>
          <w:rFonts w:ascii="Tahoma" w:eastAsia="Times New Roman" w:hAnsi="Tahoma" w:cs="Tahoma"/>
          <w:sz w:val="21"/>
          <w:szCs w:val="21"/>
          <w:vertAlign w:val="superscript"/>
          <w:lang w:eastAsia="pt-BR"/>
        </w:rPr>
        <w:t xml:space="preserve"> </w:t>
      </w:r>
    </w:p>
    <w:p w14:paraId="553B99FE"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6A8F8ED8"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7.10. Na emissão e resgate de cotas do FUNDO deverá ser observado o disposto no quadro abaixo:</w:t>
      </w:r>
    </w:p>
    <w:p w14:paraId="2067F20D"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3650"/>
        <w:gridCol w:w="4813"/>
      </w:tblGrid>
      <w:tr w:rsidR="007462F0" w:rsidRPr="00D84901" w14:paraId="0C26D135" w14:textId="77777777" w:rsidTr="00522B86">
        <w:trPr>
          <w:trHeight w:val="20"/>
          <w:jc w:val="center"/>
        </w:trPr>
        <w:tc>
          <w:tcPr>
            <w:tcW w:w="0" w:type="auto"/>
            <w:vMerge w:val="restart"/>
            <w:vAlign w:val="center"/>
          </w:tcPr>
          <w:p w14:paraId="4EBDA0AF" w14:textId="77777777" w:rsidR="007462F0" w:rsidRPr="00D84901" w:rsidRDefault="007462F0" w:rsidP="00522B86">
            <w:pPr>
              <w:spacing w:after="0" w:line="280" w:lineRule="atLeast"/>
              <w:jc w:val="center"/>
              <w:rPr>
                <w:rFonts w:ascii="Tahoma" w:eastAsia="Times New Roman" w:hAnsi="Tahoma" w:cs="Tahoma"/>
                <w:sz w:val="21"/>
                <w:szCs w:val="21"/>
                <w:lang w:eastAsia="pt-BR"/>
              </w:rPr>
            </w:pPr>
            <w:r w:rsidRPr="00D84901">
              <w:rPr>
                <w:rFonts w:ascii="Tahoma" w:eastAsia="Times New Roman" w:hAnsi="Tahoma" w:cs="Tahoma"/>
                <w:sz w:val="21"/>
                <w:szCs w:val="21"/>
                <w:lang w:eastAsia="pt-BR"/>
              </w:rPr>
              <w:t>Aplicação</w:t>
            </w:r>
          </w:p>
        </w:tc>
        <w:tc>
          <w:tcPr>
            <w:tcW w:w="3650" w:type="dxa"/>
            <w:shd w:val="clear" w:color="auto" w:fill="606060"/>
            <w:vAlign w:val="center"/>
          </w:tcPr>
          <w:p w14:paraId="5BCA29BF" w14:textId="77777777" w:rsidR="007462F0" w:rsidRPr="00D84901" w:rsidRDefault="007462F0" w:rsidP="00522B86">
            <w:pPr>
              <w:spacing w:after="0" w:line="280" w:lineRule="atLeast"/>
              <w:jc w:val="center"/>
              <w:rPr>
                <w:rFonts w:ascii="Tahoma" w:eastAsia="Times New Roman" w:hAnsi="Tahoma" w:cs="Tahoma"/>
                <w:b/>
                <w:color w:val="FFFFFF"/>
                <w:sz w:val="21"/>
                <w:szCs w:val="21"/>
                <w:lang w:eastAsia="pt-BR"/>
              </w:rPr>
            </w:pPr>
            <w:r w:rsidRPr="00D84901">
              <w:rPr>
                <w:rFonts w:ascii="Tahoma" w:eastAsia="Times New Roman" w:hAnsi="Tahoma" w:cs="Tahoma"/>
                <w:b/>
                <w:color w:val="FFFFFF"/>
                <w:sz w:val="21"/>
                <w:szCs w:val="21"/>
                <w:lang w:eastAsia="pt-BR"/>
              </w:rPr>
              <w:t>Disponibilidade dos Recursos</w:t>
            </w:r>
          </w:p>
        </w:tc>
        <w:tc>
          <w:tcPr>
            <w:tcW w:w="4813" w:type="dxa"/>
            <w:shd w:val="clear" w:color="auto" w:fill="606060"/>
            <w:vAlign w:val="center"/>
          </w:tcPr>
          <w:p w14:paraId="75B06BDC" w14:textId="77777777" w:rsidR="007462F0" w:rsidRPr="00D84901" w:rsidRDefault="007462F0" w:rsidP="00522B86">
            <w:pPr>
              <w:spacing w:after="0" w:line="280" w:lineRule="atLeast"/>
              <w:jc w:val="center"/>
              <w:rPr>
                <w:rFonts w:ascii="Tahoma" w:eastAsia="Times New Roman" w:hAnsi="Tahoma" w:cs="Tahoma"/>
                <w:b/>
                <w:color w:val="FFFFFF"/>
                <w:sz w:val="21"/>
                <w:szCs w:val="21"/>
                <w:lang w:eastAsia="pt-BR"/>
              </w:rPr>
            </w:pPr>
            <w:r w:rsidRPr="00D84901">
              <w:rPr>
                <w:rFonts w:ascii="Tahoma" w:eastAsia="Times New Roman" w:hAnsi="Tahoma" w:cs="Tahoma"/>
                <w:b/>
                <w:color w:val="FFFFFF"/>
                <w:sz w:val="21"/>
                <w:szCs w:val="21"/>
                <w:lang w:eastAsia="pt-BR"/>
              </w:rPr>
              <w:t>Cota de conversão</w:t>
            </w:r>
          </w:p>
        </w:tc>
      </w:tr>
      <w:tr w:rsidR="007462F0" w:rsidRPr="00D84901" w14:paraId="32A0BE2B" w14:textId="77777777" w:rsidTr="00522B86">
        <w:trPr>
          <w:trHeight w:val="20"/>
          <w:jc w:val="center"/>
        </w:trPr>
        <w:tc>
          <w:tcPr>
            <w:tcW w:w="0" w:type="auto"/>
            <w:vMerge/>
            <w:vAlign w:val="center"/>
          </w:tcPr>
          <w:p w14:paraId="4834A283" w14:textId="77777777" w:rsidR="007462F0" w:rsidRPr="00D84901" w:rsidRDefault="007462F0" w:rsidP="00522B86">
            <w:pPr>
              <w:spacing w:after="0" w:line="280" w:lineRule="atLeast"/>
              <w:jc w:val="center"/>
              <w:rPr>
                <w:rFonts w:ascii="Tahoma" w:eastAsia="Times New Roman" w:hAnsi="Tahoma" w:cs="Tahoma"/>
                <w:sz w:val="21"/>
                <w:szCs w:val="21"/>
                <w:lang w:eastAsia="pt-BR"/>
              </w:rPr>
            </w:pPr>
          </w:p>
        </w:tc>
        <w:tc>
          <w:tcPr>
            <w:tcW w:w="3650" w:type="dxa"/>
            <w:vAlign w:val="center"/>
          </w:tcPr>
          <w:p w14:paraId="264B67A3" w14:textId="77777777" w:rsidR="007462F0" w:rsidRPr="00D84901" w:rsidRDefault="007462F0" w:rsidP="00522B86">
            <w:pPr>
              <w:spacing w:after="0" w:line="280" w:lineRule="atLeast"/>
              <w:jc w:val="center"/>
              <w:rPr>
                <w:rFonts w:ascii="Tahoma" w:eastAsia="Times New Roman" w:hAnsi="Tahoma" w:cs="Tahoma"/>
                <w:sz w:val="21"/>
                <w:szCs w:val="21"/>
                <w:lang w:eastAsia="pt-BR"/>
              </w:rPr>
            </w:pPr>
            <w:r w:rsidRPr="00D84901">
              <w:rPr>
                <w:rFonts w:ascii="Tahoma" w:eastAsia="Times New Roman" w:hAnsi="Tahoma" w:cs="Tahoma"/>
                <w:sz w:val="21"/>
                <w:szCs w:val="21"/>
                <w:lang w:eastAsia="pt-BR"/>
              </w:rPr>
              <w:t>D+0</w:t>
            </w:r>
          </w:p>
          <w:p w14:paraId="35D3AF35" w14:textId="77777777" w:rsidR="007462F0" w:rsidRPr="00D84901" w:rsidRDefault="007462F0" w:rsidP="00522B86">
            <w:pPr>
              <w:spacing w:after="0" w:line="280" w:lineRule="atLeast"/>
              <w:jc w:val="center"/>
              <w:rPr>
                <w:rFonts w:ascii="Tahoma" w:eastAsia="Times New Roman" w:hAnsi="Tahoma" w:cs="Tahoma"/>
                <w:sz w:val="21"/>
                <w:szCs w:val="21"/>
                <w:lang w:eastAsia="pt-BR"/>
              </w:rPr>
            </w:pPr>
            <w:r w:rsidRPr="00D84901">
              <w:rPr>
                <w:rFonts w:ascii="Tahoma" w:eastAsia="Times New Roman" w:hAnsi="Tahoma" w:cs="Tahoma"/>
                <w:sz w:val="21"/>
                <w:szCs w:val="21"/>
                <w:lang w:eastAsia="pt-BR"/>
              </w:rPr>
              <w:t xml:space="preserve">No dia da solicitação </w:t>
            </w:r>
          </w:p>
        </w:tc>
        <w:tc>
          <w:tcPr>
            <w:tcW w:w="4813" w:type="dxa"/>
            <w:vAlign w:val="center"/>
          </w:tcPr>
          <w:p w14:paraId="14F559AD" w14:textId="77777777" w:rsidR="007462F0" w:rsidRPr="00D84901" w:rsidRDefault="007462F0" w:rsidP="00522B86">
            <w:pPr>
              <w:spacing w:after="0" w:line="280" w:lineRule="atLeast"/>
              <w:jc w:val="center"/>
              <w:rPr>
                <w:rFonts w:ascii="Tahoma" w:eastAsia="Times New Roman" w:hAnsi="Tahoma" w:cs="Tahoma"/>
                <w:sz w:val="21"/>
                <w:szCs w:val="21"/>
                <w:lang w:eastAsia="pt-BR"/>
              </w:rPr>
            </w:pPr>
            <w:r w:rsidRPr="00D84901">
              <w:rPr>
                <w:rFonts w:ascii="Tahoma" w:eastAsia="Times New Roman" w:hAnsi="Tahoma" w:cs="Tahoma"/>
                <w:sz w:val="21"/>
                <w:szCs w:val="21"/>
                <w:lang w:eastAsia="pt-BR"/>
              </w:rPr>
              <w:t>D+0</w:t>
            </w:r>
          </w:p>
          <w:p w14:paraId="237DF806" w14:textId="77777777" w:rsidR="007462F0" w:rsidRPr="00D84901" w:rsidRDefault="007462F0" w:rsidP="00522B86">
            <w:pPr>
              <w:spacing w:after="0" w:line="280" w:lineRule="atLeast"/>
              <w:jc w:val="center"/>
              <w:rPr>
                <w:rFonts w:ascii="Tahoma" w:eastAsia="Times New Roman" w:hAnsi="Tahoma" w:cs="Tahoma"/>
                <w:sz w:val="21"/>
                <w:szCs w:val="21"/>
                <w:lang w:eastAsia="pt-BR"/>
              </w:rPr>
            </w:pPr>
            <w:r w:rsidRPr="00D84901">
              <w:rPr>
                <w:rFonts w:ascii="Tahoma" w:eastAsia="Times New Roman" w:hAnsi="Tahoma" w:cs="Tahoma"/>
                <w:sz w:val="21"/>
                <w:szCs w:val="21"/>
                <w:lang w:eastAsia="pt-BR"/>
              </w:rPr>
              <w:t>No dia da solicitação</w:t>
            </w:r>
          </w:p>
        </w:tc>
      </w:tr>
      <w:tr w:rsidR="007462F0" w:rsidRPr="00D84901" w14:paraId="38EC6F8D" w14:textId="77777777" w:rsidTr="00522B86">
        <w:trPr>
          <w:trHeight w:val="20"/>
          <w:jc w:val="center"/>
        </w:trPr>
        <w:tc>
          <w:tcPr>
            <w:tcW w:w="0" w:type="auto"/>
            <w:vMerge w:val="restart"/>
            <w:vAlign w:val="center"/>
          </w:tcPr>
          <w:p w14:paraId="5BAC561B" w14:textId="77777777" w:rsidR="007462F0" w:rsidRPr="00D84901" w:rsidRDefault="007462F0" w:rsidP="00522B86">
            <w:pPr>
              <w:spacing w:after="0" w:line="280" w:lineRule="atLeast"/>
              <w:jc w:val="center"/>
              <w:rPr>
                <w:rFonts w:ascii="Tahoma" w:eastAsia="Times New Roman" w:hAnsi="Tahoma" w:cs="Tahoma"/>
                <w:sz w:val="21"/>
                <w:szCs w:val="21"/>
                <w:lang w:eastAsia="pt-BR"/>
              </w:rPr>
            </w:pPr>
            <w:r w:rsidRPr="00D84901">
              <w:rPr>
                <w:rFonts w:ascii="Tahoma" w:eastAsia="Times New Roman" w:hAnsi="Tahoma" w:cs="Tahoma"/>
                <w:sz w:val="21"/>
                <w:szCs w:val="21"/>
                <w:lang w:eastAsia="pt-BR"/>
              </w:rPr>
              <w:t>Resgate</w:t>
            </w:r>
          </w:p>
        </w:tc>
        <w:tc>
          <w:tcPr>
            <w:tcW w:w="3650" w:type="dxa"/>
            <w:shd w:val="clear" w:color="auto" w:fill="606060"/>
            <w:vAlign w:val="center"/>
          </w:tcPr>
          <w:p w14:paraId="7D702584" w14:textId="77777777" w:rsidR="007462F0" w:rsidRPr="00D84901" w:rsidRDefault="007462F0" w:rsidP="00522B86">
            <w:pPr>
              <w:spacing w:after="0" w:line="280" w:lineRule="atLeast"/>
              <w:jc w:val="center"/>
              <w:rPr>
                <w:rFonts w:ascii="Tahoma" w:eastAsia="Times New Roman" w:hAnsi="Tahoma" w:cs="Tahoma"/>
                <w:b/>
                <w:color w:val="FFFFFF"/>
                <w:sz w:val="21"/>
                <w:szCs w:val="21"/>
                <w:lang w:eastAsia="pt-BR"/>
              </w:rPr>
            </w:pPr>
            <w:r w:rsidRPr="00D84901">
              <w:rPr>
                <w:rFonts w:ascii="Tahoma" w:eastAsia="Times New Roman" w:hAnsi="Tahoma" w:cs="Tahoma"/>
                <w:b/>
                <w:color w:val="FFFFFF"/>
                <w:sz w:val="21"/>
                <w:szCs w:val="21"/>
                <w:lang w:eastAsia="pt-BR"/>
              </w:rPr>
              <w:t>Cota de Conversão</w:t>
            </w:r>
          </w:p>
        </w:tc>
        <w:tc>
          <w:tcPr>
            <w:tcW w:w="4813" w:type="dxa"/>
            <w:shd w:val="clear" w:color="auto" w:fill="606060"/>
            <w:vAlign w:val="center"/>
          </w:tcPr>
          <w:p w14:paraId="525C45BE" w14:textId="77777777" w:rsidR="007462F0" w:rsidRPr="00D84901" w:rsidRDefault="007462F0" w:rsidP="00522B86">
            <w:pPr>
              <w:spacing w:after="0" w:line="280" w:lineRule="atLeast"/>
              <w:jc w:val="center"/>
              <w:rPr>
                <w:rFonts w:ascii="Tahoma" w:eastAsia="Times New Roman" w:hAnsi="Tahoma" w:cs="Tahoma"/>
                <w:b/>
                <w:color w:val="FFFFFF"/>
                <w:sz w:val="21"/>
                <w:szCs w:val="21"/>
                <w:lang w:eastAsia="pt-BR"/>
              </w:rPr>
            </w:pPr>
            <w:r w:rsidRPr="00D84901">
              <w:rPr>
                <w:rFonts w:ascii="Tahoma" w:eastAsia="Times New Roman" w:hAnsi="Tahoma" w:cs="Tahoma"/>
                <w:b/>
                <w:color w:val="FFFFFF"/>
                <w:sz w:val="21"/>
                <w:szCs w:val="21"/>
                <w:lang w:eastAsia="pt-BR"/>
              </w:rPr>
              <w:t>Pagamento / Crédito em Conta</w:t>
            </w:r>
          </w:p>
        </w:tc>
      </w:tr>
      <w:tr w:rsidR="007462F0" w:rsidRPr="00D84901" w14:paraId="4A8270EC" w14:textId="77777777" w:rsidTr="00522B86">
        <w:trPr>
          <w:trHeight w:val="20"/>
          <w:jc w:val="center"/>
        </w:trPr>
        <w:tc>
          <w:tcPr>
            <w:tcW w:w="0" w:type="auto"/>
            <w:vMerge/>
            <w:vAlign w:val="center"/>
          </w:tcPr>
          <w:p w14:paraId="618052C8" w14:textId="77777777" w:rsidR="007462F0" w:rsidRPr="00D84901" w:rsidRDefault="007462F0" w:rsidP="00522B86">
            <w:pPr>
              <w:spacing w:after="0" w:line="280" w:lineRule="atLeast"/>
              <w:jc w:val="center"/>
              <w:rPr>
                <w:rFonts w:ascii="Tahoma" w:eastAsia="Times New Roman" w:hAnsi="Tahoma" w:cs="Tahoma"/>
                <w:sz w:val="21"/>
                <w:szCs w:val="21"/>
                <w:lang w:eastAsia="pt-BR"/>
              </w:rPr>
            </w:pPr>
          </w:p>
        </w:tc>
        <w:tc>
          <w:tcPr>
            <w:tcW w:w="3650" w:type="dxa"/>
            <w:vAlign w:val="center"/>
          </w:tcPr>
          <w:p w14:paraId="12F4A557" w14:textId="77777777" w:rsidR="007462F0" w:rsidRPr="00D84901" w:rsidRDefault="007462F0" w:rsidP="00522B86">
            <w:pPr>
              <w:spacing w:after="0" w:line="280" w:lineRule="atLeast"/>
              <w:jc w:val="center"/>
              <w:rPr>
                <w:rFonts w:ascii="Tahoma" w:eastAsia="Times New Roman" w:hAnsi="Tahoma" w:cs="Tahoma"/>
                <w:sz w:val="21"/>
                <w:szCs w:val="21"/>
                <w:lang w:eastAsia="pt-BR"/>
              </w:rPr>
            </w:pPr>
            <w:r w:rsidRPr="00D84901">
              <w:rPr>
                <w:rFonts w:ascii="Tahoma" w:eastAsia="Times New Roman" w:hAnsi="Tahoma" w:cs="Tahoma"/>
                <w:sz w:val="21"/>
                <w:szCs w:val="21"/>
                <w:lang w:eastAsia="pt-BR"/>
              </w:rPr>
              <w:t>D+0</w:t>
            </w:r>
          </w:p>
          <w:p w14:paraId="4E77B68C" w14:textId="77777777" w:rsidR="007462F0" w:rsidRPr="00D84901" w:rsidRDefault="007462F0" w:rsidP="00522B86">
            <w:pPr>
              <w:spacing w:after="0" w:line="280" w:lineRule="atLeast"/>
              <w:jc w:val="center"/>
              <w:rPr>
                <w:rFonts w:ascii="Tahoma" w:eastAsia="Times New Roman" w:hAnsi="Tahoma" w:cs="Tahoma"/>
                <w:sz w:val="21"/>
                <w:szCs w:val="21"/>
                <w:lang w:eastAsia="pt-BR"/>
              </w:rPr>
            </w:pPr>
            <w:r w:rsidRPr="00D84901">
              <w:rPr>
                <w:rFonts w:ascii="Tahoma" w:eastAsia="Times New Roman" w:hAnsi="Tahoma" w:cs="Tahoma"/>
                <w:sz w:val="21"/>
                <w:szCs w:val="21"/>
                <w:lang w:eastAsia="pt-BR"/>
              </w:rPr>
              <w:t>No dia da solicitação</w:t>
            </w:r>
          </w:p>
        </w:tc>
        <w:tc>
          <w:tcPr>
            <w:tcW w:w="4813" w:type="dxa"/>
            <w:vAlign w:val="center"/>
          </w:tcPr>
          <w:p w14:paraId="61A2FEAF" w14:textId="77777777" w:rsidR="007462F0" w:rsidRPr="00D84901" w:rsidRDefault="007462F0" w:rsidP="00522B86">
            <w:pPr>
              <w:spacing w:after="0" w:line="280" w:lineRule="atLeast"/>
              <w:jc w:val="center"/>
              <w:rPr>
                <w:rFonts w:ascii="Tahoma" w:eastAsia="Times New Roman" w:hAnsi="Tahoma" w:cs="Tahoma"/>
                <w:sz w:val="21"/>
                <w:szCs w:val="21"/>
                <w:lang w:eastAsia="pt-BR"/>
              </w:rPr>
            </w:pPr>
            <w:r w:rsidRPr="00D84901">
              <w:rPr>
                <w:rFonts w:ascii="Tahoma" w:eastAsia="Times New Roman" w:hAnsi="Tahoma" w:cs="Tahoma"/>
                <w:sz w:val="21"/>
                <w:szCs w:val="21"/>
                <w:lang w:eastAsia="pt-BR"/>
              </w:rPr>
              <w:t xml:space="preserve">D+1 </w:t>
            </w:r>
          </w:p>
          <w:p w14:paraId="45117A02" w14:textId="77777777" w:rsidR="007462F0" w:rsidRPr="00D84901" w:rsidRDefault="007462F0" w:rsidP="00522B86">
            <w:pPr>
              <w:spacing w:after="0" w:line="280" w:lineRule="atLeast"/>
              <w:jc w:val="center"/>
              <w:rPr>
                <w:rFonts w:ascii="Tahoma" w:eastAsia="Times New Roman" w:hAnsi="Tahoma" w:cs="Tahoma"/>
                <w:sz w:val="21"/>
                <w:szCs w:val="21"/>
                <w:lang w:eastAsia="pt-BR"/>
              </w:rPr>
            </w:pPr>
            <w:r w:rsidRPr="00D84901">
              <w:rPr>
                <w:rFonts w:ascii="Tahoma" w:eastAsia="Times New Roman" w:hAnsi="Tahoma" w:cs="Tahoma"/>
                <w:sz w:val="21"/>
                <w:szCs w:val="21"/>
                <w:lang w:eastAsia="pt-BR"/>
              </w:rPr>
              <w:t>No 1º dia útil seguinte da conversão de cotas</w:t>
            </w:r>
          </w:p>
        </w:tc>
      </w:tr>
    </w:tbl>
    <w:p w14:paraId="0932F18B"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026912E1"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1405E9C1"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41E54471"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7.11.1.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p>
    <w:p w14:paraId="137F7DCB"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1D0986F3"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7.12. Não há prazo de carência para resgate de cotas do FUNDO, podendo as cotas do FUNDO ser resgatadas com rendimento a qualquer momento.</w:t>
      </w:r>
    </w:p>
    <w:p w14:paraId="118AE695"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18BC8E7D"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lastRenderedPageBreak/>
        <w:t>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14B31945"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35DD26F6"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7.13.1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002C7C5E"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45ABE330" w14:textId="77777777" w:rsidR="007462F0" w:rsidRPr="00D84901" w:rsidRDefault="007462F0" w:rsidP="007462F0">
      <w:pPr>
        <w:pBdr>
          <w:bottom w:val="single" w:sz="6" w:space="1" w:color="auto"/>
        </w:pBdr>
        <w:spacing w:after="0" w:line="280" w:lineRule="atLeast"/>
        <w:jc w:val="center"/>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CLÁUSULA OITAVA – DA DISTRIBUIÇÃO DE RESULTADOS</w:t>
      </w:r>
    </w:p>
    <w:p w14:paraId="6E377563" w14:textId="77777777" w:rsidR="007462F0" w:rsidRPr="00D84901" w:rsidRDefault="007462F0" w:rsidP="007462F0">
      <w:pPr>
        <w:spacing w:after="0" w:line="280" w:lineRule="atLeast"/>
        <w:jc w:val="both"/>
        <w:rPr>
          <w:rFonts w:ascii="Tahoma" w:eastAsia="Times New Roman" w:hAnsi="Tahoma" w:cs="Tahoma"/>
          <w:b/>
          <w:sz w:val="21"/>
          <w:szCs w:val="21"/>
          <w:lang w:eastAsia="pt-BR"/>
        </w:rPr>
      </w:pPr>
    </w:p>
    <w:p w14:paraId="609F5418"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8.1. Os resultados oriundos dos Ativos Financeiros</w:t>
      </w:r>
      <w:r w:rsidRPr="00D84901" w:rsidDel="00FA248C">
        <w:rPr>
          <w:rFonts w:ascii="Tahoma" w:eastAsia="Times New Roman" w:hAnsi="Tahoma" w:cs="Tahoma"/>
          <w:sz w:val="21"/>
          <w:szCs w:val="21"/>
          <w:lang w:eastAsia="pt-BR"/>
        </w:rPr>
        <w:t xml:space="preserve"> </w:t>
      </w:r>
      <w:r w:rsidRPr="00D84901">
        <w:rPr>
          <w:rFonts w:ascii="Tahoma" w:eastAsia="Times New Roman" w:hAnsi="Tahoma" w:cs="Tahoma"/>
          <w:sz w:val="21"/>
          <w:szCs w:val="21"/>
          <w:lang w:eastAsia="pt-BR"/>
        </w:rPr>
        <w:t>integrantes da Carteira do FUNDO serão incorporados ao seu patrimônio.</w:t>
      </w:r>
    </w:p>
    <w:p w14:paraId="5B6A03BE"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0D1E86DD" w14:textId="77777777" w:rsidR="007462F0" w:rsidRPr="00D84901" w:rsidRDefault="007462F0" w:rsidP="007462F0">
      <w:pPr>
        <w:pBdr>
          <w:bottom w:val="single" w:sz="6" w:space="1" w:color="auto"/>
        </w:pBdr>
        <w:spacing w:after="0" w:line="280" w:lineRule="atLeast"/>
        <w:jc w:val="center"/>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CLÁUSULA NONA– DO EXERCÍCIO SOCIAL</w:t>
      </w:r>
    </w:p>
    <w:p w14:paraId="672882E8"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1832E815"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 xml:space="preserve">9.1. O exercício social do FUNDO terá início em 1º de janeiro de cada ano e término </w:t>
      </w:r>
      <w:r w:rsidRPr="00D84901">
        <w:rPr>
          <w:rFonts w:ascii="Tahoma" w:eastAsia="Times New Roman" w:hAnsi="Tahoma" w:cs="Tahoma"/>
          <w:color w:val="000000"/>
          <w:sz w:val="21"/>
          <w:szCs w:val="21"/>
          <w:lang w:eastAsia="pt-BR"/>
        </w:rPr>
        <w:t>no último dia do mês de dezembro do mesmo ano</w:t>
      </w:r>
      <w:r w:rsidRPr="00D84901">
        <w:rPr>
          <w:rFonts w:ascii="Tahoma" w:eastAsia="Times New Roman" w:hAnsi="Tahoma" w:cs="Tahoma"/>
          <w:sz w:val="21"/>
          <w:szCs w:val="21"/>
          <w:lang w:eastAsia="pt-BR"/>
        </w:rPr>
        <w:t>.</w:t>
      </w:r>
    </w:p>
    <w:p w14:paraId="73FE3362"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7A063AEC" w14:textId="77777777" w:rsidR="007462F0" w:rsidRPr="00D84901" w:rsidRDefault="007462F0" w:rsidP="007462F0">
      <w:pPr>
        <w:pBdr>
          <w:bottom w:val="single" w:sz="6" w:space="1" w:color="auto"/>
        </w:pBdr>
        <w:spacing w:after="0" w:line="280" w:lineRule="atLeast"/>
        <w:jc w:val="center"/>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CLÁUSULA DEZ – DA ASSEMBLEIA GERAL</w:t>
      </w:r>
    </w:p>
    <w:p w14:paraId="5C0F678B"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56042A6B" w14:textId="77777777" w:rsidR="007462F0" w:rsidRPr="00D84901" w:rsidRDefault="007462F0" w:rsidP="007462F0">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10.1.</w:t>
      </w:r>
      <w:r w:rsidRPr="00D84901">
        <w:rPr>
          <w:rFonts w:ascii="Tahoma" w:eastAsia="Times New Roman" w:hAnsi="Tahoma" w:cs="Tahoma"/>
          <w:sz w:val="21"/>
          <w:szCs w:val="21"/>
          <w:lang w:eastAsia="pt-BR"/>
        </w:rPr>
        <w:tab/>
        <w:t>Os Cotistas se reunirão anualmente, em até 120 dias após o encerramento do exercício social, para deliberar sobre as demonstrações contábeis do FUNDO, e, extraordinariamente, sempre que necessário.</w:t>
      </w:r>
    </w:p>
    <w:p w14:paraId="78DC2C6D" w14:textId="77777777" w:rsidR="007462F0" w:rsidRPr="00D84901" w:rsidRDefault="007462F0" w:rsidP="007462F0">
      <w:pPr>
        <w:spacing w:after="0" w:line="240" w:lineRule="auto"/>
        <w:jc w:val="both"/>
        <w:rPr>
          <w:rFonts w:ascii="Tahoma" w:eastAsia="Times New Roman" w:hAnsi="Tahoma" w:cs="Tahoma"/>
          <w:sz w:val="21"/>
          <w:szCs w:val="21"/>
          <w:lang w:eastAsia="pt-BR"/>
        </w:rPr>
      </w:pPr>
    </w:p>
    <w:p w14:paraId="31A13E78" w14:textId="77777777" w:rsidR="007462F0" w:rsidRPr="00D84901" w:rsidRDefault="007462F0" w:rsidP="007462F0">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10.2.</w:t>
      </w:r>
      <w:r w:rsidRPr="00D84901">
        <w:rPr>
          <w:rFonts w:ascii="Tahoma" w:eastAsia="Times New Roman" w:hAnsi="Tahoma" w:cs="Tahoma"/>
          <w:sz w:val="21"/>
          <w:szCs w:val="21"/>
          <w:lang w:eastAsia="pt-BR"/>
        </w:rPr>
        <w:tab/>
        <w:t xml:space="preserve">A convocação da Assembleia Geral far-se-á com, no mínimo, 10 dias de antecedência da data da realização da Assembleia Geral, por meio de correspondência, escrita ou eletrônica, encaminhada a cada um dos Cotistas. </w:t>
      </w:r>
    </w:p>
    <w:p w14:paraId="11E65897" w14:textId="77777777" w:rsidR="007462F0" w:rsidRPr="00D84901" w:rsidRDefault="007462F0" w:rsidP="007462F0">
      <w:pPr>
        <w:spacing w:after="0" w:line="240" w:lineRule="auto"/>
        <w:jc w:val="both"/>
        <w:rPr>
          <w:rFonts w:ascii="Tahoma" w:eastAsia="Times New Roman" w:hAnsi="Tahoma" w:cs="Tahoma"/>
          <w:sz w:val="21"/>
          <w:szCs w:val="21"/>
          <w:lang w:eastAsia="pt-BR"/>
        </w:rPr>
      </w:pPr>
    </w:p>
    <w:p w14:paraId="4CE147E9" w14:textId="77777777" w:rsidR="007462F0" w:rsidRPr="00D84901" w:rsidRDefault="007462F0" w:rsidP="007462F0">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10.3.</w:t>
      </w:r>
      <w:r w:rsidRPr="00D84901">
        <w:rPr>
          <w:rFonts w:ascii="Tahoma" w:eastAsia="Times New Roman" w:hAnsi="Tahoma" w:cs="Tahoma"/>
          <w:sz w:val="21"/>
          <w:szCs w:val="21"/>
          <w:lang w:eastAsia="pt-BR"/>
        </w:rPr>
        <w:tab/>
        <w:t>Das convocações constarão, obrigatoriamente, dia, hora e local em que será realizada a assembleia e, ainda, todas as matérias a serem deliberadas.</w:t>
      </w:r>
    </w:p>
    <w:p w14:paraId="7990922E" w14:textId="77777777" w:rsidR="007462F0" w:rsidRPr="00D84901" w:rsidRDefault="007462F0" w:rsidP="007462F0">
      <w:pPr>
        <w:widowControl w:val="0"/>
        <w:spacing w:after="0" w:line="240" w:lineRule="auto"/>
        <w:jc w:val="both"/>
        <w:rPr>
          <w:rFonts w:ascii="Tahoma" w:eastAsia="Times New Roman" w:hAnsi="Tahoma" w:cs="Tahoma"/>
          <w:sz w:val="21"/>
          <w:szCs w:val="21"/>
          <w:lang w:eastAsia="pt-BR"/>
        </w:rPr>
      </w:pPr>
    </w:p>
    <w:p w14:paraId="3A44D510" w14:textId="77777777" w:rsidR="007462F0" w:rsidRPr="00D84901" w:rsidRDefault="007462F0" w:rsidP="007462F0">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10.4.</w:t>
      </w:r>
      <w:r w:rsidRPr="00D84901">
        <w:rPr>
          <w:rFonts w:ascii="Tahoma" w:eastAsia="Times New Roman" w:hAnsi="Tahoma" w:cs="Tahoma"/>
          <w:sz w:val="21"/>
          <w:szCs w:val="21"/>
          <w:lang w:eastAsia="pt-BR"/>
        </w:rPr>
        <w:tab/>
        <w:t xml:space="preserve">A Assembleia Geral poderá ser convocada pelo ADMINISTRADOR, pelo GESTOR, pelo CUSTODIANTE ou </w:t>
      </w:r>
      <w:proofErr w:type="gramStart"/>
      <w:r w:rsidRPr="00D84901">
        <w:rPr>
          <w:rFonts w:ascii="Tahoma" w:eastAsia="Times New Roman" w:hAnsi="Tahoma" w:cs="Tahoma"/>
          <w:sz w:val="21"/>
          <w:szCs w:val="21"/>
          <w:lang w:eastAsia="pt-BR"/>
        </w:rPr>
        <w:t>por Cotistas</w:t>
      </w:r>
      <w:proofErr w:type="gramEnd"/>
      <w:r w:rsidRPr="00D84901">
        <w:rPr>
          <w:rFonts w:ascii="Tahoma" w:eastAsia="Times New Roman" w:hAnsi="Tahoma" w:cs="Tahoma"/>
          <w:sz w:val="21"/>
          <w:szCs w:val="21"/>
          <w:lang w:eastAsia="pt-BR"/>
        </w:rPr>
        <w:t xml:space="preserve"> que detenham, no mínimo, 5% do total das cotas emitidas pelo FUNDO e poderá ser instalada com qualquer número de Cotistas, cabendo a cada cota um voto. </w:t>
      </w:r>
    </w:p>
    <w:p w14:paraId="7DAEA572" w14:textId="77777777" w:rsidR="007462F0" w:rsidRPr="00D84901" w:rsidRDefault="007462F0" w:rsidP="007462F0">
      <w:pPr>
        <w:spacing w:after="0" w:line="240" w:lineRule="auto"/>
        <w:jc w:val="both"/>
        <w:rPr>
          <w:rFonts w:ascii="Tahoma" w:eastAsia="Times New Roman" w:hAnsi="Tahoma" w:cs="Tahoma"/>
          <w:sz w:val="21"/>
          <w:szCs w:val="21"/>
          <w:lang w:eastAsia="pt-BR"/>
        </w:rPr>
      </w:pPr>
    </w:p>
    <w:p w14:paraId="300DF010" w14:textId="77777777" w:rsidR="007462F0" w:rsidRPr="00D84901" w:rsidRDefault="007462F0" w:rsidP="007462F0">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10.5.</w:t>
      </w:r>
      <w:r w:rsidRPr="00D84901">
        <w:rPr>
          <w:rFonts w:ascii="Tahoma" w:eastAsia="Times New Roman" w:hAnsi="Tahoma" w:cs="Tahoma"/>
          <w:sz w:val="21"/>
          <w:szCs w:val="21"/>
          <w:lang w:eastAsia="pt-BR"/>
        </w:rPr>
        <w:tab/>
        <w:t>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de cotistas representando, no mínimo, dois terços das cotas emitidas pelo FUNDO.</w:t>
      </w:r>
    </w:p>
    <w:p w14:paraId="21BF7426" w14:textId="77777777" w:rsidR="007462F0" w:rsidRPr="00D84901" w:rsidRDefault="007462F0" w:rsidP="007462F0">
      <w:pPr>
        <w:spacing w:after="0" w:line="240" w:lineRule="auto"/>
        <w:jc w:val="both"/>
        <w:rPr>
          <w:rFonts w:ascii="Tahoma" w:eastAsia="Times New Roman" w:hAnsi="Tahoma" w:cs="Tahoma"/>
          <w:sz w:val="21"/>
          <w:szCs w:val="21"/>
          <w:lang w:eastAsia="pt-BR"/>
        </w:rPr>
      </w:pPr>
    </w:p>
    <w:p w14:paraId="48D7A394" w14:textId="77777777" w:rsidR="007462F0" w:rsidRPr="00D84901" w:rsidRDefault="007462F0" w:rsidP="007462F0">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10.6.</w:t>
      </w:r>
      <w:r w:rsidRPr="00D84901">
        <w:rPr>
          <w:rFonts w:ascii="Tahoma" w:eastAsia="Times New Roman" w:hAnsi="Tahoma" w:cs="Tahoma"/>
          <w:sz w:val="21"/>
          <w:szCs w:val="21"/>
          <w:lang w:eastAsia="pt-BR"/>
        </w:rPr>
        <w:tab/>
        <w:t>Estarão aptos para votar na Assembleia Geral os Cotistas do Fundo inscritos no registro de cotistas na data da convocação da Assembleia Geral, seus representantes legais ou procuradores legalmente constituídos há menos de 1 ano.</w:t>
      </w:r>
    </w:p>
    <w:p w14:paraId="13AB5370" w14:textId="77777777" w:rsidR="007462F0" w:rsidRPr="00D84901" w:rsidRDefault="007462F0" w:rsidP="007462F0">
      <w:pPr>
        <w:spacing w:after="0" w:line="240" w:lineRule="auto"/>
        <w:jc w:val="both"/>
        <w:rPr>
          <w:rFonts w:ascii="Tahoma" w:eastAsia="Times New Roman" w:hAnsi="Tahoma" w:cs="Tahoma"/>
          <w:sz w:val="21"/>
          <w:szCs w:val="21"/>
          <w:lang w:eastAsia="pt-BR"/>
        </w:rPr>
      </w:pPr>
    </w:p>
    <w:p w14:paraId="2EACAE07" w14:textId="77777777" w:rsidR="007462F0" w:rsidRPr="00D84901" w:rsidRDefault="007462F0" w:rsidP="007462F0">
      <w:pPr>
        <w:spacing w:after="0" w:line="240" w:lineRule="auto"/>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10.7.</w:t>
      </w:r>
      <w:r w:rsidRPr="00D84901">
        <w:rPr>
          <w:rFonts w:ascii="Tahoma" w:eastAsia="Times New Roman" w:hAnsi="Tahoma" w:cs="Tahoma"/>
          <w:sz w:val="21"/>
          <w:szCs w:val="21"/>
          <w:lang w:eastAsia="pt-BR"/>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319D212E" w14:textId="77777777" w:rsidR="007462F0" w:rsidRPr="00D84901" w:rsidRDefault="007462F0" w:rsidP="007462F0">
      <w:pPr>
        <w:spacing w:after="0" w:line="240" w:lineRule="auto"/>
        <w:jc w:val="both"/>
        <w:rPr>
          <w:rFonts w:ascii="Tahoma" w:eastAsia="Times New Roman" w:hAnsi="Tahoma" w:cs="Tahoma"/>
          <w:sz w:val="21"/>
          <w:szCs w:val="21"/>
          <w:lang w:eastAsia="pt-BR"/>
        </w:rPr>
      </w:pPr>
    </w:p>
    <w:p w14:paraId="740EA4FE" w14:textId="77777777" w:rsidR="007462F0" w:rsidRPr="00D84901" w:rsidRDefault="007462F0" w:rsidP="007462F0">
      <w:pPr>
        <w:spacing w:after="0" w:line="280" w:lineRule="atLeast"/>
        <w:jc w:val="both"/>
        <w:rPr>
          <w:rFonts w:ascii="Tahoma" w:eastAsia="Times New Roman" w:hAnsi="Tahoma" w:cs="Tahoma"/>
          <w:iCs/>
          <w:sz w:val="21"/>
          <w:szCs w:val="21"/>
          <w:lang w:eastAsia="pt-BR"/>
        </w:rPr>
      </w:pPr>
      <w:r w:rsidRPr="00D84901">
        <w:rPr>
          <w:rFonts w:ascii="Tahoma" w:eastAsia="Times New Roman" w:hAnsi="Tahoma" w:cs="Tahoma"/>
          <w:sz w:val="21"/>
          <w:szCs w:val="21"/>
          <w:lang w:eastAsia="pt-BR"/>
        </w:rPr>
        <w:t>10.8.</w:t>
      </w:r>
      <w:r w:rsidRPr="00D84901">
        <w:rPr>
          <w:rFonts w:ascii="Tahoma" w:eastAsia="Times New Roman" w:hAnsi="Tahoma" w:cs="Tahoma"/>
          <w:sz w:val="21"/>
          <w:szCs w:val="21"/>
          <w:lang w:eastAsia="pt-BR"/>
        </w:rPr>
        <w:tab/>
        <w:t xml:space="preserve"> </w:t>
      </w:r>
      <w:r w:rsidRPr="00D84901">
        <w:rPr>
          <w:rFonts w:ascii="Tahoma" w:eastAsia="Times New Roman" w:hAnsi="Tahoma" w:cs="Tahoma"/>
          <w:iCs/>
          <w:sz w:val="21"/>
          <w:szCs w:val="21"/>
          <w:lang w:eastAsia="pt-BR"/>
        </w:rPr>
        <w:t xml:space="preserve">As deliberações da Assembleia Geral poderão ser tomadas mediante processo escrito de consulta formal pelo ADMINISTRADOR, por meio físico ou eletrônico, sem a necessidade de uma reunião. </w:t>
      </w:r>
    </w:p>
    <w:p w14:paraId="70DCA8D2" w14:textId="77777777" w:rsidR="007462F0" w:rsidRPr="00D84901" w:rsidRDefault="007462F0" w:rsidP="007462F0">
      <w:pPr>
        <w:spacing w:after="0" w:line="280" w:lineRule="atLeast"/>
        <w:jc w:val="both"/>
        <w:rPr>
          <w:rFonts w:ascii="Tahoma" w:eastAsia="Times New Roman" w:hAnsi="Tahoma" w:cs="Tahoma"/>
          <w:iCs/>
          <w:sz w:val="21"/>
          <w:szCs w:val="21"/>
          <w:lang w:eastAsia="pt-BR"/>
        </w:rPr>
      </w:pPr>
    </w:p>
    <w:p w14:paraId="5C456691" w14:textId="77777777" w:rsidR="007462F0" w:rsidRPr="00D84901" w:rsidRDefault="007462F0" w:rsidP="007462F0">
      <w:pPr>
        <w:spacing w:after="0" w:line="280" w:lineRule="atLeast"/>
        <w:jc w:val="both"/>
        <w:rPr>
          <w:rFonts w:ascii="Tahoma" w:eastAsia="Times New Roman" w:hAnsi="Tahoma" w:cs="Tahoma"/>
          <w:iCs/>
          <w:sz w:val="21"/>
          <w:szCs w:val="21"/>
          <w:lang w:eastAsia="pt-BR"/>
        </w:rPr>
      </w:pPr>
      <w:r w:rsidRPr="00D84901">
        <w:rPr>
          <w:rFonts w:ascii="Tahoma" w:eastAsia="Times New Roman" w:hAnsi="Tahoma" w:cs="Tahoma"/>
          <w:iCs/>
          <w:sz w:val="21"/>
          <w:szCs w:val="21"/>
          <w:lang w:eastAsia="pt-BR"/>
        </w:rPr>
        <w:t>10.8.1. Da consulta formal deverão constar todas as informações necessárias para o exercício de voto dos Cotistas.</w:t>
      </w:r>
    </w:p>
    <w:p w14:paraId="6D7CA044" w14:textId="77777777" w:rsidR="007462F0" w:rsidRPr="00D84901" w:rsidRDefault="007462F0" w:rsidP="007462F0">
      <w:pPr>
        <w:spacing w:after="0" w:line="280" w:lineRule="atLeast"/>
        <w:jc w:val="both"/>
        <w:rPr>
          <w:rFonts w:ascii="Tahoma" w:eastAsia="Times New Roman" w:hAnsi="Tahoma" w:cs="Tahoma"/>
          <w:iCs/>
          <w:sz w:val="21"/>
          <w:szCs w:val="21"/>
          <w:lang w:eastAsia="pt-BR"/>
        </w:rPr>
      </w:pPr>
    </w:p>
    <w:p w14:paraId="611D3781" w14:textId="77777777" w:rsidR="007462F0" w:rsidRPr="00D84901" w:rsidRDefault="007462F0" w:rsidP="007462F0">
      <w:pPr>
        <w:spacing w:after="0" w:line="280" w:lineRule="atLeast"/>
        <w:jc w:val="both"/>
        <w:rPr>
          <w:rFonts w:ascii="Tahoma" w:eastAsia="Times New Roman" w:hAnsi="Tahoma" w:cs="Tahoma"/>
          <w:iCs/>
          <w:sz w:val="21"/>
          <w:szCs w:val="21"/>
          <w:lang w:eastAsia="pt-BR"/>
        </w:rPr>
      </w:pPr>
      <w:r w:rsidRPr="00D84901">
        <w:rPr>
          <w:rFonts w:ascii="Tahoma" w:eastAsia="Times New Roman" w:hAnsi="Tahoma" w:cs="Tahoma"/>
          <w:iCs/>
          <w:sz w:val="21"/>
          <w:szCs w:val="21"/>
          <w:lang w:eastAsia="pt-BR"/>
        </w:rPr>
        <w:t xml:space="preserve">10.8.2. Na hipótese prevista no item 10.8 será concedido aos Cotistas o prazo mínimo de 10 dias corridos para manifestação, a contar da data da emissão da consulta. </w:t>
      </w:r>
    </w:p>
    <w:p w14:paraId="38E731CC" w14:textId="77777777" w:rsidR="007462F0" w:rsidRPr="00D84901" w:rsidRDefault="007462F0" w:rsidP="007462F0">
      <w:pPr>
        <w:spacing w:after="0" w:line="280" w:lineRule="atLeast"/>
        <w:jc w:val="both"/>
        <w:rPr>
          <w:rFonts w:ascii="Tahoma" w:eastAsia="Times New Roman" w:hAnsi="Tahoma" w:cs="Tahoma"/>
          <w:iCs/>
          <w:sz w:val="21"/>
          <w:szCs w:val="21"/>
          <w:lang w:eastAsia="pt-BR"/>
        </w:rPr>
      </w:pPr>
    </w:p>
    <w:p w14:paraId="186E2219"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iCs/>
          <w:sz w:val="21"/>
          <w:szCs w:val="21"/>
          <w:lang w:eastAsia="pt-BR"/>
        </w:rPr>
        <w:t xml:space="preserve">10.8.3. A assembleia geral </w:t>
      </w:r>
      <w:proofErr w:type="gramStart"/>
      <w:r w:rsidRPr="00D84901">
        <w:rPr>
          <w:rFonts w:ascii="Tahoma" w:eastAsia="Times New Roman" w:hAnsi="Tahoma" w:cs="Tahoma"/>
          <w:iCs/>
          <w:sz w:val="21"/>
          <w:szCs w:val="21"/>
          <w:lang w:eastAsia="pt-BR"/>
        </w:rPr>
        <w:t>de Cotistas</w:t>
      </w:r>
      <w:proofErr w:type="gramEnd"/>
      <w:r w:rsidRPr="00D84901">
        <w:rPr>
          <w:rFonts w:ascii="Tahoma" w:eastAsia="Times New Roman" w:hAnsi="Tahoma" w:cs="Tahoma"/>
          <w:iCs/>
          <w:sz w:val="21"/>
          <w:szCs w:val="21"/>
          <w:lang w:eastAsia="pt-BR"/>
        </w:rPr>
        <w:t xml:space="preserve"> realizada mediante consulta formal poderá ser instalada com qualquer número de Cotistas, de modo que as deliberações serão tomadas por maioria de votos enviados ao ADMINISTRADOR, cabendo a cada cota 1 voto.</w:t>
      </w:r>
    </w:p>
    <w:p w14:paraId="541EDB65"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3ED38204" w14:textId="77777777" w:rsidR="007462F0" w:rsidRPr="00D84901" w:rsidRDefault="007462F0" w:rsidP="007462F0">
      <w:pPr>
        <w:pBdr>
          <w:bottom w:val="single" w:sz="6" w:space="1" w:color="auto"/>
        </w:pBdr>
        <w:spacing w:after="0" w:line="280" w:lineRule="atLeast"/>
        <w:jc w:val="center"/>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CLÁUSULA ONZE – DA TRIBUTAÇÃO</w:t>
      </w:r>
    </w:p>
    <w:p w14:paraId="532FA280"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6579FA8A"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11.1. O GESTOR busca manter a CARTEIRA de ativos do FUNDO com prazo médio superior a 365 dias. Contudo, não há garantia de que o FUNDO terá tratamento fiscal de longo prazo, existindo o risco de aplicar a tributação dos fundos de investimento de curto prazo. Os rendimentos das aplicações dos Cotistas em fundos de longo prazo estarão sujeitos às tributações: (i) no resgate, a contar da aplicação, o rendimento produzido sofrerá a incidência do IR às alíquotas de: (a) 22,5% quando efetuado até 180 dias; (b) 20% quando efetuado após 180 dias até 360 dias; (c) 17,5% quando efetuado após 360 dias até 720 dias; e (d) 15% quando efetuado após 720 dias. Nessa ocasião, os valores adiantados quando da ocorrência dos come-cotas semestrais serão descontados para fins de determinação do montante a ser efetivamente recolhido aos cofres públicos; e (</w:t>
      </w:r>
      <w:proofErr w:type="spellStart"/>
      <w:r w:rsidRPr="00D84901">
        <w:rPr>
          <w:rFonts w:ascii="Tahoma" w:eastAsia="Times New Roman" w:hAnsi="Tahoma" w:cs="Tahoma"/>
          <w:sz w:val="21"/>
          <w:szCs w:val="21"/>
          <w:lang w:eastAsia="pt-BR"/>
        </w:rPr>
        <w:t>ii</w:t>
      </w:r>
      <w:proofErr w:type="spellEnd"/>
      <w:r w:rsidRPr="00D84901">
        <w:rPr>
          <w:rFonts w:ascii="Tahoma" w:eastAsia="Times New Roman" w:hAnsi="Tahoma" w:cs="Tahoma"/>
          <w:sz w:val="21"/>
          <w:szCs w:val="21"/>
          <w:lang w:eastAsia="pt-BR"/>
        </w:rPr>
        <w:t>) semestral, com a incidência adicional e periódica de IR nos meses de maio e novembro, à alíquota de 15% (come-cotas) sobre os rendimentos produzidos no período.</w:t>
      </w:r>
    </w:p>
    <w:p w14:paraId="138D6B82"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336218DE"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11.2. Na hipótese de o prazo médio da CARTEIRA do FUNDO permanecer igual ou inferior a 365 dias por mais de 3 vezes ou por mais de 45 dias no ano, os Cotistas passarão a ser tributados conforme tributações aplicáveis aos fundos de investimento de curto prazo, quais sejam: (i) no resgate, a contar da aplicação, o rendimento produzido sofrerá a incidência do IR às alíquotas de: (a) 22,5% quando efetuado até 180 dias; e (b) 20% quando efetuado após 180 dias. Nessa ocasião, os valores adiantados quando da ocorrência dos come-cotas semestrais serão descontados para fins de determinação do montante a ser efetivamente recolhido aos cofres públicos; e (</w:t>
      </w:r>
      <w:proofErr w:type="spellStart"/>
      <w:r w:rsidRPr="00D84901">
        <w:rPr>
          <w:rFonts w:ascii="Tahoma" w:eastAsia="Times New Roman" w:hAnsi="Tahoma" w:cs="Tahoma"/>
          <w:sz w:val="21"/>
          <w:szCs w:val="21"/>
          <w:lang w:eastAsia="pt-BR"/>
        </w:rPr>
        <w:t>ii</w:t>
      </w:r>
      <w:proofErr w:type="spellEnd"/>
      <w:r w:rsidRPr="00D84901">
        <w:rPr>
          <w:rFonts w:ascii="Tahoma" w:eastAsia="Times New Roman" w:hAnsi="Tahoma" w:cs="Tahoma"/>
          <w:sz w:val="21"/>
          <w:szCs w:val="21"/>
          <w:lang w:eastAsia="pt-BR"/>
        </w:rPr>
        <w:t>) semestral, com a incidência adicional e periódica de IR, nos meses de maio e novembro, à alíquota de 20% (come-cotas) sobre os rendimentos produzidos no período.</w:t>
      </w:r>
    </w:p>
    <w:p w14:paraId="5560D0CB"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7E36D4E8"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11.3. IOF/Títulos: resgates ocorridos nos primeiros 30 dias a contar da data da aplicação, há incidência de IOF conforme Anexo do Decreto 6306/2007.</w:t>
      </w:r>
    </w:p>
    <w:p w14:paraId="1892CE55"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530244B5"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11.4.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1912A594" w14:textId="77777777" w:rsidR="007462F0" w:rsidRPr="00D84901" w:rsidRDefault="007462F0" w:rsidP="007462F0">
      <w:pPr>
        <w:pBdr>
          <w:bottom w:val="single" w:sz="6" w:space="1" w:color="auto"/>
        </w:pBdr>
        <w:spacing w:after="0" w:line="280" w:lineRule="atLeast"/>
        <w:jc w:val="center"/>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CLÁUSULA DOZE – EXERCÍCIO DO DIREITO DE VOTO</w:t>
      </w:r>
    </w:p>
    <w:p w14:paraId="7B66DFBA"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34A1CEEB"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12.1.</w:t>
      </w:r>
      <w:r w:rsidRPr="00D84901">
        <w:rPr>
          <w:rFonts w:ascii="Tahoma" w:eastAsia="Times New Roman" w:hAnsi="Tahoma" w:cs="Tahoma"/>
          <w:sz w:val="21"/>
          <w:szCs w:val="21"/>
          <w:lang w:eastAsia="pt-BR"/>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3E8BDA06"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1637EB0E"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12.2.</w:t>
      </w:r>
      <w:r w:rsidRPr="00D84901">
        <w:rPr>
          <w:rFonts w:ascii="Tahoma" w:eastAsia="Times New Roman" w:hAnsi="Tahoma" w:cs="Tahoma"/>
          <w:sz w:val="21"/>
          <w:szCs w:val="21"/>
          <w:lang w:eastAsia="pt-BR"/>
        </w:rPr>
        <w:tab/>
        <w:t>O objetivo da Política de Voto é estabelecer os requisitos e os princípios que nortearão o Gestor no exercício do direito de voto, na qualidade de representante dos fundos de investimento sob sua gestão.</w:t>
      </w:r>
    </w:p>
    <w:p w14:paraId="7A412783"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3095CBF8"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12.3.</w:t>
      </w:r>
      <w:r w:rsidRPr="00D84901">
        <w:rPr>
          <w:rFonts w:ascii="Tahoma" w:eastAsia="Times New Roman" w:hAnsi="Tahoma" w:cs="Tahoma"/>
          <w:sz w:val="21"/>
          <w:szCs w:val="21"/>
          <w:lang w:eastAsia="pt-BR"/>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7DBEBAD6"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1912AA77" w14:textId="77777777" w:rsidR="007462F0" w:rsidRPr="00D84901" w:rsidRDefault="007462F0" w:rsidP="007462F0">
      <w:pPr>
        <w:pBdr>
          <w:bottom w:val="single" w:sz="6" w:space="1" w:color="auto"/>
        </w:pBdr>
        <w:spacing w:after="0" w:line="280" w:lineRule="atLeast"/>
        <w:jc w:val="center"/>
        <w:rPr>
          <w:rFonts w:ascii="Tahoma" w:eastAsia="Times New Roman" w:hAnsi="Tahoma" w:cs="Tahoma"/>
          <w:b/>
          <w:sz w:val="21"/>
          <w:szCs w:val="21"/>
          <w:lang w:eastAsia="pt-BR"/>
        </w:rPr>
      </w:pPr>
      <w:r w:rsidRPr="00D84901">
        <w:rPr>
          <w:rFonts w:ascii="Tahoma" w:eastAsia="Times New Roman" w:hAnsi="Tahoma" w:cs="Tahoma"/>
          <w:b/>
          <w:sz w:val="21"/>
          <w:szCs w:val="21"/>
          <w:lang w:eastAsia="pt-BR"/>
        </w:rPr>
        <w:t>CLÁUSULA TREZE – DAS DISPOSIÇÕES GERAIS</w:t>
      </w:r>
    </w:p>
    <w:p w14:paraId="7C22617B"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4E02AC1C"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lastRenderedPageBreak/>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579194E6"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070A1685"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13.1.1. Quando as informações ou documentos relacionados ao FUNDO forem comunicados, enviados, divulgados e/ou disponibilizados por meio físico, os custos serão arcados pelo FUNDO.</w:t>
      </w:r>
    </w:p>
    <w:p w14:paraId="290EB36D"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34061E89"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13.2.</w:t>
      </w:r>
      <w:r w:rsidRPr="00D84901">
        <w:rPr>
          <w:rFonts w:ascii="Tahoma" w:eastAsia="Times New Roman" w:hAnsi="Tahoma" w:cs="Tahoma"/>
          <w:sz w:val="21"/>
          <w:szCs w:val="21"/>
          <w:lang w:eastAsia="pt-BR"/>
        </w:rPr>
        <w:tab/>
        <w:t>Admite-se, nas hipóteses em que este Regulamento exija a “ciência”, “atesto”, “manifestação de voto” ou “concordância” dos Cotistas, que estes se deem por meio eletrônico.</w:t>
      </w:r>
    </w:p>
    <w:p w14:paraId="69CE419D"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28B807B1"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13.3. O atendimento aos Cotistas para receber e encaminhar questões relacionadas ao Fundo será realizado por meio da Central de Atendimento do Santander, pelos seguintes meios:</w:t>
      </w:r>
    </w:p>
    <w:p w14:paraId="370BDB1B"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5CE1716D"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Capitais e Regiões Metropolitanas: 4004-3535</w:t>
      </w:r>
    </w:p>
    <w:p w14:paraId="4FC93B89"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Demais localidades: 0800-702-3535</w:t>
      </w:r>
    </w:p>
    <w:p w14:paraId="75FDE7E9"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Serviço de Apoio ao Consumidor – SAC: 0800-762-777</w:t>
      </w:r>
    </w:p>
    <w:p w14:paraId="28B6BA20"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Ouvidoria: 0800-726-0322</w:t>
      </w:r>
    </w:p>
    <w:p w14:paraId="050F276F"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31687D94"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 xml:space="preserve">13.4. Não há valores mínimos e máximos de investimento inicial, movimentação e manutenção pelos Cotistas no FUNDO. </w:t>
      </w:r>
    </w:p>
    <w:p w14:paraId="10A66FB5"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5C183D88"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13.5. Para transmissão de ordens de aplicação e de resgate de cotas do FUNDO, os Cotistas utilizarão os meios disponibilizados pelo ADMINISTRADOR para tal finalidade.</w:t>
      </w:r>
    </w:p>
    <w:p w14:paraId="28FD6EE3"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1D93C432"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13.6. O ADMINISTRADOR poderá gravar toda e qualquer ligação telefônica mantida entre o ADMINISTRADOR e os Cotistas, bem como, utilizar referidas gravações para efeito de prova das ordens transmitidas e das demais informações nelas contidas.</w:t>
      </w:r>
    </w:p>
    <w:p w14:paraId="48DA81D0"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01B2E5A1" w14:textId="77777777" w:rsidR="007462F0" w:rsidRPr="00D84901" w:rsidRDefault="007462F0" w:rsidP="007462F0">
      <w:pPr>
        <w:spacing w:after="0" w:line="280" w:lineRule="atLeast"/>
        <w:jc w:val="both"/>
        <w:rPr>
          <w:rFonts w:ascii="Tahoma" w:eastAsia="Times New Roman" w:hAnsi="Tahoma" w:cs="Tahoma"/>
          <w:sz w:val="21"/>
          <w:szCs w:val="21"/>
          <w:lang w:eastAsia="pt-BR"/>
        </w:rPr>
      </w:pPr>
      <w:r w:rsidRPr="00D84901">
        <w:rPr>
          <w:rFonts w:ascii="Tahoma" w:eastAsia="Times New Roman" w:hAnsi="Tahoma" w:cs="Tahoma"/>
          <w:sz w:val="21"/>
          <w:szCs w:val="21"/>
          <w:lang w:eastAsia="pt-BR"/>
        </w:rPr>
        <w:t>13.7. Fica eleito o foro da Comarca da Capital do Estado de São Paulo, com a exclusão de qualquer outro, por mais privilegiado que seja, para dirimir quaisquer dúvidas ou controvérsias advindas deste Regulamento.</w:t>
      </w:r>
    </w:p>
    <w:p w14:paraId="471FF587"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454D3AF4" w14:textId="71C98D4B" w:rsidR="007462F0" w:rsidRPr="00D84901" w:rsidRDefault="007462F0" w:rsidP="00F02F48">
      <w:pPr>
        <w:spacing w:after="0" w:line="280" w:lineRule="atLeast"/>
        <w:jc w:val="center"/>
        <w:rPr>
          <w:rFonts w:ascii="Tahoma" w:eastAsia="Times New Roman" w:hAnsi="Tahoma" w:cs="Tahoma"/>
          <w:sz w:val="21"/>
          <w:szCs w:val="21"/>
          <w:lang w:eastAsia="pt-BR"/>
        </w:rPr>
      </w:pPr>
      <w:r w:rsidRPr="00D84901">
        <w:rPr>
          <w:rFonts w:ascii="Tahoma" w:eastAsia="Times New Roman" w:hAnsi="Tahoma" w:cs="Tahoma"/>
          <w:sz w:val="21"/>
          <w:szCs w:val="21"/>
          <w:lang w:eastAsia="pt-BR"/>
        </w:rPr>
        <w:t xml:space="preserve">São Paulo, </w:t>
      </w:r>
      <w:r w:rsidR="00F02F48" w:rsidRPr="00D84901">
        <w:rPr>
          <w:rFonts w:ascii="Tahoma" w:eastAsia="Times New Roman" w:hAnsi="Tahoma" w:cs="Tahoma"/>
          <w:sz w:val="21"/>
          <w:szCs w:val="21"/>
          <w:lang w:eastAsia="pt-BR"/>
        </w:rPr>
        <w:t>03 de junho de 2024</w:t>
      </w:r>
      <w:r w:rsidRPr="00D84901">
        <w:rPr>
          <w:rFonts w:ascii="Tahoma" w:eastAsia="Times New Roman" w:hAnsi="Tahoma" w:cs="Tahoma"/>
          <w:sz w:val="21"/>
          <w:szCs w:val="21"/>
          <w:lang w:eastAsia="pt-BR"/>
        </w:rPr>
        <w:t>.</w:t>
      </w:r>
    </w:p>
    <w:p w14:paraId="3EDB6BC5" w14:textId="77777777" w:rsidR="007462F0" w:rsidRPr="00D84901" w:rsidRDefault="007462F0" w:rsidP="007462F0">
      <w:pPr>
        <w:spacing w:after="0" w:line="280" w:lineRule="atLeast"/>
        <w:jc w:val="both"/>
        <w:rPr>
          <w:rFonts w:ascii="Tahoma" w:eastAsia="Times New Roman" w:hAnsi="Tahoma" w:cs="Tahoma"/>
          <w:sz w:val="21"/>
          <w:szCs w:val="21"/>
          <w:lang w:eastAsia="pt-BR"/>
        </w:rPr>
      </w:pPr>
    </w:p>
    <w:p w14:paraId="02C24933" w14:textId="77777777" w:rsidR="007462F0" w:rsidRPr="00D84901" w:rsidRDefault="007462F0" w:rsidP="007462F0">
      <w:pPr>
        <w:spacing w:after="0" w:line="240" w:lineRule="auto"/>
        <w:jc w:val="center"/>
        <w:rPr>
          <w:rFonts w:ascii="Tahoma" w:eastAsia="Times New Roman" w:hAnsi="Tahoma" w:cs="Tahoma"/>
          <w:b/>
          <w:color w:val="000000"/>
          <w:spacing w:val="5"/>
          <w:sz w:val="21"/>
          <w:szCs w:val="21"/>
          <w:lang w:eastAsia="pt-BR"/>
        </w:rPr>
      </w:pPr>
      <w:r w:rsidRPr="00D84901">
        <w:rPr>
          <w:rFonts w:ascii="Tahoma" w:eastAsia="Times New Roman" w:hAnsi="Tahoma" w:cs="Tahoma"/>
          <w:b/>
          <w:color w:val="000000"/>
          <w:spacing w:val="5"/>
          <w:sz w:val="21"/>
          <w:szCs w:val="21"/>
          <w:lang w:eastAsia="pt-BR"/>
        </w:rPr>
        <w:t>SANTANDER DISTRIBUIDORA DE TÍTULOS E VALORES MOBILIÁRIOS S.A.</w:t>
      </w:r>
    </w:p>
    <w:p w14:paraId="6992A355" w14:textId="70867FDF" w:rsidR="00DE329E" w:rsidRPr="00D84901" w:rsidRDefault="007462F0" w:rsidP="00F02F48">
      <w:pPr>
        <w:spacing w:after="0" w:line="240" w:lineRule="auto"/>
        <w:jc w:val="center"/>
        <w:rPr>
          <w:rFonts w:ascii="Tahoma" w:hAnsi="Tahoma" w:cs="Tahoma"/>
          <w:sz w:val="21"/>
          <w:szCs w:val="21"/>
        </w:rPr>
      </w:pPr>
      <w:r w:rsidRPr="00D84901">
        <w:rPr>
          <w:rFonts w:ascii="Tahoma" w:eastAsia="Times New Roman" w:hAnsi="Tahoma" w:cs="Tahoma"/>
          <w:b/>
          <w:color w:val="000000"/>
          <w:spacing w:val="5"/>
          <w:sz w:val="21"/>
          <w:szCs w:val="21"/>
          <w:lang w:eastAsia="pt-BR"/>
        </w:rPr>
        <w:t>Administrado</w:t>
      </w:r>
      <w:r w:rsidR="00F02F48" w:rsidRPr="00D84901">
        <w:rPr>
          <w:rFonts w:ascii="Tahoma" w:eastAsia="Times New Roman" w:hAnsi="Tahoma" w:cs="Tahoma"/>
          <w:b/>
          <w:color w:val="000000"/>
          <w:spacing w:val="5"/>
          <w:sz w:val="21"/>
          <w:szCs w:val="21"/>
          <w:lang w:eastAsia="pt-BR"/>
        </w:rPr>
        <w:t>r</w:t>
      </w:r>
    </w:p>
    <w:sectPr w:rsidR="00DE329E" w:rsidRPr="00D84901" w:rsidSect="0009204D">
      <w:headerReference w:type="even" r:id="rId8"/>
      <w:headerReference w:type="default" r:id="rId9"/>
      <w:headerReference w:type="first" r:id="rId10"/>
      <w:footerReference w:type="first" r:id="rId11"/>
      <w:pgSz w:w="11907" w:h="16840" w:code="9"/>
      <w:pgMar w:top="1134" w:right="720" w:bottom="720" w:left="720" w:header="0" w:footer="1106" w:gutter="0"/>
      <w:paperSrc w:first="1" w:other="1"/>
      <w:cols w:sep="1" w:space="74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11B36" w14:textId="77777777" w:rsidR="0009204D" w:rsidRDefault="0009204D" w:rsidP="00023DD5">
      <w:pPr>
        <w:spacing w:after="0" w:line="240" w:lineRule="auto"/>
      </w:pPr>
      <w:r>
        <w:separator/>
      </w:r>
    </w:p>
  </w:endnote>
  <w:endnote w:type="continuationSeparator" w:id="0">
    <w:p w14:paraId="4CD52274" w14:textId="77777777" w:rsidR="0009204D" w:rsidRDefault="0009204D" w:rsidP="0002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614F2" w14:textId="77777777" w:rsidR="00581B51" w:rsidRDefault="005F40CE">
    <w:pPr>
      <w:pStyle w:val="Rodap"/>
      <w:jc w:val="right"/>
    </w:pP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p>
  <w:p w14:paraId="7E5E5FE0" w14:textId="77777777" w:rsidR="00581B51" w:rsidRDefault="00581B51"/>
  <w:p w14:paraId="05911E06" w14:textId="77777777" w:rsidR="00581B51" w:rsidRDefault="00581B51"/>
  <w:p w14:paraId="2B397338" w14:textId="77777777" w:rsidR="00581B51" w:rsidRDefault="00581B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EE0C2" w14:textId="77777777" w:rsidR="0009204D" w:rsidRDefault="0009204D" w:rsidP="00023DD5">
      <w:pPr>
        <w:spacing w:after="0" w:line="240" w:lineRule="auto"/>
      </w:pPr>
      <w:r>
        <w:separator/>
      </w:r>
    </w:p>
  </w:footnote>
  <w:footnote w:type="continuationSeparator" w:id="0">
    <w:p w14:paraId="41A5D7AD" w14:textId="77777777" w:rsidR="0009204D" w:rsidRDefault="0009204D" w:rsidP="00023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F4CEE" w14:textId="1926C98C" w:rsidR="003F165E" w:rsidRDefault="003F165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BE972" w14:textId="1375616A" w:rsidR="00581B51" w:rsidRDefault="00627A0E" w:rsidP="006F7779">
    <w:pPr>
      <w:pStyle w:val="Cabealho"/>
    </w:pPr>
    <w:r>
      <w:rPr>
        <w:noProof/>
      </w:rPr>
      <w:drawing>
        <wp:anchor distT="0" distB="0" distL="114300" distR="114300" simplePos="0" relativeHeight="251657728" behindDoc="0" locked="0" layoutInCell="1" allowOverlap="1" wp14:anchorId="0E03F83A" wp14:editId="74370667">
          <wp:simplePos x="0" y="0"/>
          <wp:positionH relativeFrom="margin">
            <wp:posOffset>4486275</wp:posOffset>
          </wp:positionH>
          <wp:positionV relativeFrom="paragraph">
            <wp:posOffset>-22225</wp:posOffset>
          </wp:positionV>
          <wp:extent cx="2409825" cy="574675"/>
          <wp:effectExtent l="0" t="0" r="0" b="0"/>
          <wp:wrapNone/>
          <wp:docPr id="45207432" name="Imagem 6017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0176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9825" cy="574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B7BBF7" w14:textId="77777777" w:rsidR="00581B51" w:rsidRDefault="00581B51"/>
  <w:p w14:paraId="10B2CEBF" w14:textId="77777777" w:rsidR="00581B51" w:rsidRDefault="00581B5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235"/>
      <w:gridCol w:w="7654"/>
    </w:tblGrid>
    <w:tr w:rsidR="00A52FC6" w:rsidRPr="000A6601" w14:paraId="71F30453" w14:textId="77777777">
      <w:tc>
        <w:tcPr>
          <w:tcW w:w="2235" w:type="dxa"/>
        </w:tcPr>
        <w:p w14:paraId="6C26F455" w14:textId="7D71D7EC" w:rsidR="00581B51" w:rsidRDefault="00627A0E">
          <w:pPr>
            <w:pStyle w:val="Cabealho"/>
          </w:pPr>
          <w:r w:rsidRPr="006C172B">
            <w:rPr>
              <w:noProof/>
            </w:rPr>
            <w:drawing>
              <wp:inline distT="0" distB="0" distL="0" distR="0" wp14:anchorId="6C106C35" wp14:editId="13D5F070">
                <wp:extent cx="1302385" cy="379730"/>
                <wp:effectExtent l="0" t="0" r="0" b="0"/>
                <wp:docPr id="77971105" name="Imagem 211444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114442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2385" cy="379730"/>
                        </a:xfrm>
                        <a:prstGeom prst="rect">
                          <a:avLst/>
                        </a:prstGeom>
                        <a:noFill/>
                        <a:ln>
                          <a:noFill/>
                        </a:ln>
                      </pic:spPr>
                    </pic:pic>
                  </a:graphicData>
                </a:graphic>
              </wp:inline>
            </w:drawing>
          </w:r>
        </w:p>
      </w:tc>
      <w:tc>
        <w:tcPr>
          <w:tcW w:w="7654" w:type="dxa"/>
        </w:tcPr>
        <w:p w14:paraId="2D786055" w14:textId="77777777" w:rsidR="00581B51" w:rsidRDefault="00581B51">
          <w:pPr>
            <w:pStyle w:val="Cabealho"/>
            <w:ind w:left="-108"/>
            <w:rPr>
              <w:rFonts w:ascii="Bookman Old Style" w:hAnsi="Bookman Old Style"/>
              <w:sz w:val="18"/>
            </w:rPr>
          </w:pPr>
        </w:p>
        <w:p w14:paraId="7E1475AA" w14:textId="77777777" w:rsidR="00581B51" w:rsidRPr="004C00C2" w:rsidRDefault="005F40CE">
          <w:pPr>
            <w:pStyle w:val="Cabealho"/>
            <w:ind w:left="-108"/>
            <w:jc w:val="right"/>
            <w:rPr>
              <w:rFonts w:ascii="Bookman Old Style" w:hAnsi="Bookman Old Style"/>
              <w:sz w:val="16"/>
              <w:lang w:val="pt-BR"/>
            </w:rPr>
          </w:pPr>
          <w:r w:rsidRPr="004C00C2">
            <w:rPr>
              <w:rFonts w:ascii="Bookman Old Style" w:hAnsi="Bookman Old Style"/>
              <w:sz w:val="16"/>
              <w:lang w:val="pt-BR"/>
            </w:rPr>
            <w:t>Regulamento do [</w:t>
          </w:r>
          <w:r w:rsidRPr="004C00C2">
            <w:rPr>
              <w:rFonts w:ascii="Bookman Old Style" w:hAnsi="Bookman Old Style"/>
              <w:sz w:val="16"/>
              <w:highlight w:val="cyan"/>
              <w:lang w:val="pt-BR"/>
            </w:rPr>
            <w:t>Inserir Nome do Fundo</w:t>
          </w:r>
          <w:r w:rsidRPr="004C00C2">
            <w:rPr>
              <w:rFonts w:ascii="Bookman Old Style" w:hAnsi="Bookman Old Style"/>
              <w:sz w:val="16"/>
              <w:lang w:val="pt-BR"/>
            </w:rPr>
            <w:t>]</w:t>
          </w:r>
        </w:p>
      </w:tc>
    </w:tr>
  </w:tbl>
  <w:p w14:paraId="12F9D0E0" w14:textId="77777777" w:rsidR="00581B51" w:rsidRPr="004C00C2" w:rsidRDefault="00581B51">
    <w:pPr>
      <w:pStyle w:val="Cabealho"/>
      <w:rPr>
        <w:lang w:val="pt-BR"/>
      </w:rPr>
    </w:pPr>
  </w:p>
  <w:p w14:paraId="14CEEA6F" w14:textId="77777777" w:rsidR="00581B51" w:rsidRPr="00145FC3" w:rsidRDefault="00581B51"/>
  <w:p w14:paraId="61045B9F" w14:textId="77777777" w:rsidR="00581B51" w:rsidRDefault="00581B51"/>
  <w:p w14:paraId="7F3BBE8C" w14:textId="77777777" w:rsidR="00581B51" w:rsidRDefault="00581B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17654514"/>
    <w:multiLevelType w:val="hybridMultilevel"/>
    <w:tmpl w:val="45064982"/>
    <w:lvl w:ilvl="0" w:tplc="FFFFFFFF">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6BE7A3F"/>
    <w:multiLevelType w:val="hybridMultilevel"/>
    <w:tmpl w:val="45064982"/>
    <w:lvl w:ilvl="0" w:tplc="7C98757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D4F0520"/>
    <w:multiLevelType w:val="hybridMultilevel"/>
    <w:tmpl w:val="45064982"/>
    <w:lvl w:ilvl="0" w:tplc="FFFFFFFF">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6257839">
    <w:abstractNumId w:val="2"/>
  </w:num>
  <w:num w:numId="2" w16cid:durableId="1083643670">
    <w:abstractNumId w:val="0"/>
  </w:num>
  <w:num w:numId="3" w16cid:durableId="989409783">
    <w:abstractNumId w:val="3"/>
  </w:num>
  <w:num w:numId="4" w16cid:durableId="141100331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D5"/>
    <w:rsid w:val="0002327C"/>
    <w:rsid w:val="00023DD5"/>
    <w:rsid w:val="000354E2"/>
    <w:rsid w:val="00054CE1"/>
    <w:rsid w:val="0009204D"/>
    <w:rsid w:val="000A31FC"/>
    <w:rsid w:val="000A6601"/>
    <w:rsid w:val="000B0964"/>
    <w:rsid w:val="00111708"/>
    <w:rsid w:val="001151FF"/>
    <w:rsid w:val="001174D0"/>
    <w:rsid w:val="00194243"/>
    <w:rsid w:val="0019585C"/>
    <w:rsid w:val="001A27AE"/>
    <w:rsid w:val="001F5430"/>
    <w:rsid w:val="00260C9C"/>
    <w:rsid w:val="00264A21"/>
    <w:rsid w:val="002949CB"/>
    <w:rsid w:val="002F6DF0"/>
    <w:rsid w:val="0037624D"/>
    <w:rsid w:val="00382BFE"/>
    <w:rsid w:val="003A3618"/>
    <w:rsid w:val="003E0A5E"/>
    <w:rsid w:val="003F165E"/>
    <w:rsid w:val="00400C09"/>
    <w:rsid w:val="004163A8"/>
    <w:rsid w:val="00475595"/>
    <w:rsid w:val="00476930"/>
    <w:rsid w:val="004C738E"/>
    <w:rsid w:val="004F1CAA"/>
    <w:rsid w:val="00503FDC"/>
    <w:rsid w:val="00546CB2"/>
    <w:rsid w:val="005617E3"/>
    <w:rsid w:val="00570BC6"/>
    <w:rsid w:val="00581B51"/>
    <w:rsid w:val="005C6D36"/>
    <w:rsid w:val="005F40CE"/>
    <w:rsid w:val="00611E5D"/>
    <w:rsid w:val="00613F3D"/>
    <w:rsid w:val="006205B5"/>
    <w:rsid w:val="00627A0E"/>
    <w:rsid w:val="00656053"/>
    <w:rsid w:val="006A38C8"/>
    <w:rsid w:val="006C3D99"/>
    <w:rsid w:val="006F7779"/>
    <w:rsid w:val="00711CBF"/>
    <w:rsid w:val="00725A81"/>
    <w:rsid w:val="00734B09"/>
    <w:rsid w:val="007410F0"/>
    <w:rsid w:val="007462F0"/>
    <w:rsid w:val="007517B8"/>
    <w:rsid w:val="00761129"/>
    <w:rsid w:val="00790583"/>
    <w:rsid w:val="007939BA"/>
    <w:rsid w:val="0080467D"/>
    <w:rsid w:val="00877437"/>
    <w:rsid w:val="008A2259"/>
    <w:rsid w:val="008B1DFA"/>
    <w:rsid w:val="0094659E"/>
    <w:rsid w:val="00951127"/>
    <w:rsid w:val="00953605"/>
    <w:rsid w:val="0097105D"/>
    <w:rsid w:val="009945D6"/>
    <w:rsid w:val="009A4744"/>
    <w:rsid w:val="009A6E52"/>
    <w:rsid w:val="009D68C5"/>
    <w:rsid w:val="009F2E37"/>
    <w:rsid w:val="00A22C84"/>
    <w:rsid w:val="00A22EE2"/>
    <w:rsid w:val="00A339A4"/>
    <w:rsid w:val="00A52FC6"/>
    <w:rsid w:val="00A65849"/>
    <w:rsid w:val="00A73737"/>
    <w:rsid w:val="00A920F1"/>
    <w:rsid w:val="00A94C46"/>
    <w:rsid w:val="00AA7D5E"/>
    <w:rsid w:val="00AF0CC5"/>
    <w:rsid w:val="00AF2B80"/>
    <w:rsid w:val="00B507D2"/>
    <w:rsid w:val="00B67CEF"/>
    <w:rsid w:val="00BD6689"/>
    <w:rsid w:val="00BE2272"/>
    <w:rsid w:val="00C02732"/>
    <w:rsid w:val="00C71A3C"/>
    <w:rsid w:val="00CB3823"/>
    <w:rsid w:val="00CF49FF"/>
    <w:rsid w:val="00D20020"/>
    <w:rsid w:val="00D7088D"/>
    <w:rsid w:val="00D83B9C"/>
    <w:rsid w:val="00D84901"/>
    <w:rsid w:val="00DE329E"/>
    <w:rsid w:val="00E53D8D"/>
    <w:rsid w:val="00E54A0D"/>
    <w:rsid w:val="00EA60AF"/>
    <w:rsid w:val="00F02F48"/>
    <w:rsid w:val="00F137CF"/>
    <w:rsid w:val="00F44C84"/>
    <w:rsid w:val="00F477A3"/>
    <w:rsid w:val="00F6737C"/>
    <w:rsid w:val="00F730BC"/>
    <w:rsid w:val="00F961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2112"/>
  <w15:chartTrackingRefBased/>
  <w15:docId w15:val="{9B99490A-128F-484C-A25E-49E6C34E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2F0"/>
    <w:pPr>
      <w:spacing w:after="160" w:line="259" w:lineRule="auto"/>
    </w:pPr>
    <w:rPr>
      <w:sz w:val="22"/>
      <w:szCs w:val="22"/>
      <w:lang w:eastAsia="en-US"/>
    </w:rPr>
  </w:style>
  <w:style w:type="paragraph" w:styleId="Ttulo1">
    <w:name w:val="heading 1"/>
    <w:basedOn w:val="Normal"/>
    <w:next w:val="Normal"/>
    <w:link w:val="Ttulo1Char"/>
    <w:qFormat/>
    <w:rsid w:val="00613F3D"/>
    <w:pPr>
      <w:keepNext/>
      <w:widowControl w:val="0"/>
      <w:spacing w:after="0" w:line="320" w:lineRule="exact"/>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613F3D"/>
    <w:pPr>
      <w:keepNext/>
      <w:widowControl w:val="0"/>
      <w:spacing w:after="0" w:line="320" w:lineRule="exact"/>
      <w:ind w:left="426" w:hanging="426"/>
      <w:jc w:val="both"/>
      <w:outlineLvl w:val="1"/>
    </w:pPr>
    <w:rPr>
      <w:rFonts w:ascii="Times New Roman" w:eastAsia="Times New Roman" w:hAnsi="Times New Roman"/>
      <w:sz w:val="24"/>
      <w:szCs w:val="20"/>
      <w:lang w:eastAsia="pt-BR"/>
    </w:rPr>
  </w:style>
  <w:style w:type="paragraph" w:styleId="Ttulo3">
    <w:name w:val="heading 3"/>
    <w:basedOn w:val="Normal"/>
    <w:next w:val="Normal"/>
    <w:link w:val="Ttulo3Char"/>
    <w:qFormat/>
    <w:rsid w:val="00613F3D"/>
    <w:pPr>
      <w:keepNext/>
      <w:spacing w:after="0" w:line="240" w:lineRule="auto"/>
      <w:jc w:val="center"/>
      <w:outlineLvl w:val="2"/>
    </w:pPr>
    <w:rPr>
      <w:rFonts w:ascii="Times New Roman" w:eastAsia="Times New Roman" w:hAnsi="Times New Roman"/>
      <w:sz w:val="24"/>
      <w:szCs w:val="20"/>
      <w:lang w:val="en-AU" w:eastAsia="pt-BR"/>
    </w:rPr>
  </w:style>
  <w:style w:type="paragraph" w:styleId="Ttulo4">
    <w:name w:val="heading 4"/>
    <w:basedOn w:val="Normal"/>
    <w:next w:val="Normal"/>
    <w:link w:val="Ttulo4Char"/>
    <w:qFormat/>
    <w:rsid w:val="00613F3D"/>
    <w:pPr>
      <w:keepNext/>
      <w:pBdr>
        <w:bottom w:val="single" w:sz="6" w:space="1" w:color="auto"/>
      </w:pBdr>
      <w:spacing w:after="0" w:line="320" w:lineRule="exact"/>
      <w:jc w:val="center"/>
      <w:outlineLvl w:val="3"/>
    </w:pPr>
    <w:rPr>
      <w:rFonts w:ascii="Times New Roman" w:eastAsia="Times New Roman" w:hAnsi="Times New Roman"/>
      <w:b/>
      <w:szCs w:val="20"/>
      <w:lang w:eastAsia="pt-BR"/>
    </w:rPr>
  </w:style>
  <w:style w:type="paragraph" w:styleId="Ttulo5">
    <w:name w:val="heading 5"/>
    <w:basedOn w:val="Normal"/>
    <w:next w:val="Normal"/>
    <w:link w:val="Ttulo5Char"/>
    <w:qFormat/>
    <w:rsid w:val="00613F3D"/>
    <w:pPr>
      <w:keepNext/>
      <w:spacing w:after="0" w:line="240" w:lineRule="auto"/>
      <w:jc w:val="both"/>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5F40CE"/>
    <w:pPr>
      <w:keepNext/>
      <w:spacing w:after="0" w:line="240" w:lineRule="auto"/>
      <w:outlineLvl w:val="5"/>
    </w:pPr>
    <w:rPr>
      <w:rFonts w:ascii="Times New Roman" w:eastAsia="Times New Roman" w:hAnsi="Times New Roman"/>
      <w:b/>
      <w:sz w:val="20"/>
      <w:szCs w:val="20"/>
      <w:lang w:val="en-GB" w:eastAsia="x-none"/>
    </w:rPr>
  </w:style>
  <w:style w:type="paragraph" w:styleId="Ttulo7">
    <w:name w:val="heading 7"/>
    <w:basedOn w:val="Normal"/>
    <w:next w:val="Normal"/>
    <w:link w:val="Ttulo7Char"/>
    <w:qFormat/>
    <w:rsid w:val="00613F3D"/>
    <w:pPr>
      <w:keepNext/>
      <w:pBdr>
        <w:top w:val="single" w:sz="6" w:space="0" w:color="auto"/>
        <w:left w:val="single" w:sz="6" w:space="1" w:color="auto"/>
        <w:bottom w:val="single" w:sz="6" w:space="1" w:color="auto"/>
        <w:right w:val="single" w:sz="6" w:space="1" w:color="auto"/>
      </w:pBdr>
      <w:spacing w:after="0" w:line="240" w:lineRule="auto"/>
      <w:jc w:val="center"/>
      <w:outlineLvl w:val="6"/>
    </w:pPr>
    <w:rPr>
      <w:rFonts w:ascii="Times New Roman" w:eastAsia="Times New Roman" w:hAnsi="Times New Roman"/>
      <w:b/>
      <w:sz w:val="24"/>
      <w:szCs w:val="20"/>
      <w:lang w:eastAsia="pt-BR"/>
    </w:rPr>
  </w:style>
  <w:style w:type="paragraph" w:styleId="Ttulo8">
    <w:name w:val="heading 8"/>
    <w:basedOn w:val="Normal"/>
    <w:next w:val="Normal"/>
    <w:link w:val="Ttulo8Char"/>
    <w:qFormat/>
    <w:rsid w:val="00613F3D"/>
    <w:pPr>
      <w:keepNext/>
      <w:pBdr>
        <w:top w:val="single" w:sz="6" w:space="0" w:color="auto"/>
        <w:left w:val="single" w:sz="6" w:space="1" w:color="auto"/>
        <w:bottom w:val="single" w:sz="6" w:space="1" w:color="auto"/>
        <w:right w:val="single" w:sz="6" w:space="1" w:color="auto"/>
      </w:pBdr>
      <w:spacing w:after="0" w:line="240" w:lineRule="auto"/>
      <w:jc w:val="center"/>
      <w:outlineLvl w:val="7"/>
    </w:pPr>
    <w:rPr>
      <w:rFonts w:ascii="Times New Roman" w:eastAsia="Times New Roman" w:hAnsi="Times New Roman"/>
      <w:b/>
      <w:color w:val="000000"/>
      <w:sz w:val="24"/>
      <w:szCs w:val="20"/>
      <w:lang w:eastAsia="pt-BR"/>
    </w:rPr>
  </w:style>
  <w:style w:type="paragraph" w:styleId="Ttulo9">
    <w:name w:val="heading 9"/>
    <w:basedOn w:val="Normal"/>
    <w:next w:val="Normal"/>
    <w:link w:val="Ttulo9Char"/>
    <w:qFormat/>
    <w:rsid w:val="00613F3D"/>
    <w:pPr>
      <w:keepNext/>
      <w:spacing w:after="0" w:line="240" w:lineRule="auto"/>
      <w:outlineLvl w:val="8"/>
    </w:pPr>
    <w:rPr>
      <w:rFonts w:ascii="Times New Roman" w:eastAsia="Times New Roman" w:hAnsi="Times New Roman"/>
      <w:b/>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023DD5"/>
    <w:pPr>
      <w:tabs>
        <w:tab w:val="center" w:pos="4320"/>
        <w:tab w:val="right" w:pos="8640"/>
      </w:tabs>
      <w:spacing w:after="0" w:line="240" w:lineRule="auto"/>
    </w:pPr>
    <w:rPr>
      <w:rFonts w:ascii="Times New Roman" w:eastAsia="Times New Roman" w:hAnsi="Times New Roman"/>
      <w:sz w:val="20"/>
      <w:szCs w:val="20"/>
      <w:lang w:eastAsia="pt-BR"/>
    </w:rPr>
  </w:style>
  <w:style w:type="character" w:customStyle="1" w:styleId="RodapChar">
    <w:name w:val="Rodapé Char"/>
    <w:link w:val="Rodap"/>
    <w:uiPriority w:val="99"/>
    <w:rsid w:val="00023DD5"/>
    <w:rPr>
      <w:rFonts w:ascii="Times New Roman" w:eastAsia="Times New Roman" w:hAnsi="Times New Roman" w:cs="Times New Roman"/>
      <w:sz w:val="20"/>
      <w:szCs w:val="20"/>
      <w:lang w:eastAsia="pt-BR"/>
    </w:rPr>
  </w:style>
  <w:style w:type="paragraph" w:styleId="Cabealho">
    <w:name w:val="header"/>
    <w:basedOn w:val="Normal"/>
    <w:link w:val="CabealhoChar"/>
    <w:rsid w:val="00023DD5"/>
    <w:pPr>
      <w:tabs>
        <w:tab w:val="center" w:pos="4320"/>
        <w:tab w:val="right" w:pos="8640"/>
      </w:tabs>
      <w:spacing w:after="0" w:line="240" w:lineRule="auto"/>
    </w:pPr>
    <w:rPr>
      <w:rFonts w:ascii="Times New Roman" w:eastAsia="Times New Roman" w:hAnsi="Times New Roman"/>
      <w:sz w:val="20"/>
      <w:szCs w:val="20"/>
      <w:lang w:val="en-GB" w:eastAsia="pt-BR"/>
    </w:rPr>
  </w:style>
  <w:style w:type="character" w:customStyle="1" w:styleId="CabealhoChar">
    <w:name w:val="Cabeçalho Char"/>
    <w:link w:val="Cabealho"/>
    <w:rsid w:val="00023DD5"/>
    <w:rPr>
      <w:rFonts w:ascii="Times New Roman" w:eastAsia="Times New Roman" w:hAnsi="Times New Roman" w:cs="Times New Roman"/>
      <w:sz w:val="20"/>
      <w:szCs w:val="20"/>
      <w:lang w:val="en-GB" w:eastAsia="pt-BR"/>
    </w:rPr>
  </w:style>
  <w:style w:type="character" w:customStyle="1" w:styleId="Ttulo6Char">
    <w:name w:val="Título 6 Char"/>
    <w:link w:val="Ttulo6"/>
    <w:rsid w:val="005F40CE"/>
    <w:rPr>
      <w:rFonts w:ascii="Times New Roman" w:eastAsia="Times New Roman" w:hAnsi="Times New Roman" w:cs="Times New Roman"/>
      <w:b/>
      <w:sz w:val="20"/>
      <w:szCs w:val="20"/>
      <w:lang w:val="en-GB" w:eastAsia="x-none"/>
    </w:rPr>
  </w:style>
  <w:style w:type="paragraph" w:customStyle="1" w:styleId="BodyText21">
    <w:name w:val="Body Text 21"/>
    <w:basedOn w:val="Normal"/>
    <w:rsid w:val="005F40CE"/>
    <w:pPr>
      <w:spacing w:after="0" w:line="240" w:lineRule="auto"/>
      <w:jc w:val="both"/>
    </w:pPr>
    <w:rPr>
      <w:rFonts w:ascii="Times New Roman" w:eastAsia="Times New Roman" w:hAnsi="Times New Roman"/>
      <w:szCs w:val="20"/>
      <w:lang w:eastAsia="pt-BR"/>
    </w:rPr>
  </w:style>
  <w:style w:type="character" w:styleId="Nmerodepgina">
    <w:name w:val="page number"/>
    <w:basedOn w:val="Fontepargpadro"/>
    <w:rsid w:val="005F40CE"/>
  </w:style>
  <w:style w:type="paragraph" w:styleId="NormalWeb">
    <w:name w:val="Normal (Web)"/>
    <w:basedOn w:val="Normal"/>
    <w:uiPriority w:val="99"/>
    <w:rsid w:val="005F40CE"/>
    <w:pPr>
      <w:spacing w:before="100" w:after="100" w:line="240" w:lineRule="auto"/>
    </w:pPr>
    <w:rPr>
      <w:rFonts w:ascii="Arial Unicode MS" w:eastAsia="Arial Unicode MS" w:hAnsi="Arial Unicode MS"/>
      <w:sz w:val="24"/>
      <w:szCs w:val="20"/>
      <w:lang w:eastAsia="pt-BR"/>
    </w:rPr>
  </w:style>
  <w:style w:type="character" w:styleId="Refdenotaderodap">
    <w:name w:val="footnote reference"/>
    <w:uiPriority w:val="99"/>
    <w:rsid w:val="005F40CE"/>
    <w:rPr>
      <w:vertAlign w:val="superscript"/>
    </w:rPr>
  </w:style>
  <w:style w:type="paragraph" w:styleId="PargrafodaLista">
    <w:name w:val="List Paragraph"/>
    <w:basedOn w:val="Normal"/>
    <w:uiPriority w:val="34"/>
    <w:qFormat/>
    <w:rsid w:val="009945D6"/>
    <w:pPr>
      <w:spacing w:after="0" w:line="240" w:lineRule="auto"/>
      <w:ind w:left="720"/>
      <w:contextualSpacing/>
    </w:pPr>
    <w:rPr>
      <w:rFonts w:ascii="Times New Roman" w:eastAsia="Times New Roman" w:hAnsi="Times New Roman"/>
      <w:sz w:val="20"/>
      <w:szCs w:val="20"/>
      <w:lang w:eastAsia="pt-BR"/>
    </w:rPr>
  </w:style>
  <w:style w:type="paragraph" w:styleId="Reviso">
    <w:name w:val="Revision"/>
    <w:hidden/>
    <w:uiPriority w:val="99"/>
    <w:semiHidden/>
    <w:rsid w:val="009A4744"/>
    <w:rPr>
      <w:sz w:val="22"/>
      <w:szCs w:val="22"/>
      <w:lang w:eastAsia="en-US"/>
    </w:rPr>
  </w:style>
  <w:style w:type="character" w:styleId="Refdecomentrio">
    <w:name w:val="annotation reference"/>
    <w:semiHidden/>
    <w:rsid w:val="007410F0"/>
    <w:rPr>
      <w:sz w:val="16"/>
    </w:rPr>
  </w:style>
  <w:style w:type="paragraph" w:styleId="Textodecomentrio">
    <w:name w:val="annotation text"/>
    <w:basedOn w:val="Normal"/>
    <w:link w:val="TextodecomentrioChar"/>
    <w:semiHidden/>
    <w:rsid w:val="007410F0"/>
    <w:pPr>
      <w:spacing w:after="0" w:line="240" w:lineRule="auto"/>
      <w:jc w:val="both"/>
    </w:pPr>
    <w:rPr>
      <w:rFonts w:ascii="Times New Roman" w:eastAsia="Times New Roman" w:hAnsi="Times New Roman"/>
      <w:sz w:val="20"/>
      <w:szCs w:val="20"/>
      <w:lang w:eastAsia="pt-BR"/>
    </w:rPr>
  </w:style>
  <w:style w:type="character" w:customStyle="1" w:styleId="TextodecomentrioChar">
    <w:name w:val="Texto de comentário Char"/>
    <w:link w:val="Textodecomentrio"/>
    <w:semiHidden/>
    <w:rsid w:val="007410F0"/>
    <w:rPr>
      <w:rFonts w:ascii="Times New Roman" w:eastAsia="Times New Roman" w:hAnsi="Times New Roman" w:cs="Times New Roman"/>
      <w:sz w:val="20"/>
      <w:szCs w:val="20"/>
      <w:lang w:eastAsia="pt-BR"/>
    </w:rPr>
  </w:style>
  <w:style w:type="character" w:customStyle="1" w:styleId="Ttulo1Char">
    <w:name w:val="Título 1 Char"/>
    <w:link w:val="Ttulo1"/>
    <w:rsid w:val="00613F3D"/>
    <w:rPr>
      <w:rFonts w:ascii="Times New Roman" w:eastAsia="Times New Roman" w:hAnsi="Times New Roman"/>
      <w:b/>
      <w:sz w:val="24"/>
    </w:rPr>
  </w:style>
  <w:style w:type="character" w:customStyle="1" w:styleId="Ttulo2Char">
    <w:name w:val="Título 2 Char"/>
    <w:link w:val="Ttulo2"/>
    <w:rsid w:val="00613F3D"/>
    <w:rPr>
      <w:rFonts w:ascii="Times New Roman" w:eastAsia="Times New Roman" w:hAnsi="Times New Roman"/>
      <w:sz w:val="24"/>
    </w:rPr>
  </w:style>
  <w:style w:type="character" w:customStyle="1" w:styleId="Ttulo3Char">
    <w:name w:val="Título 3 Char"/>
    <w:link w:val="Ttulo3"/>
    <w:rsid w:val="00613F3D"/>
    <w:rPr>
      <w:rFonts w:ascii="Times New Roman" w:eastAsia="Times New Roman" w:hAnsi="Times New Roman"/>
      <w:sz w:val="24"/>
      <w:lang w:val="en-AU"/>
    </w:rPr>
  </w:style>
  <w:style w:type="character" w:customStyle="1" w:styleId="Ttulo4Char">
    <w:name w:val="Título 4 Char"/>
    <w:link w:val="Ttulo4"/>
    <w:rsid w:val="00613F3D"/>
    <w:rPr>
      <w:rFonts w:ascii="Times New Roman" w:eastAsia="Times New Roman" w:hAnsi="Times New Roman"/>
      <w:b/>
      <w:sz w:val="22"/>
    </w:rPr>
  </w:style>
  <w:style w:type="character" w:customStyle="1" w:styleId="Ttulo5Char">
    <w:name w:val="Título 5 Char"/>
    <w:link w:val="Ttulo5"/>
    <w:rsid w:val="00613F3D"/>
    <w:rPr>
      <w:rFonts w:ascii="Times New Roman" w:eastAsia="Times New Roman" w:hAnsi="Times New Roman"/>
      <w:b/>
    </w:rPr>
  </w:style>
  <w:style w:type="character" w:customStyle="1" w:styleId="Ttulo7Char">
    <w:name w:val="Título 7 Char"/>
    <w:link w:val="Ttulo7"/>
    <w:rsid w:val="00613F3D"/>
    <w:rPr>
      <w:rFonts w:ascii="Times New Roman" w:eastAsia="Times New Roman" w:hAnsi="Times New Roman"/>
      <w:b/>
      <w:sz w:val="24"/>
    </w:rPr>
  </w:style>
  <w:style w:type="character" w:customStyle="1" w:styleId="Ttulo8Char">
    <w:name w:val="Título 8 Char"/>
    <w:link w:val="Ttulo8"/>
    <w:rsid w:val="00613F3D"/>
    <w:rPr>
      <w:rFonts w:ascii="Times New Roman" w:eastAsia="Times New Roman" w:hAnsi="Times New Roman"/>
      <w:b/>
      <w:color w:val="000000"/>
      <w:sz w:val="24"/>
    </w:rPr>
  </w:style>
  <w:style w:type="character" w:customStyle="1" w:styleId="Ttulo9Char">
    <w:name w:val="Título 9 Char"/>
    <w:link w:val="Ttulo9"/>
    <w:rsid w:val="00613F3D"/>
    <w:rPr>
      <w:rFonts w:ascii="Times New Roman" w:eastAsia="Times New Roman" w:hAnsi="Times New Roman"/>
      <w:b/>
      <w:sz w:val="22"/>
    </w:rPr>
  </w:style>
  <w:style w:type="paragraph" w:styleId="Ttulo">
    <w:name w:val="Title"/>
    <w:basedOn w:val="Normal"/>
    <w:link w:val="TtuloChar"/>
    <w:qFormat/>
    <w:rsid w:val="00613F3D"/>
    <w:pPr>
      <w:widowControl w:val="0"/>
      <w:spacing w:after="0" w:line="320" w:lineRule="exact"/>
      <w:jc w:val="center"/>
    </w:pPr>
    <w:rPr>
      <w:rFonts w:ascii="Times New Roman" w:eastAsia="Times New Roman" w:hAnsi="Times New Roman"/>
      <w:b/>
      <w:sz w:val="24"/>
      <w:szCs w:val="20"/>
      <w:lang w:eastAsia="pt-BR"/>
    </w:rPr>
  </w:style>
  <w:style w:type="character" w:customStyle="1" w:styleId="TtuloChar">
    <w:name w:val="Título Char"/>
    <w:link w:val="Ttulo"/>
    <w:rsid w:val="00613F3D"/>
    <w:rPr>
      <w:rFonts w:ascii="Times New Roman" w:eastAsia="Times New Roman" w:hAnsi="Times New Roman"/>
      <w:b/>
      <w:sz w:val="24"/>
    </w:rPr>
  </w:style>
  <w:style w:type="paragraph" w:styleId="Corpodetexto">
    <w:name w:val="Body Text"/>
    <w:aliases w:val="Corpo de texto Char Char Char Char Char,Corpo de texto Char Char Char Char"/>
    <w:basedOn w:val="Normal"/>
    <w:link w:val="CorpodetextoChar"/>
    <w:rsid w:val="00613F3D"/>
    <w:pPr>
      <w:spacing w:after="0" w:line="240" w:lineRule="auto"/>
      <w:jc w:val="center"/>
    </w:pPr>
    <w:rPr>
      <w:rFonts w:ascii="Times New Roman" w:eastAsia="Times New Roman" w:hAnsi="Times New Roman"/>
      <w:b/>
      <w:sz w:val="28"/>
      <w:szCs w:val="20"/>
      <w:lang w:val="en-AU"/>
    </w:rPr>
  </w:style>
  <w:style w:type="character" w:customStyle="1" w:styleId="CorpodetextoChar">
    <w:name w:val="Corpo de texto Char"/>
    <w:aliases w:val="Corpo de texto Char Char Char Char Char Char,Corpo de texto Char Char Char Char Char1"/>
    <w:link w:val="Corpodetexto"/>
    <w:rsid w:val="00613F3D"/>
    <w:rPr>
      <w:rFonts w:ascii="Times New Roman" w:eastAsia="Times New Roman" w:hAnsi="Times New Roman"/>
      <w:b/>
      <w:sz w:val="28"/>
      <w:lang w:val="en-AU" w:eastAsia="en-US"/>
    </w:rPr>
  </w:style>
  <w:style w:type="paragraph" w:styleId="Recuodecorpodetexto3">
    <w:name w:val="Body Text Indent 3"/>
    <w:basedOn w:val="Normal"/>
    <w:link w:val="Recuodecorpodetexto3Char"/>
    <w:rsid w:val="00613F3D"/>
    <w:pPr>
      <w:widowControl w:val="0"/>
      <w:spacing w:after="0" w:line="240" w:lineRule="auto"/>
      <w:ind w:left="709" w:hanging="709"/>
      <w:jc w:val="both"/>
    </w:pPr>
    <w:rPr>
      <w:rFonts w:ascii="Times New Roman" w:eastAsia="Times New Roman" w:hAnsi="Times New Roman"/>
      <w:szCs w:val="20"/>
      <w:lang w:eastAsia="pt-BR"/>
    </w:rPr>
  </w:style>
  <w:style w:type="character" w:customStyle="1" w:styleId="Recuodecorpodetexto3Char">
    <w:name w:val="Recuo de corpo de texto 3 Char"/>
    <w:link w:val="Recuodecorpodetexto3"/>
    <w:rsid w:val="00613F3D"/>
    <w:rPr>
      <w:rFonts w:ascii="Times New Roman" w:eastAsia="Times New Roman" w:hAnsi="Times New Roman"/>
      <w:sz w:val="22"/>
    </w:rPr>
  </w:style>
  <w:style w:type="paragraph" w:styleId="Corpodetexto3">
    <w:name w:val="Body Text 3"/>
    <w:basedOn w:val="Normal"/>
    <w:link w:val="Corpodetexto3Char"/>
    <w:rsid w:val="00613F3D"/>
    <w:pPr>
      <w:widowControl w:val="0"/>
      <w:spacing w:after="0" w:line="320" w:lineRule="exact"/>
      <w:jc w:val="both"/>
    </w:pPr>
    <w:rPr>
      <w:rFonts w:ascii="Times New Roman" w:eastAsia="Times New Roman" w:hAnsi="Times New Roman"/>
      <w:b/>
      <w:sz w:val="26"/>
      <w:szCs w:val="20"/>
      <w:lang w:eastAsia="pt-BR"/>
    </w:rPr>
  </w:style>
  <w:style w:type="character" w:customStyle="1" w:styleId="Corpodetexto3Char">
    <w:name w:val="Corpo de texto 3 Char"/>
    <w:link w:val="Corpodetexto3"/>
    <w:rsid w:val="00613F3D"/>
    <w:rPr>
      <w:rFonts w:ascii="Times New Roman" w:eastAsia="Times New Roman" w:hAnsi="Times New Roman"/>
      <w:b/>
      <w:sz w:val="26"/>
    </w:rPr>
  </w:style>
  <w:style w:type="paragraph" w:styleId="Corpodetexto2">
    <w:name w:val="Body Text 2"/>
    <w:basedOn w:val="Normal"/>
    <w:link w:val="Corpodetexto2Char"/>
    <w:rsid w:val="00613F3D"/>
    <w:pPr>
      <w:spacing w:after="0" w:line="240" w:lineRule="auto"/>
      <w:jc w:val="both"/>
    </w:pPr>
    <w:rPr>
      <w:rFonts w:ascii="Times New Roman" w:eastAsia="Times New Roman" w:hAnsi="Times New Roman"/>
      <w:szCs w:val="20"/>
      <w:lang w:eastAsia="pt-BR"/>
    </w:rPr>
  </w:style>
  <w:style w:type="character" w:customStyle="1" w:styleId="Corpodetexto2Char">
    <w:name w:val="Corpo de texto 2 Char"/>
    <w:link w:val="Corpodetexto2"/>
    <w:rsid w:val="00613F3D"/>
    <w:rPr>
      <w:rFonts w:ascii="Times New Roman" w:eastAsia="Times New Roman" w:hAnsi="Times New Roman"/>
      <w:sz w:val="22"/>
    </w:rPr>
  </w:style>
  <w:style w:type="paragraph" w:styleId="Recuodecorpodetexto">
    <w:name w:val="Body Text Indent"/>
    <w:basedOn w:val="Normal"/>
    <w:link w:val="RecuodecorpodetextoChar"/>
    <w:rsid w:val="00613F3D"/>
    <w:pPr>
      <w:spacing w:after="0" w:line="240" w:lineRule="auto"/>
      <w:ind w:left="720" w:hanging="720"/>
      <w:jc w:val="both"/>
    </w:pPr>
    <w:rPr>
      <w:rFonts w:ascii="Times New Roman" w:eastAsia="Times New Roman" w:hAnsi="Times New Roman"/>
      <w:szCs w:val="20"/>
      <w:lang w:eastAsia="pt-BR"/>
    </w:rPr>
  </w:style>
  <w:style w:type="character" w:customStyle="1" w:styleId="RecuodecorpodetextoChar">
    <w:name w:val="Recuo de corpo de texto Char"/>
    <w:link w:val="Recuodecorpodetexto"/>
    <w:rsid w:val="00613F3D"/>
    <w:rPr>
      <w:rFonts w:ascii="Times New Roman" w:eastAsia="Times New Roman" w:hAnsi="Times New Roman"/>
      <w:sz w:val="22"/>
    </w:rPr>
  </w:style>
  <w:style w:type="paragraph" w:styleId="Recuodecorpodetexto2">
    <w:name w:val="Body Text Indent 2"/>
    <w:basedOn w:val="Normal"/>
    <w:link w:val="Recuodecorpodetexto2Char"/>
    <w:rsid w:val="00613F3D"/>
    <w:pPr>
      <w:spacing w:after="0" w:line="240" w:lineRule="auto"/>
      <w:ind w:left="720" w:hanging="720"/>
      <w:jc w:val="both"/>
    </w:pPr>
    <w:rPr>
      <w:rFonts w:ascii="Times New Roman" w:eastAsia="Times New Roman" w:hAnsi="Times New Roman"/>
      <w:snapToGrid w:val="0"/>
      <w:color w:val="000000"/>
      <w:szCs w:val="20"/>
    </w:rPr>
  </w:style>
  <w:style w:type="character" w:customStyle="1" w:styleId="Recuodecorpodetexto2Char">
    <w:name w:val="Recuo de corpo de texto 2 Char"/>
    <w:link w:val="Recuodecorpodetexto2"/>
    <w:rsid w:val="00613F3D"/>
    <w:rPr>
      <w:rFonts w:ascii="Times New Roman" w:eastAsia="Times New Roman" w:hAnsi="Times New Roman"/>
      <w:snapToGrid w:val="0"/>
      <w:color w:val="000000"/>
      <w:sz w:val="22"/>
      <w:lang w:eastAsia="en-US"/>
    </w:rPr>
  </w:style>
  <w:style w:type="paragraph" w:styleId="Subttulo">
    <w:name w:val="Subtitle"/>
    <w:basedOn w:val="Normal"/>
    <w:link w:val="SubttuloChar"/>
    <w:qFormat/>
    <w:rsid w:val="00613F3D"/>
    <w:pPr>
      <w:spacing w:after="0" w:line="320" w:lineRule="exact"/>
      <w:ind w:left="720" w:right="656"/>
      <w:jc w:val="center"/>
    </w:pPr>
    <w:rPr>
      <w:rFonts w:ascii="Times New Roman" w:eastAsia="Times New Roman" w:hAnsi="Times New Roman"/>
      <w:b/>
      <w:szCs w:val="20"/>
      <w:lang w:eastAsia="pt-BR"/>
    </w:rPr>
  </w:style>
  <w:style w:type="character" w:customStyle="1" w:styleId="SubttuloChar">
    <w:name w:val="Subtítulo Char"/>
    <w:link w:val="Subttulo"/>
    <w:rsid w:val="00613F3D"/>
    <w:rPr>
      <w:rFonts w:ascii="Times New Roman" w:eastAsia="Times New Roman" w:hAnsi="Times New Roman"/>
      <w:b/>
      <w:sz w:val="22"/>
    </w:rPr>
  </w:style>
  <w:style w:type="paragraph" w:styleId="Textoembloco">
    <w:name w:val="Block Text"/>
    <w:basedOn w:val="Normal"/>
    <w:rsid w:val="00613F3D"/>
    <w:pPr>
      <w:spacing w:after="0" w:line="240" w:lineRule="auto"/>
      <w:ind w:left="1418" w:right="193" w:hanging="709"/>
      <w:jc w:val="both"/>
    </w:pPr>
    <w:rPr>
      <w:rFonts w:ascii="Times New Roman" w:eastAsia="Times New Roman" w:hAnsi="Times New Roman"/>
      <w:szCs w:val="20"/>
      <w:lang w:eastAsia="pt-BR"/>
    </w:rPr>
  </w:style>
  <w:style w:type="paragraph" w:styleId="TextosemFormatao">
    <w:name w:val="Plain Text"/>
    <w:basedOn w:val="Normal"/>
    <w:link w:val="TextosemFormataoChar"/>
    <w:rsid w:val="00613F3D"/>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link w:val="TextosemFormatao"/>
    <w:rsid w:val="00613F3D"/>
    <w:rPr>
      <w:rFonts w:ascii="Courier New" w:eastAsia="Times New Roman" w:hAnsi="Courier New"/>
    </w:rPr>
  </w:style>
  <w:style w:type="paragraph" w:styleId="Commarcadores">
    <w:name w:val="List Bullet"/>
    <w:basedOn w:val="Normal"/>
    <w:autoRedefine/>
    <w:rsid w:val="00613F3D"/>
    <w:pPr>
      <w:numPr>
        <w:numId w:val="2"/>
      </w:numPr>
      <w:spacing w:after="0" w:line="240" w:lineRule="auto"/>
    </w:pPr>
    <w:rPr>
      <w:rFonts w:ascii="Times New Roman" w:eastAsia="Times New Roman" w:hAnsi="Times New Roman"/>
      <w:sz w:val="20"/>
      <w:szCs w:val="20"/>
      <w:lang w:eastAsia="pt-BR"/>
    </w:rPr>
  </w:style>
  <w:style w:type="paragraph" w:customStyle="1" w:styleId="Textodebalo1">
    <w:name w:val="Texto de balão1"/>
    <w:basedOn w:val="Normal"/>
    <w:semiHidden/>
    <w:rsid w:val="00613F3D"/>
    <w:pPr>
      <w:spacing w:after="0" w:line="240" w:lineRule="auto"/>
    </w:pPr>
    <w:rPr>
      <w:rFonts w:ascii="Tahoma" w:eastAsia="Times New Roman" w:hAnsi="Tahoma" w:cs="Tahoma"/>
      <w:sz w:val="16"/>
      <w:szCs w:val="16"/>
      <w:lang w:eastAsia="pt-BR"/>
    </w:rPr>
  </w:style>
  <w:style w:type="character" w:styleId="Hyperlink">
    <w:name w:val="Hyperlink"/>
    <w:rsid w:val="00613F3D"/>
    <w:rPr>
      <w:color w:val="0000FF"/>
      <w:u w:val="single"/>
    </w:rPr>
  </w:style>
  <w:style w:type="paragraph" w:styleId="Textodenotaderodap">
    <w:name w:val="footnote text"/>
    <w:basedOn w:val="Normal"/>
    <w:link w:val="TextodenotaderodapChar"/>
    <w:uiPriority w:val="99"/>
    <w:rsid w:val="00613F3D"/>
    <w:pPr>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link w:val="Textodenotaderodap"/>
    <w:uiPriority w:val="99"/>
    <w:rsid w:val="00613F3D"/>
    <w:rPr>
      <w:rFonts w:ascii="Times New Roman" w:eastAsia="Times New Roman" w:hAnsi="Times New Roman"/>
    </w:rPr>
  </w:style>
  <w:style w:type="paragraph" w:styleId="Legenda">
    <w:name w:val="caption"/>
    <w:basedOn w:val="Normal"/>
    <w:next w:val="Normal"/>
    <w:qFormat/>
    <w:rsid w:val="00613F3D"/>
    <w:pPr>
      <w:keepNext/>
      <w:pBdr>
        <w:bottom w:val="single" w:sz="12" w:space="1" w:color="808080"/>
      </w:pBdr>
      <w:spacing w:before="360" w:after="240" w:line="240" w:lineRule="auto"/>
      <w:jc w:val="both"/>
    </w:pPr>
    <w:rPr>
      <w:rFonts w:ascii="Verdana" w:eastAsia="Times New Roman" w:hAnsi="Verdana"/>
      <w:b/>
      <w:color w:val="000000"/>
      <w:lang w:eastAsia="pt-BR"/>
    </w:rPr>
  </w:style>
  <w:style w:type="character" w:styleId="HiperlinkVisitado">
    <w:name w:val="FollowedHyperlink"/>
    <w:rsid w:val="00613F3D"/>
    <w:rPr>
      <w:color w:val="800080"/>
      <w:u w:val="single"/>
    </w:rPr>
  </w:style>
  <w:style w:type="paragraph" w:customStyle="1" w:styleId="Default">
    <w:name w:val="Default"/>
    <w:rsid w:val="00613F3D"/>
    <w:pPr>
      <w:widowControl w:val="0"/>
      <w:autoSpaceDE w:val="0"/>
      <w:autoSpaceDN w:val="0"/>
      <w:adjustRightInd w:val="0"/>
    </w:pPr>
    <w:rPr>
      <w:rFonts w:ascii="Arial" w:eastAsia="Times New Roman" w:hAnsi="Arial" w:cs="Arial"/>
      <w:color w:val="000000"/>
      <w:sz w:val="24"/>
      <w:szCs w:val="24"/>
    </w:rPr>
  </w:style>
  <w:style w:type="paragraph" w:customStyle="1" w:styleId="Corpo">
    <w:name w:val="Corpo"/>
    <w:basedOn w:val="Normal"/>
    <w:rsid w:val="00613F3D"/>
    <w:pPr>
      <w:spacing w:after="0" w:line="240" w:lineRule="auto"/>
      <w:jc w:val="both"/>
    </w:pPr>
    <w:rPr>
      <w:rFonts w:ascii="Times New Roman" w:eastAsia="Times New Roman" w:hAnsi="Times New Roman"/>
      <w:color w:val="000000"/>
      <w:sz w:val="20"/>
      <w:szCs w:val="20"/>
    </w:rPr>
  </w:style>
  <w:style w:type="paragraph" w:customStyle="1" w:styleId="Char">
    <w:name w:val="Char"/>
    <w:basedOn w:val="Normal"/>
    <w:rsid w:val="00613F3D"/>
    <w:pPr>
      <w:spacing w:line="240" w:lineRule="exact"/>
    </w:pPr>
    <w:rPr>
      <w:rFonts w:ascii="Verdana" w:eastAsia="Times New Roman" w:hAnsi="Verdana"/>
      <w:sz w:val="20"/>
      <w:szCs w:val="20"/>
      <w:lang w:val="en-US"/>
    </w:rPr>
  </w:style>
  <w:style w:type="paragraph" w:styleId="Textodebalo">
    <w:name w:val="Balloon Text"/>
    <w:basedOn w:val="Normal"/>
    <w:link w:val="TextodebaloChar"/>
    <w:rsid w:val="00613F3D"/>
    <w:pPr>
      <w:spacing w:after="0" w:line="240" w:lineRule="auto"/>
    </w:pPr>
    <w:rPr>
      <w:rFonts w:ascii="Tahoma" w:eastAsia="Times New Roman" w:hAnsi="Tahoma" w:cs="Tahoma"/>
      <w:sz w:val="16"/>
      <w:szCs w:val="16"/>
      <w:lang w:eastAsia="pt-BR"/>
    </w:rPr>
  </w:style>
  <w:style w:type="character" w:customStyle="1" w:styleId="TextodebaloChar">
    <w:name w:val="Texto de balão Char"/>
    <w:link w:val="Textodebalo"/>
    <w:rsid w:val="00613F3D"/>
    <w:rPr>
      <w:rFonts w:ascii="Tahoma" w:eastAsia="Times New Roman" w:hAnsi="Tahoma" w:cs="Tahoma"/>
      <w:sz w:val="16"/>
      <w:szCs w:val="16"/>
    </w:rPr>
  </w:style>
  <w:style w:type="character" w:styleId="nfase">
    <w:name w:val="Emphasis"/>
    <w:qFormat/>
    <w:rsid w:val="00613F3D"/>
    <w:rPr>
      <w:i/>
      <w:iCs/>
    </w:rPr>
  </w:style>
  <w:style w:type="table" w:styleId="Tabelacomgrade">
    <w:name w:val="Table Grid"/>
    <w:basedOn w:val="Tabelanormal"/>
    <w:rsid w:val="00613F3D"/>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semiHidden/>
    <w:rsid w:val="00613F3D"/>
    <w:pPr>
      <w:jc w:val="left"/>
    </w:pPr>
    <w:rPr>
      <w:b/>
      <w:bCs/>
    </w:rPr>
  </w:style>
  <w:style w:type="character" w:customStyle="1" w:styleId="AssuntodocomentrioChar">
    <w:name w:val="Assunto do comentário Char"/>
    <w:link w:val="Assuntodocomentrio"/>
    <w:semiHidden/>
    <w:rsid w:val="00613F3D"/>
    <w:rPr>
      <w:rFonts w:ascii="Times New Roman" w:eastAsia="Times New Roman" w:hAnsi="Times New Roman" w:cs="Times New Roman"/>
      <w:b/>
      <w:bCs/>
      <w:sz w:val="20"/>
      <w:szCs w:val="20"/>
      <w:lang w:eastAsia="pt-BR"/>
    </w:rPr>
  </w:style>
  <w:style w:type="paragraph" w:customStyle="1" w:styleId="Char1">
    <w:name w:val="Char1"/>
    <w:basedOn w:val="Normal"/>
    <w:rsid w:val="00613F3D"/>
    <w:pPr>
      <w:spacing w:line="240" w:lineRule="exact"/>
    </w:pPr>
    <w:rPr>
      <w:rFonts w:ascii="Verdana" w:eastAsia="Times New Roman" w:hAnsi="Verdana"/>
      <w:sz w:val="20"/>
      <w:szCs w:val="20"/>
      <w:lang w:val="en-US"/>
    </w:rPr>
  </w:style>
  <w:style w:type="paragraph" w:customStyle="1" w:styleId="CharCharCharCharCharChar">
    <w:name w:val="Char Char Char Char Char Char"/>
    <w:basedOn w:val="Normal"/>
    <w:rsid w:val="00613F3D"/>
    <w:pPr>
      <w:spacing w:line="240" w:lineRule="exact"/>
    </w:pPr>
    <w:rPr>
      <w:rFonts w:ascii="Verdana" w:eastAsia="MS Mincho" w:hAnsi="Verdana"/>
      <w:sz w:val="20"/>
      <w:szCs w:val="20"/>
      <w:lang w:val="en-US"/>
    </w:rPr>
  </w:style>
  <w:style w:type="paragraph" w:styleId="Textodenotadefim">
    <w:name w:val="endnote text"/>
    <w:basedOn w:val="Normal"/>
    <w:link w:val="TextodenotadefimChar"/>
    <w:uiPriority w:val="99"/>
    <w:unhideWhenUsed/>
    <w:rsid w:val="00613F3D"/>
    <w:pPr>
      <w:spacing w:after="0" w:line="240" w:lineRule="auto"/>
    </w:pPr>
    <w:rPr>
      <w:rFonts w:ascii="Times New Roman" w:eastAsia="Times New Roman" w:hAnsi="Times New Roman"/>
      <w:sz w:val="20"/>
      <w:szCs w:val="20"/>
      <w:lang w:eastAsia="pt-BR"/>
    </w:rPr>
  </w:style>
  <w:style w:type="character" w:customStyle="1" w:styleId="TextodenotadefimChar">
    <w:name w:val="Texto de nota de fim Char"/>
    <w:link w:val="Textodenotadefim"/>
    <w:uiPriority w:val="99"/>
    <w:rsid w:val="00613F3D"/>
    <w:rPr>
      <w:rFonts w:ascii="Times New Roman" w:eastAsia="Times New Roman" w:hAnsi="Times New Roman"/>
    </w:rPr>
  </w:style>
  <w:style w:type="character" w:styleId="Refdenotadefim">
    <w:name w:val="endnote reference"/>
    <w:uiPriority w:val="99"/>
    <w:unhideWhenUsed/>
    <w:rsid w:val="00613F3D"/>
    <w:rPr>
      <w:vertAlign w:val="superscript"/>
    </w:rPr>
  </w:style>
  <w:style w:type="paragraph" w:customStyle="1" w:styleId="msonormal0">
    <w:name w:val="msonormal"/>
    <w:basedOn w:val="Normal"/>
    <w:rsid w:val="00613F3D"/>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Textoembloco1">
    <w:name w:val="Texto em bloco1"/>
    <w:basedOn w:val="Normal"/>
    <w:rsid w:val="00613F3D"/>
    <w:pPr>
      <w:spacing w:after="0" w:line="240" w:lineRule="auto"/>
      <w:ind w:left="1560" w:right="142" w:hanging="426"/>
      <w:jc w:val="both"/>
    </w:pPr>
    <w:rPr>
      <w:rFonts w:ascii="Arial" w:eastAsia="Times New Roman" w:hAnsi="Arial"/>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7160">
      <w:bodyDiv w:val="1"/>
      <w:marLeft w:val="0"/>
      <w:marRight w:val="0"/>
      <w:marTop w:val="0"/>
      <w:marBottom w:val="0"/>
      <w:divBdr>
        <w:top w:val="none" w:sz="0" w:space="0" w:color="auto"/>
        <w:left w:val="none" w:sz="0" w:space="0" w:color="auto"/>
        <w:bottom w:val="none" w:sz="0" w:space="0" w:color="auto"/>
        <w:right w:val="none" w:sz="0" w:space="0" w:color="auto"/>
      </w:divBdr>
    </w:div>
    <w:div w:id="248001540">
      <w:bodyDiv w:val="1"/>
      <w:marLeft w:val="0"/>
      <w:marRight w:val="0"/>
      <w:marTop w:val="0"/>
      <w:marBottom w:val="0"/>
      <w:divBdr>
        <w:top w:val="none" w:sz="0" w:space="0" w:color="auto"/>
        <w:left w:val="none" w:sz="0" w:space="0" w:color="auto"/>
        <w:bottom w:val="none" w:sz="0" w:space="0" w:color="auto"/>
        <w:right w:val="none" w:sz="0" w:space="0" w:color="auto"/>
      </w:divBdr>
    </w:div>
    <w:div w:id="270167529">
      <w:bodyDiv w:val="1"/>
      <w:marLeft w:val="0"/>
      <w:marRight w:val="0"/>
      <w:marTop w:val="0"/>
      <w:marBottom w:val="0"/>
      <w:divBdr>
        <w:top w:val="none" w:sz="0" w:space="0" w:color="auto"/>
        <w:left w:val="none" w:sz="0" w:space="0" w:color="auto"/>
        <w:bottom w:val="none" w:sz="0" w:space="0" w:color="auto"/>
        <w:right w:val="none" w:sz="0" w:space="0" w:color="auto"/>
      </w:divBdr>
    </w:div>
    <w:div w:id="918320789">
      <w:bodyDiv w:val="1"/>
      <w:marLeft w:val="0"/>
      <w:marRight w:val="0"/>
      <w:marTop w:val="0"/>
      <w:marBottom w:val="0"/>
      <w:divBdr>
        <w:top w:val="none" w:sz="0" w:space="0" w:color="auto"/>
        <w:left w:val="none" w:sz="0" w:space="0" w:color="auto"/>
        <w:bottom w:val="none" w:sz="0" w:space="0" w:color="auto"/>
        <w:right w:val="none" w:sz="0" w:space="0" w:color="auto"/>
      </w:divBdr>
    </w:div>
    <w:div w:id="1208836114">
      <w:bodyDiv w:val="1"/>
      <w:marLeft w:val="0"/>
      <w:marRight w:val="0"/>
      <w:marTop w:val="0"/>
      <w:marBottom w:val="0"/>
      <w:divBdr>
        <w:top w:val="none" w:sz="0" w:space="0" w:color="auto"/>
        <w:left w:val="none" w:sz="0" w:space="0" w:color="auto"/>
        <w:bottom w:val="none" w:sz="0" w:space="0" w:color="auto"/>
        <w:right w:val="none" w:sz="0" w:space="0" w:color="auto"/>
      </w:divBdr>
    </w:div>
    <w:div w:id="1310554263">
      <w:bodyDiv w:val="1"/>
      <w:marLeft w:val="0"/>
      <w:marRight w:val="0"/>
      <w:marTop w:val="0"/>
      <w:marBottom w:val="0"/>
      <w:divBdr>
        <w:top w:val="none" w:sz="0" w:space="0" w:color="auto"/>
        <w:left w:val="none" w:sz="0" w:space="0" w:color="auto"/>
        <w:bottom w:val="none" w:sz="0" w:space="0" w:color="auto"/>
        <w:right w:val="none" w:sz="0" w:space="0" w:color="auto"/>
      </w:divBdr>
    </w:div>
    <w:div w:id="158001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C2B56-20B8-4F3D-B267-D2C883BDA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5709</Words>
  <Characters>30830</Characters>
  <Application>Microsoft Office Word</Application>
  <DocSecurity>0</DocSecurity>
  <Lines>256</Lines>
  <Paragraphs>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Eleonara Santos Rocha Felizardo</dc:creator>
  <cp:keywords/>
  <dc:description/>
  <cp:lastModifiedBy>Silmara Aleixo dos Santos Noronha</cp:lastModifiedBy>
  <cp:revision>2</cp:revision>
  <cp:lastPrinted>2024-05-03T15:51:00Z</cp:lastPrinted>
  <dcterms:created xsi:type="dcterms:W3CDTF">2024-05-20T15:16:00Z</dcterms:created>
  <dcterms:modified xsi:type="dcterms:W3CDTF">2024-05-20T15:16:00Z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2024-05-03T14:59:54Z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296e681a-f227-4cfa-853f-1af731f463ef</vt:lpwstr>
  </property>
  <property fmtid="{D5CDD505-2E9C-101B-9397-08002B2CF9AE}" pid="8" name="MSIP_Label_41b88ec2-a72b-4523-9e84-0458a1764731_ContentBits">
    <vt:lpwstr>0</vt:lpwstr>
  </property>
</Properties>
</file>