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F0A6C" w14:textId="1443A2AB" w:rsidR="00DE2486" w:rsidRPr="00B7571E" w:rsidRDefault="00DE2486" w:rsidP="00DE2486">
      <w:pPr>
        <w:rPr>
          <w:rFonts w:ascii="Tahoma" w:hAnsi="Tahoma" w:cs="Tahoma"/>
          <w:sz w:val="20"/>
          <w:szCs w:val="20"/>
        </w:rPr>
      </w:pPr>
      <w:bookmarkStart w:id="0" w:name="_Hlk141287484"/>
      <w:r w:rsidRPr="00B7571E">
        <w:rPr>
          <w:rFonts w:ascii="Tahoma" w:hAnsi="Tahoma"/>
          <w:sz w:val="20"/>
          <w:szCs w:val="20"/>
        </w:rPr>
        <w:t xml:space="preserve">O Presente Regulamento É Parte Integrante </w:t>
      </w:r>
      <w:r>
        <w:rPr>
          <w:rFonts w:ascii="Tahoma" w:hAnsi="Tahoma"/>
          <w:sz w:val="20"/>
          <w:szCs w:val="20"/>
        </w:rPr>
        <w:t xml:space="preserve">da Ata de Assembleia Geral de Cotistas do </w:t>
      </w:r>
      <w:r w:rsidRPr="00B7571E">
        <w:rPr>
          <w:rFonts w:ascii="Tahoma" w:hAnsi="Tahoma"/>
          <w:sz w:val="20"/>
          <w:szCs w:val="20"/>
        </w:rPr>
        <w:t>SANTANDER FUNDO DE INVESTIMENTO EM COTAS DE FUNDOS DE INVESTIMENTO VALE 3 AÇÕES</w:t>
      </w:r>
      <w:r>
        <w:rPr>
          <w:rFonts w:ascii="Tahoma" w:hAnsi="Tahoma"/>
          <w:sz w:val="20"/>
          <w:szCs w:val="20"/>
        </w:rPr>
        <w:t>, realizada em</w:t>
      </w:r>
      <w:r w:rsidR="00BA404A">
        <w:rPr>
          <w:rFonts w:ascii="Tahoma" w:hAnsi="Tahoma"/>
          <w:sz w:val="20"/>
          <w:szCs w:val="20"/>
        </w:rPr>
        <w:t xml:space="preserve"> 18/10/2023</w:t>
      </w:r>
      <w:r>
        <w:rPr>
          <w:rFonts w:ascii="Tahoma" w:hAnsi="Tahoma"/>
          <w:sz w:val="20"/>
          <w:szCs w:val="20"/>
        </w:rPr>
        <w:t>.</w:t>
      </w:r>
    </w:p>
    <w:p w14:paraId="052F164F" w14:textId="77777777" w:rsidR="00DE2486" w:rsidRPr="00DE2486" w:rsidRDefault="00DE2486" w:rsidP="00DE2486">
      <w:pPr>
        <w:spacing w:after="0" w:line="280" w:lineRule="atLeast"/>
        <w:jc w:val="center"/>
        <w:rPr>
          <w:rFonts w:ascii="Tahoma" w:hAnsi="Tahoma" w:cs="Tahoma"/>
          <w:b/>
          <w:lang w:eastAsia="pt-BR"/>
        </w:rPr>
      </w:pPr>
      <w:r w:rsidRPr="00DE2486">
        <w:rPr>
          <w:rFonts w:ascii="Tahoma" w:hAnsi="Tahoma" w:cs="Tahoma"/>
          <w:b/>
        </w:rPr>
        <w:t>REGULAMENTO DO</w:t>
      </w:r>
      <w:bookmarkStart w:id="1" w:name="OLE_LINK4"/>
    </w:p>
    <w:p w14:paraId="7A77877F" w14:textId="77777777" w:rsidR="00DE2486" w:rsidRPr="00DE2486" w:rsidRDefault="00DE2486" w:rsidP="00DE2486">
      <w:pPr>
        <w:spacing w:after="0" w:line="280" w:lineRule="atLeast"/>
        <w:jc w:val="center"/>
        <w:rPr>
          <w:rFonts w:ascii="Tahoma" w:hAnsi="Tahoma" w:cs="Tahoma"/>
          <w:b/>
        </w:rPr>
      </w:pPr>
      <w:bookmarkStart w:id="2" w:name="_Hlk141286071"/>
      <w:bookmarkEnd w:id="1"/>
      <w:r w:rsidRPr="00DE2486">
        <w:rPr>
          <w:rFonts w:ascii="Tahoma" w:hAnsi="Tahoma" w:cs="Tahoma"/>
          <w:b/>
        </w:rPr>
        <w:t>SANTANDER FUNDO DE INVESTIMENTO EM COTAS DE FUNDOS DE INVESTIMENTO VALE 3 AÇÕES</w:t>
      </w:r>
      <w:bookmarkEnd w:id="2"/>
    </w:p>
    <w:p w14:paraId="5696192F" w14:textId="77777777" w:rsidR="00DE2486" w:rsidRPr="00DE2486" w:rsidRDefault="00DE2486" w:rsidP="00DE2486">
      <w:pPr>
        <w:spacing w:after="0" w:line="280" w:lineRule="atLeast"/>
        <w:jc w:val="center"/>
        <w:rPr>
          <w:rFonts w:ascii="Tahoma" w:hAnsi="Tahoma" w:cs="Tahoma"/>
          <w:b/>
        </w:rPr>
      </w:pPr>
      <w:r w:rsidRPr="00DE2486">
        <w:rPr>
          <w:rFonts w:ascii="Tahoma" w:hAnsi="Tahoma" w:cs="Tahoma"/>
          <w:b/>
        </w:rPr>
        <w:t xml:space="preserve">CNPJ n.º </w:t>
      </w:r>
      <w:bookmarkStart w:id="3" w:name="_Hlk141286080"/>
      <w:r w:rsidRPr="00DE2486">
        <w:rPr>
          <w:rFonts w:ascii="Tahoma" w:hAnsi="Tahoma" w:cs="Tahoma"/>
          <w:b/>
        </w:rPr>
        <w:t>09.130.395/0001-11</w:t>
      </w:r>
      <w:bookmarkEnd w:id="3"/>
    </w:p>
    <w:p w14:paraId="5750F844" w14:textId="77777777" w:rsidR="00DE2486" w:rsidRPr="00DE2486" w:rsidRDefault="00DE2486" w:rsidP="00DE2486">
      <w:pPr>
        <w:spacing w:after="0" w:line="280" w:lineRule="atLeast"/>
        <w:jc w:val="both"/>
        <w:rPr>
          <w:rFonts w:ascii="Tahoma" w:hAnsi="Tahoma" w:cs="Tahoma"/>
        </w:rPr>
      </w:pPr>
    </w:p>
    <w:p w14:paraId="58511A86" w14:textId="77777777" w:rsidR="00DE2486" w:rsidRPr="00DE2486" w:rsidRDefault="00DE2486" w:rsidP="00DE2486">
      <w:pPr>
        <w:spacing w:after="0" w:line="280" w:lineRule="atLeast"/>
        <w:jc w:val="both"/>
        <w:rPr>
          <w:rFonts w:ascii="Tahoma" w:hAnsi="Tahoma" w:cs="Tahoma"/>
        </w:rPr>
      </w:pPr>
    </w:p>
    <w:p w14:paraId="3A736E02"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CLÁUSULA PRIMEIRA – DO FUNDO</w:t>
      </w:r>
    </w:p>
    <w:p w14:paraId="795008B5" w14:textId="77777777" w:rsidR="00DE2486" w:rsidRPr="00DE2486" w:rsidRDefault="00DE2486" w:rsidP="00DE2486">
      <w:pPr>
        <w:spacing w:after="0" w:line="280" w:lineRule="atLeast"/>
        <w:jc w:val="both"/>
        <w:rPr>
          <w:rFonts w:ascii="Tahoma" w:hAnsi="Tahoma" w:cs="Tahoma"/>
        </w:rPr>
      </w:pPr>
    </w:p>
    <w:p w14:paraId="0E6AFA9F" w14:textId="77777777" w:rsidR="00DE2486" w:rsidRPr="00DE2486" w:rsidRDefault="00DE2486" w:rsidP="00DE2486">
      <w:pPr>
        <w:spacing w:after="0" w:line="280" w:lineRule="atLeast"/>
        <w:jc w:val="both"/>
        <w:rPr>
          <w:rFonts w:ascii="Tahoma" w:hAnsi="Tahoma" w:cs="Tahoma"/>
          <w:b/>
          <w:color w:val="000000"/>
          <w:u w:val="single"/>
        </w:rPr>
      </w:pPr>
      <w:r w:rsidRPr="00DE2486">
        <w:rPr>
          <w:rFonts w:ascii="Tahoma" w:hAnsi="Tahoma" w:cs="Tahoma"/>
        </w:rPr>
        <w:t xml:space="preserve">1.1. </w:t>
      </w:r>
      <w:r w:rsidRPr="00DE2486">
        <w:rPr>
          <w:rFonts w:ascii="Tahoma" w:hAnsi="Tahoma" w:cs="Tahoma"/>
        </w:rPr>
        <w:tab/>
        <w:t>O</w:t>
      </w:r>
      <w:r w:rsidRPr="00DE2486">
        <w:rPr>
          <w:rFonts w:ascii="Tahoma" w:hAnsi="Tahoma" w:cs="Tahoma"/>
          <w:b/>
        </w:rPr>
        <w:t xml:space="preserve"> SANTANDER FUNDO DE INVESTIMENTO EM COTAS DE FUNDOS DE INVESTIMENTO VALE 3 AÇÕES</w:t>
      </w:r>
      <w:r w:rsidRPr="00DE2486">
        <w:rPr>
          <w:rFonts w:ascii="Tahoma" w:hAnsi="Tahoma" w:cs="Tahoma"/>
        </w:rPr>
        <w:t xml:space="preserve"> (“FUNDO”) é uma comunhão de recursos, constituído sob a forma de condomínio </w:t>
      </w:r>
      <w:r w:rsidRPr="00DE2486">
        <w:rPr>
          <w:rFonts w:ascii="Tahoma" w:hAnsi="Tahoma" w:cs="Tahoma"/>
          <w:color w:val="000000"/>
        </w:rPr>
        <w:t>aberto, com prazo de duração indeterminado, sendo regido pelo presente regulamento (“Regulamento”), pelo formulário de informações complementares, pela lâmina de informações essenciais do FUNDO (“Formulário” e “Lâmina”, respectivamente) e pela legislação e regulamentação em vigor.</w:t>
      </w:r>
    </w:p>
    <w:p w14:paraId="391D6AC5" w14:textId="77777777" w:rsidR="00DE2486" w:rsidRPr="00DE2486" w:rsidRDefault="00DE2486" w:rsidP="00DE2486">
      <w:pPr>
        <w:spacing w:after="0" w:line="280" w:lineRule="atLeast"/>
        <w:jc w:val="both"/>
        <w:rPr>
          <w:rFonts w:ascii="Tahoma" w:hAnsi="Tahoma" w:cs="Tahoma"/>
        </w:rPr>
      </w:pPr>
    </w:p>
    <w:p w14:paraId="3895EC92"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 xml:space="preserve">CLÁUSULA SEGUNDA – DO </w:t>
      </w:r>
      <w:proofErr w:type="gramStart"/>
      <w:r w:rsidRPr="00DE2486">
        <w:rPr>
          <w:rFonts w:ascii="Tahoma" w:hAnsi="Tahoma" w:cs="Tahoma"/>
          <w:b/>
        </w:rPr>
        <w:t>PÚBLICO ALVO</w:t>
      </w:r>
      <w:proofErr w:type="gramEnd"/>
      <w:r w:rsidRPr="00DE2486">
        <w:rPr>
          <w:rFonts w:ascii="Tahoma" w:hAnsi="Tahoma" w:cs="Tahoma"/>
          <w:b/>
        </w:rPr>
        <w:t xml:space="preserve"> </w:t>
      </w:r>
    </w:p>
    <w:p w14:paraId="6AA1712E" w14:textId="77777777" w:rsidR="00DE2486" w:rsidRPr="00DE2486" w:rsidRDefault="00DE2486" w:rsidP="00DE2486">
      <w:pPr>
        <w:pStyle w:val="BodyText21"/>
        <w:spacing w:line="280" w:lineRule="atLeast"/>
        <w:rPr>
          <w:rFonts w:ascii="Tahoma" w:hAnsi="Tahoma" w:cs="Tahoma"/>
          <w:szCs w:val="22"/>
        </w:rPr>
      </w:pPr>
    </w:p>
    <w:p w14:paraId="4E7FF13D"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2.1.</w:t>
      </w:r>
      <w:r w:rsidRPr="00DE2486">
        <w:rPr>
          <w:rFonts w:ascii="Tahoma" w:hAnsi="Tahoma" w:cs="Tahoma"/>
        </w:rPr>
        <w:tab/>
        <w:t xml:space="preserve">O FUNDO é destinado a receber aplicações de investidores em geral, </w:t>
      </w:r>
      <w:r w:rsidRPr="00DE2486">
        <w:rPr>
          <w:rFonts w:ascii="Tahoma" w:hAnsi="Tahoma" w:cs="Tahoma"/>
          <w:bCs/>
        </w:rPr>
        <w:t>a critério do ADMINISTRADOR,</w:t>
      </w:r>
      <w:r w:rsidRPr="00DE2486">
        <w:rPr>
          <w:rFonts w:ascii="Tahoma" w:hAnsi="Tahoma" w:cs="Tahoma"/>
        </w:rPr>
        <w:t xml:space="preserve"> que conhecem, entendem e aceitam os riscos descritos neste Regulamento, no Formulário e na Lâmina, aos quais os investimentos do FUNDO estão expostos em razão dos mercados de atuação do FUNDO (“Cotistas”).</w:t>
      </w:r>
    </w:p>
    <w:p w14:paraId="1D5690D9" w14:textId="77777777" w:rsidR="00DE2486" w:rsidRPr="00DE2486" w:rsidRDefault="00DE2486" w:rsidP="00DE2486">
      <w:pPr>
        <w:pBdr>
          <w:bottom w:val="single" w:sz="6" w:space="1" w:color="auto"/>
        </w:pBdr>
        <w:spacing w:after="0" w:line="280" w:lineRule="atLeast"/>
        <w:jc w:val="both"/>
        <w:rPr>
          <w:rFonts w:ascii="Tahoma" w:hAnsi="Tahoma" w:cs="Tahoma"/>
        </w:rPr>
      </w:pPr>
    </w:p>
    <w:p w14:paraId="1CFF8696" w14:textId="77777777" w:rsidR="00DE2486" w:rsidRPr="00DE2486" w:rsidRDefault="00DE2486" w:rsidP="00DE2486">
      <w:pPr>
        <w:pBdr>
          <w:bottom w:val="single" w:sz="6" w:space="1" w:color="auto"/>
        </w:pBdr>
        <w:spacing w:after="0" w:line="280" w:lineRule="atLeast"/>
        <w:jc w:val="both"/>
        <w:rPr>
          <w:rFonts w:ascii="Tahoma" w:hAnsi="Tahoma" w:cs="Tahoma"/>
        </w:rPr>
      </w:pPr>
      <w:r w:rsidRPr="00DE2486">
        <w:rPr>
          <w:rFonts w:ascii="Tahoma" w:hAnsi="Tahoma" w:cs="Tahoma"/>
        </w:rPr>
        <w:t>2.2.</w:t>
      </w:r>
      <w:r w:rsidRPr="00DE2486">
        <w:rPr>
          <w:rFonts w:ascii="Tahoma" w:hAnsi="Tahoma" w:cs="Tahoma"/>
        </w:rPr>
        <w:tab/>
        <w:t xml:space="preserve">O enquadramento dos Cotistas no </w:t>
      </w:r>
      <w:proofErr w:type="gramStart"/>
      <w:r w:rsidRPr="00DE2486">
        <w:rPr>
          <w:rFonts w:ascii="Tahoma" w:hAnsi="Tahoma" w:cs="Tahoma"/>
        </w:rPr>
        <w:t>Público Alvo</w:t>
      </w:r>
      <w:proofErr w:type="gramEnd"/>
      <w:r w:rsidRPr="00DE2486">
        <w:rPr>
          <w:rFonts w:ascii="Tahoma" w:hAnsi="Tahoma" w:cs="Tahoma"/>
        </w:rPr>
        <w:t xml:space="preserve"> descrito no item anterior será verificado pelo BANCO SANTANDER (BRASIL) S.A., na qualidade de distribuidor das cotas do FUNDO, no ato do ingresso dos Cotistas.</w:t>
      </w:r>
    </w:p>
    <w:p w14:paraId="11DAF359" w14:textId="77777777" w:rsidR="00DE2486" w:rsidRPr="00DE2486" w:rsidRDefault="00DE2486" w:rsidP="00DE2486">
      <w:pPr>
        <w:pBdr>
          <w:bottom w:val="single" w:sz="6" w:space="1" w:color="auto"/>
        </w:pBdr>
        <w:spacing w:after="0" w:line="280" w:lineRule="atLeast"/>
        <w:jc w:val="both"/>
        <w:rPr>
          <w:rFonts w:ascii="Tahoma" w:hAnsi="Tahoma" w:cs="Tahoma"/>
        </w:rPr>
      </w:pPr>
    </w:p>
    <w:p w14:paraId="17B6626B"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CLÁUSULA TERCEIRA – DO OBJETIVO E DA POLÍTICA DE INVESTIMENTO</w:t>
      </w:r>
    </w:p>
    <w:p w14:paraId="4AEA687B" w14:textId="77777777" w:rsidR="00DE2486" w:rsidRPr="00DE2486" w:rsidRDefault="00DE2486" w:rsidP="00DE2486">
      <w:pPr>
        <w:spacing w:after="0"/>
        <w:jc w:val="both"/>
        <w:rPr>
          <w:rFonts w:ascii="Tahoma" w:hAnsi="Tahoma" w:cs="Tahoma"/>
          <w:iCs/>
          <w:color w:val="000000"/>
        </w:rPr>
      </w:pPr>
    </w:p>
    <w:p w14:paraId="1DB706B6" w14:textId="77777777" w:rsidR="00DE2486" w:rsidRPr="00DE2486" w:rsidRDefault="00DE2486" w:rsidP="00DE2486">
      <w:pPr>
        <w:spacing w:after="0" w:line="280" w:lineRule="atLeast"/>
        <w:jc w:val="both"/>
        <w:rPr>
          <w:rFonts w:ascii="Tahoma" w:hAnsi="Tahoma" w:cs="Tahoma"/>
          <w:color w:val="000000"/>
        </w:rPr>
      </w:pPr>
      <w:r w:rsidRPr="00DE2486">
        <w:rPr>
          <w:rFonts w:ascii="Tahoma" w:hAnsi="Tahoma" w:cs="Tahoma"/>
          <w:iCs/>
          <w:color w:val="000000"/>
        </w:rPr>
        <w:t>3.1. O FUNDO tem como objetivo obter rentabilidade que busque acompanhar as variações das ações de emissão da VALE S.A.</w:t>
      </w:r>
      <w:r w:rsidRPr="00DE2486">
        <w:rPr>
          <w:rFonts w:ascii="Tahoma" w:hAnsi="Tahoma" w:cs="Tahoma"/>
          <w:color w:val="000000"/>
        </w:rPr>
        <w:t>, por meio da aplicação de seus recursos, preponderantemente, em cotas de fundos de investimento e/ou fundos de investimento em cotas de fundos de investimento (“Fundos Investidos”).</w:t>
      </w:r>
    </w:p>
    <w:p w14:paraId="1189274C" w14:textId="77777777" w:rsidR="00DE2486" w:rsidRPr="00DE2486" w:rsidRDefault="00DE2486" w:rsidP="00DE2486">
      <w:pPr>
        <w:tabs>
          <w:tab w:val="left" w:pos="284"/>
        </w:tabs>
        <w:spacing w:after="0" w:line="280" w:lineRule="atLeast"/>
        <w:jc w:val="both"/>
        <w:rPr>
          <w:rFonts w:ascii="Tahoma" w:hAnsi="Tahoma" w:cs="Tahoma"/>
        </w:rPr>
      </w:pPr>
    </w:p>
    <w:p w14:paraId="55B54468"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3.1.1. A rentabilidade do FUNDO será impactada pelos impostos, custos e despesas do FUNDO e pela taxa de administração de 2,00% ao ano, que corresponde à taxa de administração máxima do FUNDO. Para analisar o impacto das despesas do FUNDO na rentabilidade obtida o investidor deve consultar o item 9 da Lâmina.</w:t>
      </w:r>
      <w:r w:rsidRPr="00DE2486">
        <w:rPr>
          <w:rFonts w:ascii="Tahoma" w:hAnsi="Tahoma" w:cs="Tahoma"/>
          <w:iCs/>
        </w:rPr>
        <w:t xml:space="preserve"> </w:t>
      </w:r>
      <w:r w:rsidRPr="00DE2486">
        <w:rPr>
          <w:rFonts w:ascii="Tahoma" w:hAnsi="Tahoma" w:cs="Tahoma"/>
        </w:rPr>
        <w:t>Tal objetivo de investimento não constitui garantia ou promessa de rentabilidade pelo ADMINISTRADOR e pelo GESTOR.</w:t>
      </w:r>
    </w:p>
    <w:p w14:paraId="260E33A8" w14:textId="77777777" w:rsidR="00DE2486" w:rsidRPr="00DE2486" w:rsidRDefault="00DE2486" w:rsidP="00DE2486">
      <w:pPr>
        <w:spacing w:after="0" w:line="280" w:lineRule="atLeast"/>
        <w:jc w:val="both"/>
        <w:rPr>
          <w:rFonts w:ascii="Tahoma" w:hAnsi="Tahoma" w:cs="Tahoma"/>
          <w:color w:val="000000"/>
        </w:rPr>
      </w:pPr>
    </w:p>
    <w:p w14:paraId="09E080C3"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3.2. Para atingir o objetivo de investimento descrito acima, o FUNDO alocará seus recursos de acordo com as regras e limites previstos nos quadros a seguir:</w:t>
      </w:r>
    </w:p>
    <w:p w14:paraId="04B86C52" w14:textId="77777777" w:rsidR="00DE2486" w:rsidRPr="00DE2486" w:rsidRDefault="00DE2486" w:rsidP="00DE2486">
      <w:pPr>
        <w:spacing w:after="0" w:line="280" w:lineRule="atLeast"/>
        <w:jc w:val="both"/>
        <w:rPr>
          <w:rFonts w:ascii="Tahoma" w:hAnsi="Tahoma" w:cs="Tahoma"/>
        </w:rPr>
      </w:pPr>
    </w:p>
    <w:p w14:paraId="32203119" w14:textId="77777777" w:rsidR="00DE2486" w:rsidRPr="00DE2486" w:rsidRDefault="00DE2486" w:rsidP="00DE2486">
      <w:pPr>
        <w:spacing w:after="0" w:line="280" w:lineRule="atLeast"/>
        <w:jc w:val="both"/>
        <w:rPr>
          <w:rFonts w:ascii="Tahoma" w:hAnsi="Tahoma" w:cs="Tahoma"/>
        </w:rPr>
      </w:pPr>
    </w:p>
    <w:tbl>
      <w:tblPr>
        <w:tblW w:w="8430" w:type="dxa"/>
        <w:tblInd w:w="70" w:type="dxa"/>
        <w:tblLayout w:type="fixed"/>
        <w:tblCellMar>
          <w:left w:w="70" w:type="dxa"/>
          <w:right w:w="70" w:type="dxa"/>
        </w:tblCellMar>
        <w:tblLook w:val="04A0" w:firstRow="1" w:lastRow="0" w:firstColumn="1" w:lastColumn="0" w:noHBand="0" w:noVBand="1"/>
      </w:tblPr>
      <w:tblGrid>
        <w:gridCol w:w="1059"/>
        <w:gridCol w:w="4536"/>
        <w:gridCol w:w="1418"/>
        <w:gridCol w:w="1417"/>
      </w:tblGrid>
      <w:tr w:rsidR="00DE2486" w:rsidRPr="00DE2486" w14:paraId="791953D3" w14:textId="77777777" w:rsidTr="00965416">
        <w:trPr>
          <w:trHeight w:val="283"/>
        </w:trPr>
        <w:tc>
          <w:tcPr>
            <w:tcW w:w="5595"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8086579"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COMPOSIÇÃO DA CARTEIRA DO FUNDO (“CARTEIRA”)</w:t>
            </w:r>
          </w:p>
        </w:tc>
        <w:tc>
          <w:tcPr>
            <w:tcW w:w="283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1529A12F" w14:textId="77777777" w:rsidR="00DE2486" w:rsidRPr="00DE2486" w:rsidRDefault="00DE2486" w:rsidP="00965416">
            <w:pPr>
              <w:spacing w:after="0"/>
              <w:jc w:val="center"/>
              <w:rPr>
                <w:rFonts w:ascii="Tahoma" w:hAnsi="Tahoma" w:cs="Tahoma"/>
                <w:lang w:val="en-GB"/>
              </w:rPr>
            </w:pPr>
            <w:r w:rsidRPr="00DE2486">
              <w:rPr>
                <w:rFonts w:ascii="Tahoma" w:hAnsi="Tahoma" w:cs="Tahoma"/>
                <w:b/>
                <w:bCs/>
                <w:color w:val="000000"/>
              </w:rPr>
              <w:t>% do PL</w:t>
            </w:r>
          </w:p>
        </w:tc>
      </w:tr>
      <w:tr w:rsidR="00DE2486" w:rsidRPr="00DE2486" w14:paraId="55210F25" w14:textId="77777777" w:rsidTr="00965416">
        <w:trPr>
          <w:trHeight w:val="283"/>
        </w:trPr>
        <w:tc>
          <w:tcPr>
            <w:tcW w:w="12966" w:type="dxa"/>
            <w:gridSpan w:val="2"/>
            <w:vMerge/>
            <w:tcBorders>
              <w:top w:val="single" w:sz="4" w:space="0" w:color="auto"/>
              <w:left w:val="single" w:sz="4" w:space="0" w:color="auto"/>
              <w:bottom w:val="single" w:sz="4" w:space="0" w:color="auto"/>
              <w:right w:val="single" w:sz="4" w:space="0" w:color="auto"/>
            </w:tcBorders>
            <w:vAlign w:val="center"/>
            <w:hideMark/>
          </w:tcPr>
          <w:p w14:paraId="5BB1B7FE" w14:textId="77777777" w:rsidR="00DE2486" w:rsidRPr="00DE2486" w:rsidRDefault="00DE2486" w:rsidP="00965416">
            <w:pPr>
              <w:spacing w:after="0"/>
              <w:rPr>
                <w:rFonts w:ascii="Tahoma" w:eastAsia="Times New Roman" w:hAnsi="Tahoma" w:cs="Tahoma"/>
                <w:b/>
                <w:bCs/>
                <w:color w:val="000000"/>
              </w:rPr>
            </w:pPr>
          </w:p>
        </w:tc>
        <w:tc>
          <w:tcPr>
            <w:tcW w:w="1418" w:type="dxa"/>
            <w:tcBorders>
              <w:top w:val="single" w:sz="4" w:space="0" w:color="auto"/>
              <w:left w:val="nil"/>
              <w:bottom w:val="single" w:sz="4" w:space="0" w:color="auto"/>
              <w:right w:val="single" w:sz="4" w:space="0" w:color="auto"/>
            </w:tcBorders>
            <w:shd w:val="clear" w:color="auto" w:fill="D9D9D9"/>
            <w:noWrap/>
            <w:vAlign w:val="center"/>
            <w:hideMark/>
          </w:tcPr>
          <w:p w14:paraId="4BEC6C4E"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Mín.</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03CECB" w14:textId="77777777" w:rsidR="00DE2486" w:rsidRPr="00DE2486" w:rsidRDefault="00DE2486" w:rsidP="00965416">
            <w:pPr>
              <w:spacing w:after="0"/>
              <w:jc w:val="center"/>
              <w:rPr>
                <w:rFonts w:ascii="Tahoma" w:hAnsi="Tahoma" w:cs="Tahoma"/>
              </w:rPr>
            </w:pPr>
            <w:r w:rsidRPr="00DE2486">
              <w:rPr>
                <w:rFonts w:ascii="Tahoma" w:hAnsi="Tahoma" w:cs="Tahoma"/>
                <w:b/>
                <w:bCs/>
                <w:color w:val="000000"/>
              </w:rPr>
              <w:t>Máx.</w:t>
            </w:r>
          </w:p>
        </w:tc>
      </w:tr>
      <w:tr w:rsidR="00DE2486" w:rsidRPr="00DE2486" w14:paraId="73EC66C6" w14:textId="77777777" w:rsidTr="00965416">
        <w:trPr>
          <w:trHeight w:val="283"/>
        </w:trPr>
        <w:tc>
          <w:tcPr>
            <w:tcW w:w="5595" w:type="dxa"/>
            <w:gridSpan w:val="2"/>
            <w:tcBorders>
              <w:top w:val="nil"/>
              <w:left w:val="single" w:sz="4" w:space="0" w:color="auto"/>
              <w:bottom w:val="single" w:sz="4" w:space="0" w:color="auto"/>
              <w:right w:val="single" w:sz="4" w:space="0" w:color="auto"/>
            </w:tcBorders>
            <w:hideMark/>
          </w:tcPr>
          <w:p w14:paraId="704EF0A1" w14:textId="77777777" w:rsidR="00DE2486" w:rsidRPr="00DE2486" w:rsidRDefault="00DE2486" w:rsidP="00965416">
            <w:pPr>
              <w:spacing w:after="0"/>
              <w:jc w:val="both"/>
              <w:rPr>
                <w:rFonts w:ascii="Tahoma" w:hAnsi="Tahoma" w:cs="Tahoma"/>
                <w:color w:val="000000"/>
              </w:rPr>
            </w:pPr>
            <w:r w:rsidRPr="00DE2486">
              <w:rPr>
                <w:rFonts w:ascii="Tahoma" w:hAnsi="Tahoma" w:cs="Tahoma"/>
              </w:rPr>
              <w:t>Cotas de fundos de investimento e cotas de fundos de investimento em cotas da classe Ações e cotas de fundos de índice de ações (“Fundos Investidos”)</w:t>
            </w:r>
          </w:p>
        </w:tc>
        <w:tc>
          <w:tcPr>
            <w:tcW w:w="1418" w:type="dxa"/>
            <w:tcBorders>
              <w:top w:val="single" w:sz="4" w:space="0" w:color="auto"/>
              <w:left w:val="nil"/>
              <w:bottom w:val="single" w:sz="4" w:space="0" w:color="auto"/>
              <w:right w:val="single" w:sz="4" w:space="0" w:color="auto"/>
            </w:tcBorders>
            <w:noWrap/>
            <w:vAlign w:val="center"/>
            <w:hideMark/>
          </w:tcPr>
          <w:p w14:paraId="1F7249CD" w14:textId="77777777" w:rsidR="00DE2486" w:rsidRPr="00DE2486" w:rsidRDefault="00DE2486" w:rsidP="00965416">
            <w:pPr>
              <w:spacing w:after="0"/>
              <w:jc w:val="center"/>
              <w:rPr>
                <w:rFonts w:ascii="Tahoma" w:hAnsi="Tahoma" w:cs="Tahoma"/>
                <w:b/>
                <w:color w:val="000000"/>
                <w:lang w:val="en-GB"/>
              </w:rPr>
            </w:pPr>
            <w:r w:rsidRPr="00DE2486">
              <w:rPr>
                <w:rFonts w:ascii="Tahoma" w:hAnsi="Tahoma" w:cs="Tahoma"/>
                <w:b/>
                <w:color w:val="000000"/>
              </w:rPr>
              <w:t>95%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85F3F1" w14:textId="77777777" w:rsidR="00DE2486" w:rsidRPr="00DE2486" w:rsidRDefault="00DE2486" w:rsidP="00965416">
            <w:pPr>
              <w:spacing w:after="0"/>
              <w:jc w:val="center"/>
              <w:rPr>
                <w:rFonts w:ascii="Tahoma" w:hAnsi="Tahoma" w:cs="Tahoma"/>
                <w:b/>
              </w:rPr>
            </w:pPr>
            <w:r w:rsidRPr="00DE2486">
              <w:rPr>
                <w:rFonts w:ascii="Tahoma" w:hAnsi="Tahoma" w:cs="Tahoma"/>
                <w:b/>
                <w:color w:val="000000"/>
              </w:rPr>
              <w:t>100%</w:t>
            </w:r>
          </w:p>
        </w:tc>
      </w:tr>
      <w:tr w:rsidR="00DE2486" w:rsidRPr="00DE2486" w14:paraId="78BDC4D5" w14:textId="77777777" w:rsidTr="00965416">
        <w:trPr>
          <w:trHeight w:val="283"/>
        </w:trPr>
        <w:tc>
          <w:tcPr>
            <w:tcW w:w="1059" w:type="dxa"/>
            <w:vMerge w:val="restart"/>
            <w:tcBorders>
              <w:top w:val="nil"/>
              <w:left w:val="single" w:sz="4" w:space="0" w:color="auto"/>
              <w:bottom w:val="nil"/>
              <w:right w:val="single" w:sz="4" w:space="0" w:color="auto"/>
            </w:tcBorders>
            <w:vAlign w:val="center"/>
            <w:hideMark/>
          </w:tcPr>
          <w:p w14:paraId="4F2FAE71" w14:textId="77777777" w:rsidR="00DE2486" w:rsidRPr="00DE2486" w:rsidRDefault="00DE2486" w:rsidP="00965416">
            <w:pPr>
              <w:spacing w:after="0"/>
              <w:jc w:val="center"/>
              <w:rPr>
                <w:rFonts w:ascii="Tahoma" w:hAnsi="Tahoma" w:cs="Tahoma"/>
              </w:rPr>
            </w:pPr>
            <w:r w:rsidRPr="00DE2486">
              <w:rPr>
                <w:rFonts w:ascii="Tahoma" w:hAnsi="Tahoma" w:cs="Tahoma"/>
              </w:rPr>
              <w:t xml:space="preserve">Dentro do limite previsto </w:t>
            </w:r>
            <w:r w:rsidRPr="00DE2486">
              <w:rPr>
                <w:rFonts w:ascii="Tahoma" w:hAnsi="Tahoma" w:cs="Tahoma"/>
              </w:rPr>
              <w:lastRenderedPageBreak/>
              <w:t>na linha acima</w:t>
            </w:r>
          </w:p>
        </w:tc>
        <w:tc>
          <w:tcPr>
            <w:tcW w:w="4536" w:type="dxa"/>
            <w:tcBorders>
              <w:top w:val="nil"/>
              <w:left w:val="single" w:sz="4" w:space="0" w:color="auto"/>
              <w:bottom w:val="single" w:sz="4" w:space="0" w:color="auto"/>
              <w:right w:val="single" w:sz="4" w:space="0" w:color="auto"/>
            </w:tcBorders>
            <w:vAlign w:val="center"/>
            <w:hideMark/>
          </w:tcPr>
          <w:p w14:paraId="73441045" w14:textId="77777777" w:rsidR="00DE2486" w:rsidRPr="00DE2486" w:rsidRDefault="00DE2486" w:rsidP="00965416">
            <w:pPr>
              <w:spacing w:after="0"/>
              <w:jc w:val="both"/>
              <w:rPr>
                <w:rFonts w:ascii="Tahoma" w:hAnsi="Tahoma" w:cs="Tahoma"/>
                <w:highlight w:val="yellow"/>
              </w:rPr>
            </w:pPr>
            <w:r w:rsidRPr="00DE2486">
              <w:rPr>
                <w:rFonts w:ascii="Tahoma" w:hAnsi="Tahoma" w:cs="Tahoma"/>
              </w:rPr>
              <w:lastRenderedPageBreak/>
              <w:t>Cotas de fundos de investimento e cotas de fundos de investimento em cotas da classe Ações (“Fundos Investidos”), destinados a investidores qualificados</w:t>
            </w:r>
          </w:p>
        </w:tc>
        <w:tc>
          <w:tcPr>
            <w:tcW w:w="1418" w:type="dxa"/>
            <w:vMerge w:val="restart"/>
            <w:tcBorders>
              <w:top w:val="single" w:sz="4" w:space="0" w:color="auto"/>
              <w:left w:val="nil"/>
              <w:bottom w:val="nil"/>
              <w:right w:val="single" w:sz="4" w:space="0" w:color="auto"/>
            </w:tcBorders>
            <w:noWrap/>
            <w:vAlign w:val="center"/>
            <w:hideMark/>
          </w:tcPr>
          <w:p w14:paraId="15312480" w14:textId="77777777" w:rsidR="00DE2486" w:rsidRPr="00DE2486" w:rsidRDefault="00DE2486" w:rsidP="00965416">
            <w:pPr>
              <w:spacing w:after="0"/>
              <w:jc w:val="center"/>
              <w:rPr>
                <w:rFonts w:ascii="Tahoma" w:hAnsi="Tahoma" w:cs="Tahoma"/>
                <w:b/>
                <w:color w:val="000000"/>
                <w:highlight w:val="yellow"/>
                <w:lang w:val="en-GB"/>
              </w:rPr>
            </w:pPr>
            <w:r w:rsidRPr="00DE2486">
              <w:rPr>
                <w:rFonts w:ascii="Tahoma" w:hAnsi="Tahoma" w:cs="Tahoma"/>
                <w:b/>
                <w:color w:val="000000"/>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51F8AD"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20%</w:t>
            </w:r>
          </w:p>
        </w:tc>
      </w:tr>
      <w:tr w:rsidR="00DE2486" w:rsidRPr="00DE2486" w14:paraId="11C8836D" w14:textId="77777777" w:rsidTr="00965416">
        <w:trPr>
          <w:trHeight w:val="1055"/>
        </w:trPr>
        <w:tc>
          <w:tcPr>
            <w:tcW w:w="8430" w:type="dxa"/>
            <w:vMerge/>
            <w:tcBorders>
              <w:top w:val="nil"/>
              <w:left w:val="single" w:sz="4" w:space="0" w:color="auto"/>
              <w:bottom w:val="nil"/>
              <w:right w:val="single" w:sz="4" w:space="0" w:color="auto"/>
            </w:tcBorders>
            <w:vAlign w:val="center"/>
            <w:hideMark/>
          </w:tcPr>
          <w:p w14:paraId="2335243B" w14:textId="77777777" w:rsidR="00DE2486" w:rsidRPr="00DE2486" w:rsidRDefault="00DE2486" w:rsidP="00965416">
            <w:pPr>
              <w:spacing w:after="0"/>
              <w:rPr>
                <w:rFonts w:ascii="Tahoma" w:eastAsia="Times New Roman" w:hAnsi="Tahoma" w:cs="Tahoma"/>
              </w:rPr>
            </w:pPr>
          </w:p>
        </w:tc>
        <w:tc>
          <w:tcPr>
            <w:tcW w:w="4536" w:type="dxa"/>
            <w:tcBorders>
              <w:top w:val="nil"/>
              <w:left w:val="single" w:sz="4" w:space="0" w:color="auto"/>
              <w:bottom w:val="nil"/>
              <w:right w:val="single" w:sz="4" w:space="0" w:color="auto"/>
            </w:tcBorders>
            <w:vAlign w:val="center"/>
            <w:hideMark/>
          </w:tcPr>
          <w:p w14:paraId="48BBA0DB" w14:textId="77777777" w:rsidR="00DE2486" w:rsidRPr="00DE2486" w:rsidRDefault="00DE2486" w:rsidP="00965416">
            <w:pPr>
              <w:spacing w:after="0"/>
              <w:jc w:val="both"/>
              <w:rPr>
                <w:rFonts w:ascii="Tahoma" w:hAnsi="Tahoma" w:cs="Tahoma"/>
                <w:highlight w:val="yellow"/>
              </w:rPr>
            </w:pPr>
            <w:r w:rsidRPr="00DE2486">
              <w:rPr>
                <w:rFonts w:ascii="Tahoma" w:hAnsi="Tahoma" w:cs="Tahoma"/>
                <w:color w:val="000000"/>
              </w:rPr>
              <w:t xml:space="preserve">Cotas de fundos de investimento e cotas de fundos de investimento em cotas </w:t>
            </w:r>
            <w:r w:rsidRPr="00DE2486">
              <w:rPr>
                <w:rFonts w:ascii="Tahoma" w:hAnsi="Tahoma" w:cs="Tahoma"/>
              </w:rPr>
              <w:t>da classe Ações (“Fundos Investidos”),</w:t>
            </w:r>
            <w:r w:rsidRPr="00DE2486">
              <w:rPr>
                <w:rFonts w:ascii="Tahoma" w:hAnsi="Tahoma" w:cs="Tahoma"/>
                <w:color w:val="000000"/>
              </w:rPr>
              <w:t xml:space="preserve"> destinados a investidores profissionais</w:t>
            </w:r>
          </w:p>
        </w:tc>
        <w:tc>
          <w:tcPr>
            <w:tcW w:w="2835" w:type="dxa"/>
            <w:vMerge/>
            <w:tcBorders>
              <w:top w:val="single" w:sz="4" w:space="0" w:color="auto"/>
              <w:left w:val="nil"/>
              <w:bottom w:val="nil"/>
              <w:right w:val="single" w:sz="4" w:space="0" w:color="auto"/>
            </w:tcBorders>
            <w:vAlign w:val="center"/>
            <w:hideMark/>
          </w:tcPr>
          <w:p w14:paraId="6116DEF4" w14:textId="77777777" w:rsidR="00DE2486" w:rsidRPr="00DE2486" w:rsidRDefault="00DE2486" w:rsidP="00965416">
            <w:pPr>
              <w:spacing w:after="0"/>
              <w:rPr>
                <w:rFonts w:ascii="Tahoma" w:eastAsia="Times New Roman" w:hAnsi="Tahoma" w:cs="Tahoma"/>
                <w:b/>
                <w:color w:val="000000"/>
                <w:highlight w:val="yellow"/>
              </w:rPr>
            </w:pPr>
          </w:p>
        </w:tc>
        <w:tc>
          <w:tcPr>
            <w:tcW w:w="1417" w:type="dxa"/>
            <w:tcBorders>
              <w:top w:val="single" w:sz="4" w:space="0" w:color="auto"/>
              <w:left w:val="single" w:sz="4" w:space="0" w:color="auto"/>
              <w:bottom w:val="nil"/>
              <w:right w:val="single" w:sz="4" w:space="0" w:color="auto"/>
            </w:tcBorders>
            <w:noWrap/>
            <w:vAlign w:val="center"/>
            <w:hideMark/>
          </w:tcPr>
          <w:p w14:paraId="457417F9"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5%, dentro do limite da linha acima</w:t>
            </w:r>
          </w:p>
        </w:tc>
      </w:tr>
      <w:tr w:rsidR="00DE2486" w:rsidRPr="00DE2486" w14:paraId="1C75AD86"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hideMark/>
          </w:tcPr>
          <w:p w14:paraId="5466A983" w14:textId="77777777" w:rsidR="00DE2486" w:rsidRPr="00DE2486" w:rsidRDefault="00DE2486" w:rsidP="00965416">
            <w:pPr>
              <w:spacing w:after="0"/>
              <w:rPr>
                <w:rFonts w:ascii="Tahoma" w:hAnsi="Tahoma" w:cs="Tahoma"/>
                <w:lang w:val="en-GB"/>
              </w:rPr>
            </w:pPr>
            <w:r w:rsidRPr="00DE2486">
              <w:rPr>
                <w:rFonts w:ascii="Tahoma" w:hAnsi="Tahoma" w:cs="Tahoma"/>
              </w:rPr>
              <w:t>Depósitos à vista</w:t>
            </w:r>
          </w:p>
        </w:tc>
        <w:tc>
          <w:tcPr>
            <w:tcW w:w="1418" w:type="dxa"/>
            <w:vMerge w:val="restart"/>
            <w:tcBorders>
              <w:top w:val="single" w:sz="4" w:space="0" w:color="auto"/>
              <w:left w:val="nil"/>
              <w:bottom w:val="single" w:sz="4" w:space="0" w:color="auto"/>
              <w:right w:val="single" w:sz="4" w:space="0" w:color="auto"/>
            </w:tcBorders>
            <w:noWrap/>
            <w:vAlign w:val="center"/>
            <w:hideMark/>
          </w:tcPr>
          <w:p w14:paraId="0181FA49"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0%</w:t>
            </w:r>
          </w:p>
        </w:tc>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14:paraId="726B6103" w14:textId="77777777" w:rsidR="00DE2486" w:rsidRPr="00DE2486" w:rsidRDefault="00DE2486" w:rsidP="00965416">
            <w:pPr>
              <w:spacing w:after="0"/>
              <w:jc w:val="center"/>
              <w:rPr>
                <w:rFonts w:ascii="Tahoma" w:hAnsi="Tahoma" w:cs="Tahoma"/>
                <w:b/>
              </w:rPr>
            </w:pPr>
            <w:r w:rsidRPr="00DE2486">
              <w:rPr>
                <w:rFonts w:ascii="Tahoma" w:hAnsi="Tahoma" w:cs="Tahoma"/>
                <w:b/>
                <w:color w:val="000000"/>
              </w:rPr>
              <w:t>5%</w:t>
            </w:r>
          </w:p>
        </w:tc>
      </w:tr>
      <w:tr w:rsidR="00DE2486" w:rsidRPr="00DE2486" w14:paraId="73E08780"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hideMark/>
          </w:tcPr>
          <w:p w14:paraId="698EAF3D" w14:textId="77777777" w:rsidR="00DE2486" w:rsidRPr="00DE2486" w:rsidRDefault="00DE2486" w:rsidP="00965416">
            <w:pPr>
              <w:spacing w:after="0"/>
              <w:rPr>
                <w:rFonts w:ascii="Tahoma" w:hAnsi="Tahoma" w:cs="Tahoma"/>
              </w:rPr>
            </w:pPr>
            <w:r w:rsidRPr="00DE2486">
              <w:rPr>
                <w:rFonts w:ascii="Tahoma" w:hAnsi="Tahoma" w:cs="Tahoma"/>
              </w:rPr>
              <w:t>Títulos Públicos Federais</w:t>
            </w:r>
          </w:p>
        </w:tc>
        <w:tc>
          <w:tcPr>
            <w:tcW w:w="2835" w:type="dxa"/>
            <w:vMerge/>
            <w:tcBorders>
              <w:top w:val="single" w:sz="4" w:space="0" w:color="auto"/>
              <w:left w:val="nil"/>
              <w:bottom w:val="single" w:sz="4" w:space="0" w:color="auto"/>
              <w:right w:val="single" w:sz="4" w:space="0" w:color="auto"/>
            </w:tcBorders>
            <w:vAlign w:val="center"/>
            <w:hideMark/>
          </w:tcPr>
          <w:p w14:paraId="21E5B4E4" w14:textId="77777777" w:rsidR="00DE2486" w:rsidRPr="00DE2486" w:rsidRDefault="00DE2486" w:rsidP="00965416">
            <w:pPr>
              <w:spacing w:after="0"/>
              <w:rPr>
                <w:rFonts w:ascii="Tahoma" w:eastAsia="Times New Roman" w:hAnsi="Tahoma" w:cs="Tahoma"/>
                <w:b/>
                <w:color w:val="000000"/>
                <w:lang w:val="en-GB"/>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45960BB" w14:textId="77777777" w:rsidR="00DE2486" w:rsidRPr="00DE2486" w:rsidRDefault="00DE2486" w:rsidP="00965416">
            <w:pPr>
              <w:spacing w:after="0"/>
              <w:rPr>
                <w:rFonts w:ascii="Tahoma" w:eastAsia="Times New Roman" w:hAnsi="Tahoma" w:cs="Tahoma"/>
                <w:b/>
                <w:lang w:val="en-GB"/>
              </w:rPr>
            </w:pPr>
          </w:p>
        </w:tc>
      </w:tr>
      <w:tr w:rsidR="00DE2486" w:rsidRPr="00DE2486" w14:paraId="10282520"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hideMark/>
          </w:tcPr>
          <w:p w14:paraId="07BB21BB" w14:textId="77777777" w:rsidR="00DE2486" w:rsidRPr="00DE2486" w:rsidRDefault="00DE2486" w:rsidP="00965416">
            <w:pPr>
              <w:spacing w:after="0"/>
              <w:rPr>
                <w:rFonts w:ascii="Tahoma" w:hAnsi="Tahoma" w:cs="Tahoma"/>
              </w:rPr>
            </w:pPr>
            <w:r w:rsidRPr="00DE2486">
              <w:rPr>
                <w:rFonts w:ascii="Tahoma" w:hAnsi="Tahoma" w:cs="Tahoma"/>
              </w:rPr>
              <w:t>Títulos de Renda Fixa de emissão de instituição financeira</w:t>
            </w:r>
          </w:p>
        </w:tc>
        <w:tc>
          <w:tcPr>
            <w:tcW w:w="2835" w:type="dxa"/>
            <w:vMerge/>
            <w:tcBorders>
              <w:top w:val="single" w:sz="4" w:space="0" w:color="auto"/>
              <w:left w:val="nil"/>
              <w:bottom w:val="single" w:sz="4" w:space="0" w:color="auto"/>
              <w:right w:val="single" w:sz="4" w:space="0" w:color="auto"/>
            </w:tcBorders>
            <w:vAlign w:val="center"/>
            <w:hideMark/>
          </w:tcPr>
          <w:p w14:paraId="3109A986" w14:textId="77777777" w:rsidR="00DE2486" w:rsidRPr="00DE2486" w:rsidRDefault="00DE2486" w:rsidP="00965416">
            <w:pPr>
              <w:spacing w:after="0"/>
              <w:rPr>
                <w:rFonts w:ascii="Tahoma" w:eastAsia="Times New Roman" w:hAnsi="Tahoma" w:cs="Tahoma"/>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B9420F" w14:textId="77777777" w:rsidR="00DE2486" w:rsidRPr="00DE2486" w:rsidRDefault="00DE2486" w:rsidP="00965416">
            <w:pPr>
              <w:spacing w:after="0"/>
              <w:rPr>
                <w:rFonts w:ascii="Tahoma" w:eastAsia="Times New Roman" w:hAnsi="Tahoma" w:cs="Tahoma"/>
                <w:b/>
              </w:rPr>
            </w:pPr>
          </w:p>
        </w:tc>
      </w:tr>
      <w:tr w:rsidR="00DE2486" w:rsidRPr="00DE2486" w14:paraId="1899EDE2"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hideMark/>
          </w:tcPr>
          <w:p w14:paraId="6F24F0C6" w14:textId="77777777" w:rsidR="00DE2486" w:rsidRPr="00DE2486" w:rsidRDefault="00DE2486" w:rsidP="00965416">
            <w:pPr>
              <w:spacing w:after="0"/>
              <w:rPr>
                <w:rFonts w:ascii="Tahoma" w:hAnsi="Tahoma" w:cs="Tahoma"/>
                <w:lang w:val="en-GB"/>
              </w:rPr>
            </w:pPr>
            <w:r w:rsidRPr="00DE2486">
              <w:rPr>
                <w:rFonts w:ascii="Tahoma" w:hAnsi="Tahoma" w:cs="Tahoma"/>
              </w:rPr>
              <w:t>Operações compromissadas</w:t>
            </w:r>
          </w:p>
        </w:tc>
        <w:tc>
          <w:tcPr>
            <w:tcW w:w="2835" w:type="dxa"/>
            <w:vMerge/>
            <w:tcBorders>
              <w:top w:val="single" w:sz="4" w:space="0" w:color="auto"/>
              <w:left w:val="nil"/>
              <w:bottom w:val="single" w:sz="4" w:space="0" w:color="auto"/>
              <w:right w:val="single" w:sz="4" w:space="0" w:color="auto"/>
            </w:tcBorders>
            <w:vAlign w:val="center"/>
            <w:hideMark/>
          </w:tcPr>
          <w:p w14:paraId="7735C5F3" w14:textId="77777777" w:rsidR="00DE2486" w:rsidRPr="00DE2486" w:rsidRDefault="00DE2486" w:rsidP="00965416">
            <w:pPr>
              <w:spacing w:after="0"/>
              <w:rPr>
                <w:rFonts w:ascii="Tahoma" w:eastAsia="Times New Roman" w:hAnsi="Tahoma" w:cs="Tahoma"/>
                <w:b/>
                <w:color w:val="000000"/>
                <w:lang w:val="en-GB"/>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4F7FC60" w14:textId="77777777" w:rsidR="00DE2486" w:rsidRPr="00DE2486" w:rsidRDefault="00DE2486" w:rsidP="00965416">
            <w:pPr>
              <w:spacing w:after="0"/>
              <w:rPr>
                <w:rFonts w:ascii="Tahoma" w:eastAsia="Times New Roman" w:hAnsi="Tahoma" w:cs="Tahoma"/>
                <w:b/>
                <w:lang w:val="en-GB"/>
              </w:rPr>
            </w:pPr>
          </w:p>
        </w:tc>
      </w:tr>
      <w:tr w:rsidR="00DE2486" w:rsidRPr="00DE2486" w14:paraId="07A41420"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hideMark/>
          </w:tcPr>
          <w:p w14:paraId="6447A601" w14:textId="77777777" w:rsidR="00DE2486" w:rsidRPr="00DE2486" w:rsidRDefault="00DE2486" w:rsidP="00965416">
            <w:pPr>
              <w:spacing w:after="0"/>
              <w:jc w:val="both"/>
              <w:rPr>
                <w:rFonts w:ascii="Tahoma" w:hAnsi="Tahoma" w:cs="Tahoma"/>
              </w:rPr>
            </w:pPr>
            <w:r w:rsidRPr="00DE2486">
              <w:rPr>
                <w:rFonts w:ascii="Tahoma" w:hAnsi="Tahoma" w:cs="Tahoma"/>
              </w:rPr>
              <w:t>Cotas de fundos de índice que reflitam as variações e a rentabilidade de índices de renda fixa (“Fundos Investidos”)</w:t>
            </w:r>
          </w:p>
        </w:tc>
        <w:tc>
          <w:tcPr>
            <w:tcW w:w="2835" w:type="dxa"/>
            <w:vMerge/>
            <w:tcBorders>
              <w:top w:val="single" w:sz="4" w:space="0" w:color="auto"/>
              <w:left w:val="nil"/>
              <w:bottom w:val="single" w:sz="4" w:space="0" w:color="auto"/>
              <w:right w:val="single" w:sz="4" w:space="0" w:color="auto"/>
            </w:tcBorders>
            <w:vAlign w:val="center"/>
            <w:hideMark/>
          </w:tcPr>
          <w:p w14:paraId="2BB86954" w14:textId="77777777" w:rsidR="00DE2486" w:rsidRPr="00DE2486" w:rsidRDefault="00DE2486" w:rsidP="00965416">
            <w:pPr>
              <w:spacing w:after="0"/>
              <w:rPr>
                <w:rFonts w:ascii="Tahoma" w:eastAsia="Times New Roman" w:hAnsi="Tahoma" w:cs="Tahoma"/>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CAD83BF" w14:textId="77777777" w:rsidR="00DE2486" w:rsidRPr="00DE2486" w:rsidRDefault="00DE2486" w:rsidP="00965416">
            <w:pPr>
              <w:spacing w:after="0"/>
              <w:rPr>
                <w:rFonts w:ascii="Tahoma" w:eastAsia="Times New Roman" w:hAnsi="Tahoma" w:cs="Tahoma"/>
                <w:b/>
              </w:rPr>
            </w:pPr>
          </w:p>
        </w:tc>
      </w:tr>
      <w:tr w:rsidR="00DE2486" w:rsidRPr="00DE2486" w14:paraId="4CB8A33D"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hideMark/>
          </w:tcPr>
          <w:p w14:paraId="3CA4CC05" w14:textId="77777777" w:rsidR="00DE2486" w:rsidRPr="00DE2486" w:rsidRDefault="00DE2486" w:rsidP="00965416">
            <w:pPr>
              <w:spacing w:after="0"/>
              <w:jc w:val="both"/>
              <w:rPr>
                <w:rFonts w:ascii="Tahoma" w:hAnsi="Tahoma" w:cs="Tahoma"/>
              </w:rPr>
            </w:pPr>
            <w:r w:rsidRPr="00DE2486">
              <w:rPr>
                <w:rFonts w:ascii="Tahoma" w:hAnsi="Tahoma" w:cs="Tahoma"/>
              </w:rPr>
              <w:t xml:space="preserve">Cotas de fundos de investimento da classe Renda Fixa Curto Prazo, Renda Fixa Referenciado, desde que o </w:t>
            </w:r>
            <w:proofErr w:type="gramStart"/>
            <w:r w:rsidRPr="00DE2486">
              <w:rPr>
                <w:rFonts w:ascii="Tahoma" w:hAnsi="Tahoma" w:cs="Tahoma"/>
              </w:rPr>
              <w:t>seu indicados</w:t>
            </w:r>
            <w:proofErr w:type="gramEnd"/>
            <w:r w:rsidRPr="00DE2486">
              <w:rPr>
                <w:rFonts w:ascii="Tahoma" w:hAnsi="Tahoma" w:cs="Tahoma"/>
              </w:rPr>
              <w:t xml:space="preserve"> de desempenho seja a variação do CDI ou SELIC e Renda Fixa Simples (“Fundos Investidos”)</w:t>
            </w:r>
          </w:p>
        </w:tc>
        <w:tc>
          <w:tcPr>
            <w:tcW w:w="2835" w:type="dxa"/>
            <w:vMerge/>
            <w:tcBorders>
              <w:top w:val="single" w:sz="4" w:space="0" w:color="auto"/>
              <w:left w:val="nil"/>
              <w:bottom w:val="single" w:sz="4" w:space="0" w:color="auto"/>
              <w:right w:val="single" w:sz="4" w:space="0" w:color="auto"/>
            </w:tcBorders>
            <w:vAlign w:val="center"/>
            <w:hideMark/>
          </w:tcPr>
          <w:p w14:paraId="19339EBB" w14:textId="77777777" w:rsidR="00DE2486" w:rsidRPr="00DE2486" w:rsidRDefault="00DE2486" w:rsidP="00965416">
            <w:pPr>
              <w:spacing w:after="0"/>
              <w:rPr>
                <w:rFonts w:ascii="Tahoma" w:eastAsia="Times New Roman" w:hAnsi="Tahoma" w:cs="Tahoma"/>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C5D2746" w14:textId="77777777" w:rsidR="00DE2486" w:rsidRPr="00DE2486" w:rsidRDefault="00DE2486" w:rsidP="00965416">
            <w:pPr>
              <w:spacing w:after="0"/>
              <w:rPr>
                <w:rFonts w:ascii="Tahoma" w:eastAsia="Times New Roman" w:hAnsi="Tahoma" w:cs="Tahoma"/>
                <w:b/>
              </w:rPr>
            </w:pPr>
          </w:p>
        </w:tc>
      </w:tr>
      <w:tr w:rsidR="00DE2486" w:rsidRPr="00DE2486" w14:paraId="6A211116"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25B29E8" w14:textId="77777777" w:rsidR="00DE2486" w:rsidRPr="00DE2486" w:rsidRDefault="00DE2486" w:rsidP="00965416">
            <w:pPr>
              <w:spacing w:after="0"/>
              <w:jc w:val="center"/>
              <w:rPr>
                <w:rFonts w:ascii="Tahoma" w:hAnsi="Tahoma" w:cs="Tahoma"/>
                <w:b/>
                <w:bCs/>
                <w:color w:val="000000"/>
                <w:lang w:val="en-GB"/>
              </w:rPr>
            </w:pPr>
            <w:r w:rsidRPr="00DE2486">
              <w:rPr>
                <w:rFonts w:ascii="Tahoma" w:hAnsi="Tahoma" w:cs="Tahoma"/>
                <w:b/>
                <w:bCs/>
                <w:color w:val="000000"/>
              </w:rPr>
              <w:t>CRÉDITO PRIVADO</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63A5CF"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Permitido / Vedado</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DCF20F"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Limite aplicável</w:t>
            </w:r>
          </w:p>
          <w:p w14:paraId="4A3EE697"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 do PL)</w:t>
            </w:r>
          </w:p>
        </w:tc>
      </w:tr>
      <w:tr w:rsidR="00DE2486" w:rsidRPr="00DE2486" w14:paraId="156A3F59" w14:textId="77777777" w:rsidTr="00965416">
        <w:trPr>
          <w:trHeight w:val="960"/>
        </w:trPr>
        <w:tc>
          <w:tcPr>
            <w:tcW w:w="5595" w:type="dxa"/>
            <w:gridSpan w:val="2"/>
            <w:tcBorders>
              <w:top w:val="single" w:sz="4" w:space="0" w:color="auto"/>
              <w:left w:val="single" w:sz="4" w:space="0" w:color="auto"/>
              <w:bottom w:val="single" w:sz="4" w:space="0" w:color="auto"/>
              <w:right w:val="single" w:sz="4" w:space="0" w:color="auto"/>
            </w:tcBorders>
            <w:vAlign w:val="center"/>
            <w:hideMark/>
          </w:tcPr>
          <w:p w14:paraId="119957DB" w14:textId="77777777" w:rsidR="00DE2486" w:rsidRPr="00DE2486" w:rsidRDefault="00DE2486" w:rsidP="00965416">
            <w:pPr>
              <w:spacing w:after="0"/>
              <w:jc w:val="both"/>
              <w:rPr>
                <w:rFonts w:ascii="Tahoma" w:hAnsi="Tahoma" w:cs="Tahoma"/>
                <w:color w:val="000000"/>
              </w:rPr>
            </w:pPr>
            <w:r w:rsidRPr="00DE2486">
              <w:rPr>
                <w:rFonts w:ascii="Tahoma" w:hAnsi="Tahoma" w:cs="Tahoma"/>
                <w:color w:val="000000"/>
              </w:rPr>
              <w:t>Ativos de crédito privado e/ou títulos públicos que não da União, considerando-se a consolidação dos investimentos do FUNDO e dos Fundos Investidos</w:t>
            </w:r>
          </w:p>
        </w:tc>
        <w:tc>
          <w:tcPr>
            <w:tcW w:w="1418" w:type="dxa"/>
            <w:tcBorders>
              <w:top w:val="single" w:sz="4" w:space="0" w:color="auto"/>
              <w:left w:val="nil"/>
              <w:bottom w:val="single" w:sz="4" w:space="0" w:color="auto"/>
              <w:right w:val="single" w:sz="4" w:space="0" w:color="auto"/>
            </w:tcBorders>
            <w:vAlign w:val="center"/>
            <w:hideMark/>
          </w:tcPr>
          <w:p w14:paraId="42CC1E63" w14:textId="77777777" w:rsidR="00DE2486" w:rsidRPr="00DE2486" w:rsidRDefault="00DE2486" w:rsidP="00965416">
            <w:pPr>
              <w:spacing w:after="0"/>
              <w:jc w:val="center"/>
              <w:rPr>
                <w:rFonts w:ascii="Tahoma" w:hAnsi="Tahoma" w:cs="Tahoma"/>
                <w:color w:val="000000"/>
                <w:lang w:val="en-GB"/>
              </w:rPr>
            </w:pPr>
            <w:r w:rsidRPr="00DE2486">
              <w:rPr>
                <w:rFonts w:ascii="Tahoma" w:hAnsi="Tahoma" w:cs="Tahoma"/>
                <w:color w:val="000000"/>
              </w:rPr>
              <w:t>Permitido</w:t>
            </w:r>
          </w:p>
        </w:tc>
        <w:tc>
          <w:tcPr>
            <w:tcW w:w="1417" w:type="dxa"/>
            <w:tcBorders>
              <w:top w:val="single" w:sz="4" w:space="0" w:color="auto"/>
              <w:left w:val="nil"/>
              <w:bottom w:val="single" w:sz="4" w:space="0" w:color="auto"/>
              <w:right w:val="single" w:sz="4" w:space="0" w:color="auto"/>
            </w:tcBorders>
            <w:vAlign w:val="center"/>
            <w:hideMark/>
          </w:tcPr>
          <w:p w14:paraId="2BB68DCA"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Até 10%</w:t>
            </w:r>
          </w:p>
        </w:tc>
      </w:tr>
      <w:tr w:rsidR="00DE2486" w:rsidRPr="00DE2486" w14:paraId="54B8B8E9"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0CFF51"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INVESTIMENTO NO EXTERIOR</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AB92EE"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Permitido / Vedado</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307964"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Limite aplicável</w:t>
            </w:r>
          </w:p>
          <w:p w14:paraId="48ADF5BA"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 do PL)</w:t>
            </w:r>
          </w:p>
        </w:tc>
      </w:tr>
      <w:tr w:rsidR="00DE2486" w:rsidRPr="00DE2486" w14:paraId="7333EA0A" w14:textId="77777777" w:rsidTr="00965416">
        <w:trPr>
          <w:trHeight w:val="283"/>
        </w:trPr>
        <w:tc>
          <w:tcPr>
            <w:tcW w:w="5595" w:type="dxa"/>
            <w:gridSpan w:val="2"/>
            <w:tcBorders>
              <w:top w:val="single" w:sz="4" w:space="0" w:color="auto"/>
              <w:left w:val="single" w:sz="4" w:space="0" w:color="auto"/>
              <w:bottom w:val="single" w:sz="4" w:space="0" w:color="auto"/>
              <w:right w:val="single" w:sz="4" w:space="0" w:color="auto"/>
            </w:tcBorders>
            <w:vAlign w:val="center"/>
            <w:hideMark/>
          </w:tcPr>
          <w:p w14:paraId="4D9AA267" w14:textId="77777777" w:rsidR="00DE2486" w:rsidRPr="00DE2486" w:rsidRDefault="00DE2486" w:rsidP="00965416">
            <w:pPr>
              <w:spacing w:after="0"/>
              <w:jc w:val="both"/>
              <w:rPr>
                <w:rFonts w:ascii="Tahoma" w:hAnsi="Tahoma" w:cs="Tahoma"/>
                <w:color w:val="000000"/>
              </w:rPr>
            </w:pPr>
            <w:r w:rsidRPr="00DE2486">
              <w:rPr>
                <w:rFonts w:ascii="Tahoma" w:hAnsi="Tahoma" w:cs="Tahoma"/>
                <w:color w:val="000000"/>
              </w:rPr>
              <w:t xml:space="preserve">Ativos financeiros negociados no exterior que tenham a mesma </w:t>
            </w:r>
            <w:r w:rsidRPr="00DE2486">
              <w:rPr>
                <w:rFonts w:ascii="Tahoma" w:hAnsi="Tahoma" w:cs="Tahoma"/>
              </w:rPr>
              <w:t xml:space="preserve">natureza econômica dos ativos financeiros no Brasil e/ou Brazilian Depositary </w:t>
            </w:r>
            <w:proofErr w:type="spellStart"/>
            <w:r w:rsidRPr="00DE2486">
              <w:rPr>
                <w:rFonts w:ascii="Tahoma" w:hAnsi="Tahoma" w:cs="Tahoma"/>
              </w:rPr>
              <w:t>Receipt</w:t>
            </w:r>
            <w:proofErr w:type="spellEnd"/>
            <w:r w:rsidRPr="00DE2486">
              <w:rPr>
                <w:rFonts w:ascii="Tahoma" w:hAnsi="Tahoma" w:cs="Tahoma"/>
              </w:rPr>
              <w:t xml:space="preserve"> - Nível I (exceto no caso de fundos de investimento que adotem o sufixo Ações – BDR-Nível I), considerando-se a consolidação dos investimentos dos Fundos Investidos</w:t>
            </w:r>
          </w:p>
        </w:tc>
        <w:tc>
          <w:tcPr>
            <w:tcW w:w="1418" w:type="dxa"/>
            <w:tcBorders>
              <w:top w:val="single" w:sz="4" w:space="0" w:color="auto"/>
              <w:left w:val="nil"/>
              <w:bottom w:val="single" w:sz="4" w:space="0" w:color="auto"/>
              <w:right w:val="single" w:sz="4" w:space="0" w:color="auto"/>
            </w:tcBorders>
            <w:vAlign w:val="center"/>
            <w:hideMark/>
          </w:tcPr>
          <w:p w14:paraId="40552881" w14:textId="77777777" w:rsidR="00DE2486" w:rsidRPr="00DE2486" w:rsidRDefault="00DE2486" w:rsidP="00965416">
            <w:pPr>
              <w:spacing w:after="0"/>
              <w:jc w:val="center"/>
              <w:rPr>
                <w:rFonts w:ascii="Tahoma" w:hAnsi="Tahoma" w:cs="Tahoma"/>
                <w:color w:val="000000"/>
              </w:rPr>
            </w:pPr>
            <w:r w:rsidRPr="00DE2486">
              <w:rPr>
                <w:rFonts w:ascii="Tahoma" w:hAnsi="Tahoma" w:cs="Tahoma"/>
                <w:color w:val="000000"/>
              </w:rPr>
              <w:t>Vedado</w:t>
            </w:r>
          </w:p>
        </w:tc>
        <w:tc>
          <w:tcPr>
            <w:tcW w:w="1417" w:type="dxa"/>
            <w:tcBorders>
              <w:top w:val="single" w:sz="4" w:space="0" w:color="auto"/>
              <w:left w:val="nil"/>
              <w:bottom w:val="single" w:sz="4" w:space="0" w:color="auto"/>
              <w:right w:val="single" w:sz="4" w:space="0" w:color="auto"/>
            </w:tcBorders>
            <w:noWrap/>
            <w:vAlign w:val="center"/>
            <w:hideMark/>
          </w:tcPr>
          <w:p w14:paraId="1DFFA399" w14:textId="77777777" w:rsidR="00DE2486" w:rsidRPr="00DE2486" w:rsidRDefault="00DE2486" w:rsidP="00965416">
            <w:pPr>
              <w:spacing w:after="0"/>
              <w:jc w:val="center"/>
              <w:rPr>
                <w:rFonts w:ascii="Tahoma" w:hAnsi="Tahoma" w:cs="Tahoma"/>
                <w:b/>
                <w:color w:val="000000"/>
              </w:rPr>
            </w:pPr>
            <w:r w:rsidRPr="00DE2486">
              <w:rPr>
                <w:rFonts w:ascii="Tahoma" w:hAnsi="Tahoma" w:cs="Tahoma"/>
                <w:b/>
              </w:rPr>
              <w:t>0%</w:t>
            </w:r>
          </w:p>
        </w:tc>
      </w:tr>
      <w:tr w:rsidR="00DE2486" w:rsidRPr="00DE2486" w14:paraId="7040898F" w14:textId="77777777" w:rsidTr="00965416">
        <w:trPr>
          <w:trHeight w:val="283"/>
        </w:trPr>
        <w:tc>
          <w:tcPr>
            <w:tcW w:w="8430" w:type="dxa"/>
            <w:gridSpan w:val="4"/>
            <w:tcBorders>
              <w:top w:val="single" w:sz="4" w:space="0" w:color="auto"/>
              <w:left w:val="single" w:sz="4" w:space="0" w:color="auto"/>
              <w:bottom w:val="single" w:sz="4" w:space="0" w:color="auto"/>
              <w:right w:val="single" w:sz="4" w:space="0" w:color="auto"/>
            </w:tcBorders>
            <w:vAlign w:val="center"/>
            <w:hideMark/>
          </w:tcPr>
          <w:p w14:paraId="29A66A16" w14:textId="77777777" w:rsidR="00DE2486" w:rsidRPr="00DE2486" w:rsidRDefault="00DE2486" w:rsidP="00965416">
            <w:pPr>
              <w:spacing w:after="0"/>
              <w:jc w:val="both"/>
              <w:rPr>
                <w:rFonts w:ascii="Tahoma" w:hAnsi="Tahoma" w:cs="Tahoma"/>
                <w:b/>
                <w:color w:val="000000"/>
              </w:rPr>
            </w:pPr>
            <w:r w:rsidRPr="00DE2486">
              <w:rPr>
                <w:rFonts w:ascii="Tahoma" w:hAnsi="Tahoma" w:cs="Tahoma"/>
                <w:b/>
                <w:color w:val="000000"/>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76EA1C4C" w14:textId="77777777" w:rsidR="00DE2486" w:rsidRPr="00DE2486" w:rsidRDefault="00DE2486" w:rsidP="00DE2486">
      <w:pPr>
        <w:spacing w:after="0" w:line="280" w:lineRule="atLeast"/>
        <w:jc w:val="both"/>
        <w:rPr>
          <w:rFonts w:ascii="Tahoma" w:eastAsia="Times New Roman" w:hAnsi="Tahoma" w:cs="Tahoma"/>
        </w:rPr>
      </w:pPr>
    </w:p>
    <w:p w14:paraId="0E4C7870" w14:textId="77777777" w:rsidR="00DE2486" w:rsidRPr="00DE2486" w:rsidRDefault="00DE2486" w:rsidP="00DE2486">
      <w:pPr>
        <w:spacing w:after="0"/>
        <w:jc w:val="center"/>
        <w:rPr>
          <w:rFonts w:ascii="Tahoma" w:hAnsi="Tahoma" w:cs="Tahoma"/>
          <w:b/>
          <w:lang w:val="en-GB"/>
        </w:rPr>
      </w:pPr>
      <w:r w:rsidRPr="00DE2486">
        <w:rPr>
          <w:rFonts w:ascii="Tahoma" w:hAnsi="Tahoma" w:cs="Tahoma"/>
          <w:b/>
        </w:rPr>
        <w:t>DOS FUNDOS INVESTIDOS</w:t>
      </w:r>
    </w:p>
    <w:p w14:paraId="26B518A9" w14:textId="77777777" w:rsidR="00DE2486" w:rsidRPr="00DE2486" w:rsidRDefault="00DE2486" w:rsidP="00DE2486">
      <w:pPr>
        <w:spacing w:after="0" w:line="280" w:lineRule="atLeast"/>
        <w:jc w:val="both"/>
        <w:rPr>
          <w:rFonts w:ascii="Tahoma" w:hAnsi="Tahoma" w:cs="Tahoma"/>
        </w:rPr>
      </w:pPr>
    </w:p>
    <w:tbl>
      <w:tblPr>
        <w:tblW w:w="8471" w:type="dxa"/>
        <w:tblInd w:w="70" w:type="dxa"/>
        <w:tblCellMar>
          <w:left w:w="70" w:type="dxa"/>
          <w:right w:w="70" w:type="dxa"/>
        </w:tblCellMar>
        <w:tblLook w:val="04A0" w:firstRow="1" w:lastRow="0" w:firstColumn="1" w:lastColumn="0" w:noHBand="0" w:noVBand="1"/>
      </w:tblPr>
      <w:tblGrid>
        <w:gridCol w:w="5595"/>
        <w:gridCol w:w="1459"/>
        <w:gridCol w:w="1417"/>
      </w:tblGrid>
      <w:tr w:rsidR="00DE2486" w:rsidRPr="00DE2486" w14:paraId="6BF83C96" w14:textId="77777777" w:rsidTr="00965416">
        <w:trPr>
          <w:trHeight w:val="283"/>
        </w:trPr>
        <w:tc>
          <w:tcPr>
            <w:tcW w:w="5595"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7FD92C" w14:textId="77777777" w:rsidR="00DE2486" w:rsidRPr="00DE2486" w:rsidRDefault="00DE2486" w:rsidP="00965416">
            <w:pPr>
              <w:spacing w:after="0"/>
              <w:jc w:val="center"/>
              <w:rPr>
                <w:rFonts w:ascii="Tahoma" w:hAnsi="Tahoma" w:cs="Tahoma"/>
                <w:b/>
                <w:bCs/>
                <w:color w:val="000000"/>
                <w:lang w:val="en-GB"/>
              </w:rPr>
            </w:pPr>
            <w:r w:rsidRPr="00DE2486">
              <w:rPr>
                <w:rFonts w:ascii="Tahoma" w:hAnsi="Tahoma" w:cs="Tahoma"/>
                <w:b/>
                <w:bCs/>
                <w:color w:val="000000"/>
              </w:rPr>
              <w:t xml:space="preserve">COMPOSIÇÃO DA CARTEIRA </w:t>
            </w:r>
          </w:p>
        </w:tc>
        <w:tc>
          <w:tcPr>
            <w:tcW w:w="2876"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1FBB354B"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 do PL</w:t>
            </w:r>
          </w:p>
        </w:tc>
      </w:tr>
      <w:tr w:rsidR="00DE2486" w:rsidRPr="00DE2486" w14:paraId="3CF6BC21" w14:textId="77777777" w:rsidTr="00965416">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392521" w14:textId="77777777" w:rsidR="00DE2486" w:rsidRPr="00DE2486" w:rsidRDefault="00DE2486" w:rsidP="00965416">
            <w:pPr>
              <w:spacing w:after="0"/>
              <w:rPr>
                <w:rFonts w:ascii="Tahoma" w:eastAsia="Times New Roman" w:hAnsi="Tahoma" w:cs="Tahoma"/>
                <w:b/>
                <w:bCs/>
                <w:color w:val="000000"/>
                <w:lang w:val="en-GB"/>
              </w:rPr>
            </w:pPr>
          </w:p>
        </w:tc>
        <w:tc>
          <w:tcPr>
            <w:tcW w:w="1459" w:type="dxa"/>
            <w:tcBorders>
              <w:top w:val="nil"/>
              <w:left w:val="nil"/>
              <w:bottom w:val="single" w:sz="4" w:space="0" w:color="auto"/>
              <w:right w:val="single" w:sz="4" w:space="0" w:color="auto"/>
            </w:tcBorders>
            <w:shd w:val="clear" w:color="auto" w:fill="D9D9D9"/>
            <w:noWrap/>
            <w:vAlign w:val="center"/>
            <w:hideMark/>
          </w:tcPr>
          <w:p w14:paraId="0452265A"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Mín.</w:t>
            </w:r>
          </w:p>
        </w:tc>
        <w:tc>
          <w:tcPr>
            <w:tcW w:w="1417" w:type="dxa"/>
            <w:tcBorders>
              <w:top w:val="nil"/>
              <w:left w:val="nil"/>
              <w:bottom w:val="single" w:sz="4" w:space="0" w:color="auto"/>
              <w:right w:val="single" w:sz="4" w:space="0" w:color="auto"/>
            </w:tcBorders>
            <w:shd w:val="clear" w:color="auto" w:fill="D9D9D9"/>
            <w:noWrap/>
            <w:vAlign w:val="center"/>
            <w:hideMark/>
          </w:tcPr>
          <w:p w14:paraId="5E96097C"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Máx.</w:t>
            </w:r>
          </w:p>
        </w:tc>
      </w:tr>
      <w:tr w:rsidR="00DE2486" w:rsidRPr="00DE2486" w14:paraId="371A0A9D" w14:textId="77777777" w:rsidTr="00965416">
        <w:trPr>
          <w:trHeight w:val="283"/>
        </w:trPr>
        <w:tc>
          <w:tcPr>
            <w:tcW w:w="5595" w:type="dxa"/>
            <w:tcBorders>
              <w:top w:val="nil"/>
              <w:left w:val="single" w:sz="4" w:space="0" w:color="auto"/>
              <w:bottom w:val="single" w:sz="4" w:space="0" w:color="auto"/>
              <w:right w:val="single" w:sz="4" w:space="0" w:color="auto"/>
            </w:tcBorders>
            <w:vAlign w:val="center"/>
            <w:hideMark/>
          </w:tcPr>
          <w:p w14:paraId="609C0EE9" w14:textId="77777777" w:rsidR="00DE2486" w:rsidRPr="00DE2486" w:rsidRDefault="00DE2486" w:rsidP="00965416">
            <w:pPr>
              <w:spacing w:after="0"/>
              <w:jc w:val="both"/>
              <w:rPr>
                <w:rFonts w:ascii="Tahoma" w:hAnsi="Tahoma" w:cs="Tahoma"/>
              </w:rPr>
            </w:pPr>
            <w:r w:rsidRPr="00DE2486">
              <w:rPr>
                <w:rFonts w:ascii="Tahoma" w:hAnsi="Tahoma" w:cs="Tahoma"/>
                <w:color w:val="000000"/>
              </w:rPr>
              <w:t>Ações de emissão da –Vale S.A., diretamente ou por meio de cotas de fundos de ações</w:t>
            </w:r>
          </w:p>
        </w:tc>
        <w:tc>
          <w:tcPr>
            <w:tcW w:w="1459" w:type="dxa"/>
            <w:tcBorders>
              <w:top w:val="single" w:sz="4" w:space="0" w:color="auto"/>
              <w:left w:val="nil"/>
              <w:bottom w:val="single" w:sz="4" w:space="0" w:color="auto"/>
              <w:right w:val="single" w:sz="4" w:space="0" w:color="auto"/>
            </w:tcBorders>
            <w:noWrap/>
            <w:vAlign w:val="center"/>
            <w:hideMark/>
          </w:tcPr>
          <w:p w14:paraId="5DF4E113"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90%</w:t>
            </w:r>
          </w:p>
        </w:tc>
        <w:tc>
          <w:tcPr>
            <w:tcW w:w="1417" w:type="dxa"/>
            <w:tcBorders>
              <w:top w:val="single" w:sz="4" w:space="0" w:color="auto"/>
              <w:left w:val="nil"/>
              <w:bottom w:val="single" w:sz="4" w:space="0" w:color="auto"/>
              <w:right w:val="single" w:sz="4" w:space="0" w:color="auto"/>
            </w:tcBorders>
            <w:noWrap/>
            <w:vAlign w:val="center"/>
            <w:hideMark/>
          </w:tcPr>
          <w:p w14:paraId="166B8D57"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100%</w:t>
            </w:r>
          </w:p>
        </w:tc>
      </w:tr>
      <w:tr w:rsidR="00DE2486" w:rsidRPr="00DE2486" w14:paraId="6BD20BD1" w14:textId="77777777" w:rsidTr="00965416">
        <w:trPr>
          <w:trHeight w:val="283"/>
        </w:trPr>
        <w:tc>
          <w:tcPr>
            <w:tcW w:w="5595" w:type="dxa"/>
            <w:tcBorders>
              <w:top w:val="nil"/>
              <w:left w:val="single" w:sz="4" w:space="0" w:color="auto"/>
              <w:bottom w:val="single" w:sz="4" w:space="0" w:color="auto"/>
              <w:right w:val="single" w:sz="4" w:space="0" w:color="auto"/>
            </w:tcBorders>
            <w:vAlign w:val="center"/>
            <w:hideMark/>
          </w:tcPr>
          <w:p w14:paraId="7D15F1DD" w14:textId="77777777" w:rsidR="00DE2486" w:rsidRPr="00DE2486" w:rsidRDefault="00DE2486" w:rsidP="00965416">
            <w:pPr>
              <w:spacing w:after="0"/>
              <w:jc w:val="both"/>
              <w:rPr>
                <w:rFonts w:ascii="Tahoma" w:hAnsi="Tahoma" w:cs="Tahoma"/>
                <w:color w:val="000000"/>
              </w:rPr>
            </w:pPr>
            <w:r w:rsidRPr="00DE2486">
              <w:rPr>
                <w:rFonts w:ascii="Tahoma" w:hAnsi="Tahoma" w:cs="Tahoma"/>
                <w:color w:val="000000"/>
              </w:rPr>
              <w:t>Outros ativos financeiros e/ou modalidades operacionais</w:t>
            </w:r>
          </w:p>
        </w:tc>
        <w:tc>
          <w:tcPr>
            <w:tcW w:w="1459" w:type="dxa"/>
            <w:tcBorders>
              <w:top w:val="single" w:sz="4" w:space="0" w:color="auto"/>
              <w:left w:val="nil"/>
              <w:bottom w:val="single" w:sz="4" w:space="0" w:color="auto"/>
              <w:right w:val="single" w:sz="4" w:space="0" w:color="auto"/>
            </w:tcBorders>
            <w:noWrap/>
            <w:vAlign w:val="center"/>
            <w:hideMark/>
          </w:tcPr>
          <w:p w14:paraId="4DEC9A67"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0%</w:t>
            </w:r>
          </w:p>
        </w:tc>
        <w:tc>
          <w:tcPr>
            <w:tcW w:w="1417" w:type="dxa"/>
            <w:tcBorders>
              <w:top w:val="single" w:sz="4" w:space="0" w:color="auto"/>
              <w:left w:val="nil"/>
              <w:bottom w:val="single" w:sz="4" w:space="0" w:color="auto"/>
              <w:right w:val="single" w:sz="4" w:space="0" w:color="auto"/>
            </w:tcBorders>
            <w:noWrap/>
            <w:vAlign w:val="center"/>
            <w:hideMark/>
          </w:tcPr>
          <w:p w14:paraId="08EC49A6"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10%</w:t>
            </w:r>
          </w:p>
        </w:tc>
      </w:tr>
      <w:tr w:rsidR="00DE2486" w:rsidRPr="00DE2486" w14:paraId="5F6AC0FA" w14:textId="77777777" w:rsidTr="00965416">
        <w:trPr>
          <w:trHeight w:val="283"/>
        </w:trPr>
        <w:tc>
          <w:tcPr>
            <w:tcW w:w="5595" w:type="dxa"/>
            <w:tcBorders>
              <w:top w:val="nil"/>
              <w:left w:val="single" w:sz="4" w:space="0" w:color="auto"/>
              <w:bottom w:val="single" w:sz="4" w:space="0" w:color="auto"/>
              <w:right w:val="single" w:sz="4" w:space="0" w:color="auto"/>
            </w:tcBorders>
            <w:vAlign w:val="center"/>
            <w:hideMark/>
          </w:tcPr>
          <w:p w14:paraId="741C38B3" w14:textId="77777777" w:rsidR="00DE2486" w:rsidRPr="00DE2486" w:rsidRDefault="00DE2486" w:rsidP="00965416">
            <w:pPr>
              <w:spacing w:after="0"/>
              <w:jc w:val="both"/>
              <w:rPr>
                <w:rFonts w:ascii="Tahoma" w:hAnsi="Tahoma" w:cs="Tahoma"/>
                <w:color w:val="000000"/>
                <w:highlight w:val="cyan"/>
              </w:rPr>
            </w:pPr>
            <w:r w:rsidRPr="00DE2486">
              <w:rPr>
                <w:rFonts w:ascii="Tahoma" w:hAnsi="Tahoma" w:cs="Tahoma"/>
                <w:color w:val="000000"/>
              </w:rPr>
              <w:t>Títulos Públicos Federais</w:t>
            </w:r>
            <w:r w:rsidRPr="00DE2486">
              <w:rPr>
                <w:rFonts w:ascii="Tahoma" w:hAnsi="Tahoma" w:cs="Tahoma"/>
              </w:rPr>
              <w:t xml:space="preserve"> </w:t>
            </w:r>
            <w:r w:rsidRPr="00DE2486">
              <w:rPr>
                <w:rFonts w:ascii="Tahoma" w:hAnsi="Tahoma" w:cs="Tahoma"/>
                <w:color w:val="000000"/>
              </w:rPr>
              <w:t>e operações compromissadas lastreadas nestes títulos</w:t>
            </w:r>
          </w:p>
        </w:tc>
        <w:tc>
          <w:tcPr>
            <w:tcW w:w="1459" w:type="dxa"/>
            <w:tcBorders>
              <w:top w:val="single" w:sz="4" w:space="0" w:color="auto"/>
              <w:left w:val="nil"/>
              <w:bottom w:val="single" w:sz="4" w:space="0" w:color="auto"/>
              <w:right w:val="single" w:sz="4" w:space="0" w:color="auto"/>
            </w:tcBorders>
            <w:noWrap/>
            <w:vAlign w:val="center"/>
            <w:hideMark/>
          </w:tcPr>
          <w:p w14:paraId="79B81AE4" w14:textId="77777777" w:rsidR="00DE2486" w:rsidRPr="00DE2486" w:rsidRDefault="00DE2486" w:rsidP="00965416">
            <w:pPr>
              <w:spacing w:after="0"/>
              <w:jc w:val="center"/>
              <w:rPr>
                <w:rFonts w:ascii="Tahoma" w:hAnsi="Tahoma" w:cs="Tahoma"/>
                <w:b/>
                <w:color w:val="000000"/>
                <w:lang w:val="en-GB"/>
              </w:rPr>
            </w:pPr>
            <w:r w:rsidRPr="00DE2486">
              <w:rPr>
                <w:rFonts w:ascii="Tahoma" w:hAnsi="Tahoma" w:cs="Tahoma"/>
                <w:b/>
                <w:color w:val="000000"/>
              </w:rPr>
              <w:t>Sem Limite</w:t>
            </w:r>
          </w:p>
        </w:tc>
        <w:tc>
          <w:tcPr>
            <w:tcW w:w="1417" w:type="dxa"/>
            <w:tcBorders>
              <w:top w:val="single" w:sz="4" w:space="0" w:color="auto"/>
              <w:left w:val="nil"/>
              <w:bottom w:val="single" w:sz="4" w:space="0" w:color="auto"/>
              <w:right w:val="single" w:sz="4" w:space="0" w:color="auto"/>
            </w:tcBorders>
            <w:noWrap/>
            <w:vAlign w:val="center"/>
            <w:hideMark/>
          </w:tcPr>
          <w:p w14:paraId="26ECA460" w14:textId="77777777" w:rsidR="00DE2486" w:rsidRPr="00DE2486" w:rsidRDefault="00DE2486" w:rsidP="00965416">
            <w:pPr>
              <w:spacing w:after="0"/>
              <w:jc w:val="center"/>
              <w:rPr>
                <w:rFonts w:ascii="Tahoma" w:hAnsi="Tahoma" w:cs="Tahoma"/>
                <w:b/>
                <w:color w:val="000000"/>
                <w:highlight w:val="yellow"/>
              </w:rPr>
            </w:pPr>
            <w:r w:rsidRPr="00DE2486">
              <w:rPr>
                <w:rFonts w:ascii="Tahoma" w:hAnsi="Tahoma" w:cs="Tahoma"/>
                <w:b/>
                <w:color w:val="000000"/>
              </w:rPr>
              <w:t>Sem Limite</w:t>
            </w:r>
          </w:p>
        </w:tc>
      </w:tr>
      <w:tr w:rsidR="00DE2486" w:rsidRPr="00DE2486" w14:paraId="140A6FD0" w14:textId="77777777" w:rsidTr="00965416">
        <w:trPr>
          <w:trHeight w:val="283"/>
        </w:trPr>
        <w:tc>
          <w:tcPr>
            <w:tcW w:w="55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7A2950"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DERIVATIVOS</w:t>
            </w:r>
          </w:p>
        </w:tc>
        <w:tc>
          <w:tcPr>
            <w:tcW w:w="14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8FAA84"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Permitido / Vedado</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8D7C99"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Limite aplicável</w:t>
            </w:r>
          </w:p>
          <w:p w14:paraId="2AF1A9C3"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 do PL)</w:t>
            </w:r>
          </w:p>
        </w:tc>
      </w:tr>
      <w:tr w:rsidR="00DE2486" w:rsidRPr="00DE2486" w14:paraId="17CEB003" w14:textId="77777777" w:rsidTr="00965416">
        <w:trPr>
          <w:trHeight w:val="283"/>
        </w:trPr>
        <w:tc>
          <w:tcPr>
            <w:tcW w:w="5595" w:type="dxa"/>
            <w:tcBorders>
              <w:top w:val="single" w:sz="4" w:space="0" w:color="auto"/>
              <w:left w:val="single" w:sz="4" w:space="0" w:color="auto"/>
              <w:bottom w:val="single" w:sz="4" w:space="0" w:color="auto"/>
              <w:right w:val="single" w:sz="4" w:space="0" w:color="auto"/>
            </w:tcBorders>
            <w:noWrap/>
            <w:vAlign w:val="center"/>
            <w:hideMark/>
          </w:tcPr>
          <w:p w14:paraId="6F704D76" w14:textId="77777777" w:rsidR="00DE2486" w:rsidRPr="00DE2486" w:rsidRDefault="00DE2486" w:rsidP="00965416">
            <w:pPr>
              <w:spacing w:after="0"/>
              <w:rPr>
                <w:rFonts w:ascii="Tahoma" w:hAnsi="Tahoma" w:cs="Tahoma"/>
                <w:color w:val="000000"/>
              </w:rPr>
            </w:pPr>
            <w:r w:rsidRPr="00DE2486">
              <w:rPr>
                <w:rFonts w:ascii="Tahoma" w:hAnsi="Tahoma" w:cs="Tahoma"/>
                <w:color w:val="000000"/>
              </w:rPr>
              <w:t>Proteção da carteira (</w:t>
            </w:r>
            <w:r w:rsidRPr="00DE2486">
              <w:rPr>
                <w:rFonts w:ascii="Tahoma" w:hAnsi="Tahoma" w:cs="Tahoma"/>
                <w:i/>
                <w:color w:val="000000"/>
              </w:rPr>
              <w:t>hedge</w:t>
            </w:r>
            <w:r w:rsidRPr="00DE2486">
              <w:rPr>
                <w:rFonts w:ascii="Tahoma" w:hAnsi="Tahoma" w:cs="Tahoma"/>
                <w:color w:val="000000"/>
              </w:rPr>
              <w:t>)</w:t>
            </w:r>
          </w:p>
        </w:tc>
        <w:tc>
          <w:tcPr>
            <w:tcW w:w="1459" w:type="dxa"/>
            <w:tcBorders>
              <w:top w:val="single" w:sz="4" w:space="0" w:color="auto"/>
              <w:left w:val="nil"/>
              <w:bottom w:val="single" w:sz="4" w:space="0" w:color="auto"/>
              <w:right w:val="single" w:sz="4" w:space="0" w:color="auto"/>
            </w:tcBorders>
            <w:vAlign w:val="center"/>
            <w:hideMark/>
          </w:tcPr>
          <w:p w14:paraId="42588BF9" w14:textId="77777777" w:rsidR="00DE2486" w:rsidRPr="00DE2486" w:rsidRDefault="00DE2486" w:rsidP="00965416">
            <w:pPr>
              <w:spacing w:after="0"/>
              <w:jc w:val="center"/>
              <w:rPr>
                <w:rFonts w:ascii="Tahoma" w:hAnsi="Tahoma" w:cs="Tahoma"/>
                <w:color w:val="000000"/>
              </w:rPr>
            </w:pPr>
            <w:r w:rsidRPr="00DE2486">
              <w:rPr>
                <w:rFonts w:ascii="Tahoma" w:hAnsi="Tahoma" w:cs="Tahoma"/>
                <w:color w:val="000000"/>
              </w:rPr>
              <w:t>Permitido</w:t>
            </w:r>
          </w:p>
        </w:tc>
        <w:tc>
          <w:tcPr>
            <w:tcW w:w="1417" w:type="dxa"/>
            <w:tcBorders>
              <w:top w:val="single" w:sz="4" w:space="0" w:color="auto"/>
              <w:left w:val="nil"/>
              <w:bottom w:val="single" w:sz="4" w:space="0" w:color="auto"/>
              <w:right w:val="single" w:sz="4" w:space="0" w:color="auto"/>
            </w:tcBorders>
            <w:noWrap/>
            <w:vAlign w:val="center"/>
            <w:hideMark/>
          </w:tcPr>
          <w:p w14:paraId="59FE9CB5"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Até 100%</w:t>
            </w:r>
          </w:p>
        </w:tc>
      </w:tr>
      <w:tr w:rsidR="00DE2486" w:rsidRPr="00DE2486" w14:paraId="0CFE9829" w14:textId="77777777" w:rsidTr="00965416">
        <w:trPr>
          <w:trHeight w:val="283"/>
        </w:trPr>
        <w:tc>
          <w:tcPr>
            <w:tcW w:w="5595" w:type="dxa"/>
            <w:tcBorders>
              <w:top w:val="nil"/>
              <w:left w:val="single" w:sz="4" w:space="0" w:color="auto"/>
              <w:bottom w:val="single" w:sz="4" w:space="0" w:color="auto"/>
              <w:right w:val="single" w:sz="4" w:space="0" w:color="auto"/>
            </w:tcBorders>
            <w:noWrap/>
            <w:vAlign w:val="center"/>
            <w:hideMark/>
          </w:tcPr>
          <w:p w14:paraId="6F4317E9" w14:textId="77777777" w:rsidR="00DE2486" w:rsidRPr="00DE2486" w:rsidRDefault="00DE2486" w:rsidP="00965416">
            <w:pPr>
              <w:spacing w:after="0"/>
              <w:rPr>
                <w:rFonts w:ascii="Tahoma" w:hAnsi="Tahoma" w:cs="Tahoma"/>
                <w:color w:val="000000"/>
              </w:rPr>
            </w:pPr>
            <w:r w:rsidRPr="00DE2486">
              <w:rPr>
                <w:rFonts w:ascii="Tahoma" w:hAnsi="Tahoma" w:cs="Tahoma"/>
                <w:color w:val="000000"/>
              </w:rPr>
              <w:t>Assunção de risco</w:t>
            </w:r>
          </w:p>
        </w:tc>
        <w:tc>
          <w:tcPr>
            <w:tcW w:w="1459" w:type="dxa"/>
            <w:tcBorders>
              <w:top w:val="nil"/>
              <w:left w:val="nil"/>
              <w:bottom w:val="single" w:sz="4" w:space="0" w:color="auto"/>
              <w:right w:val="single" w:sz="4" w:space="0" w:color="auto"/>
            </w:tcBorders>
            <w:vAlign w:val="center"/>
            <w:hideMark/>
          </w:tcPr>
          <w:p w14:paraId="7BF94804" w14:textId="77777777" w:rsidR="00DE2486" w:rsidRPr="00DE2486" w:rsidRDefault="00DE2486" w:rsidP="00965416">
            <w:pPr>
              <w:spacing w:after="0"/>
              <w:jc w:val="center"/>
              <w:rPr>
                <w:rFonts w:ascii="Tahoma" w:hAnsi="Tahoma" w:cs="Tahoma"/>
                <w:color w:val="000000"/>
              </w:rPr>
            </w:pPr>
            <w:r w:rsidRPr="00DE2486">
              <w:rPr>
                <w:rFonts w:ascii="Tahoma" w:hAnsi="Tahoma" w:cs="Tahoma"/>
                <w:color w:val="000000"/>
              </w:rPr>
              <w:t>Permitido</w:t>
            </w:r>
          </w:p>
        </w:tc>
        <w:tc>
          <w:tcPr>
            <w:tcW w:w="1417" w:type="dxa"/>
            <w:tcBorders>
              <w:top w:val="nil"/>
              <w:left w:val="nil"/>
              <w:bottom w:val="single" w:sz="4" w:space="0" w:color="auto"/>
              <w:right w:val="single" w:sz="4" w:space="0" w:color="auto"/>
            </w:tcBorders>
            <w:noWrap/>
            <w:vAlign w:val="center"/>
            <w:hideMark/>
          </w:tcPr>
          <w:p w14:paraId="254CC3C1"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Até 10% </w:t>
            </w:r>
          </w:p>
        </w:tc>
      </w:tr>
      <w:tr w:rsidR="00DE2486" w:rsidRPr="00DE2486" w14:paraId="7DA2C648" w14:textId="77777777" w:rsidTr="00965416">
        <w:trPr>
          <w:trHeight w:val="283"/>
        </w:trPr>
        <w:tc>
          <w:tcPr>
            <w:tcW w:w="5595" w:type="dxa"/>
            <w:tcBorders>
              <w:top w:val="nil"/>
              <w:left w:val="single" w:sz="4" w:space="0" w:color="auto"/>
              <w:bottom w:val="single" w:sz="4" w:space="0" w:color="auto"/>
              <w:right w:val="single" w:sz="4" w:space="0" w:color="auto"/>
            </w:tcBorders>
            <w:noWrap/>
            <w:vAlign w:val="center"/>
            <w:hideMark/>
          </w:tcPr>
          <w:p w14:paraId="1E201697" w14:textId="77777777" w:rsidR="00DE2486" w:rsidRPr="00DE2486" w:rsidRDefault="00DE2486" w:rsidP="00965416">
            <w:pPr>
              <w:spacing w:after="0"/>
              <w:rPr>
                <w:rFonts w:ascii="Tahoma" w:hAnsi="Tahoma" w:cs="Tahoma"/>
              </w:rPr>
            </w:pPr>
            <w:r w:rsidRPr="00DE2486">
              <w:rPr>
                <w:rFonts w:ascii="Tahoma" w:hAnsi="Tahoma" w:cs="Tahoma"/>
              </w:rPr>
              <w:lastRenderedPageBreak/>
              <w:t>Alavancagem</w:t>
            </w:r>
          </w:p>
        </w:tc>
        <w:tc>
          <w:tcPr>
            <w:tcW w:w="1459" w:type="dxa"/>
            <w:tcBorders>
              <w:top w:val="nil"/>
              <w:left w:val="nil"/>
              <w:bottom w:val="single" w:sz="4" w:space="0" w:color="auto"/>
              <w:right w:val="single" w:sz="4" w:space="0" w:color="auto"/>
            </w:tcBorders>
            <w:vAlign w:val="center"/>
            <w:hideMark/>
          </w:tcPr>
          <w:p w14:paraId="500F7373" w14:textId="77777777" w:rsidR="00DE2486" w:rsidRPr="00DE2486" w:rsidRDefault="00DE2486" w:rsidP="00965416">
            <w:pPr>
              <w:spacing w:after="0"/>
              <w:jc w:val="center"/>
              <w:rPr>
                <w:rFonts w:ascii="Tahoma" w:hAnsi="Tahoma" w:cs="Tahoma"/>
              </w:rPr>
            </w:pPr>
            <w:r w:rsidRPr="00DE2486">
              <w:rPr>
                <w:rFonts w:ascii="Tahoma" w:hAnsi="Tahoma" w:cs="Tahoma"/>
              </w:rPr>
              <w:t>Vedado</w:t>
            </w:r>
          </w:p>
        </w:tc>
        <w:tc>
          <w:tcPr>
            <w:tcW w:w="1417" w:type="dxa"/>
            <w:tcBorders>
              <w:top w:val="nil"/>
              <w:left w:val="nil"/>
              <w:bottom w:val="single" w:sz="4" w:space="0" w:color="auto"/>
              <w:right w:val="single" w:sz="4" w:space="0" w:color="auto"/>
            </w:tcBorders>
            <w:noWrap/>
            <w:vAlign w:val="center"/>
            <w:hideMark/>
          </w:tcPr>
          <w:p w14:paraId="7BCCDF63" w14:textId="77777777" w:rsidR="00DE2486" w:rsidRPr="00DE2486" w:rsidRDefault="00DE2486" w:rsidP="00965416">
            <w:pPr>
              <w:spacing w:after="0"/>
              <w:jc w:val="center"/>
              <w:rPr>
                <w:rFonts w:ascii="Tahoma" w:hAnsi="Tahoma" w:cs="Tahoma"/>
                <w:b/>
              </w:rPr>
            </w:pPr>
            <w:r w:rsidRPr="00DE2486">
              <w:rPr>
                <w:rFonts w:ascii="Tahoma" w:hAnsi="Tahoma" w:cs="Tahoma"/>
                <w:b/>
              </w:rPr>
              <w:t>0%</w:t>
            </w:r>
          </w:p>
        </w:tc>
      </w:tr>
    </w:tbl>
    <w:p w14:paraId="689DB8F5" w14:textId="77777777" w:rsidR="00DE2486" w:rsidRPr="00DE2486" w:rsidRDefault="00DE2486" w:rsidP="00DE2486">
      <w:pPr>
        <w:spacing w:after="0"/>
        <w:jc w:val="both"/>
        <w:rPr>
          <w:rFonts w:ascii="Tahoma" w:eastAsia="Times New Roman" w:hAnsi="Tahoma" w:cs="Tahoma"/>
          <w:lang w:val="en-GB"/>
        </w:rPr>
      </w:pPr>
    </w:p>
    <w:p w14:paraId="05CD7223" w14:textId="77777777" w:rsidR="00DE2486" w:rsidRPr="00DE2486" w:rsidRDefault="00DE2486" w:rsidP="00DE2486">
      <w:pPr>
        <w:spacing w:after="0"/>
        <w:jc w:val="center"/>
        <w:rPr>
          <w:rFonts w:ascii="Tahoma" w:hAnsi="Tahoma" w:cs="Tahoma"/>
          <w:b/>
        </w:rPr>
      </w:pPr>
      <w:r w:rsidRPr="00DE2486">
        <w:rPr>
          <w:rFonts w:ascii="Tahoma" w:hAnsi="Tahoma" w:cs="Tahoma"/>
          <w:b/>
        </w:rPr>
        <w:t>DAS OPERAÇÕES COM O ADMINISTRADOR, GESTOR E LIGADAS PELO FUNDO E/OU PELOS FUNDOS INVESTIDOS</w:t>
      </w:r>
    </w:p>
    <w:p w14:paraId="35A0681B" w14:textId="77777777" w:rsidR="00DE2486" w:rsidRPr="00DE2486" w:rsidRDefault="00DE2486" w:rsidP="00DE2486">
      <w:pPr>
        <w:spacing w:after="0" w:line="280" w:lineRule="atLeast"/>
        <w:jc w:val="both"/>
        <w:rPr>
          <w:rFonts w:ascii="Tahoma" w:hAnsi="Tahoma" w:cs="Tahoma"/>
        </w:rPr>
      </w:pPr>
    </w:p>
    <w:tbl>
      <w:tblPr>
        <w:tblW w:w="8572" w:type="dxa"/>
        <w:tblInd w:w="70" w:type="dxa"/>
        <w:tblCellMar>
          <w:left w:w="70" w:type="dxa"/>
          <w:right w:w="70" w:type="dxa"/>
        </w:tblCellMar>
        <w:tblLook w:val="04A0" w:firstRow="1" w:lastRow="0" w:firstColumn="1" w:lastColumn="0" w:noHBand="0" w:noVBand="1"/>
      </w:tblPr>
      <w:tblGrid>
        <w:gridCol w:w="5667"/>
        <w:gridCol w:w="1346"/>
        <w:gridCol w:w="1559"/>
      </w:tblGrid>
      <w:tr w:rsidR="00DE2486" w:rsidRPr="00DE2486" w14:paraId="5856D8A4" w14:textId="77777777" w:rsidTr="00965416">
        <w:trPr>
          <w:trHeight w:val="283"/>
        </w:trPr>
        <w:tc>
          <w:tcPr>
            <w:tcW w:w="57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C6A0E8"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 xml:space="preserve">OPERAÇÕES COM O ADMINISTRADOR, GESTOR E LIGADAS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17E0F7" w14:textId="77777777" w:rsidR="00DE2486" w:rsidRPr="00DE2486" w:rsidRDefault="00DE2486" w:rsidP="00965416">
            <w:pPr>
              <w:spacing w:after="0"/>
              <w:jc w:val="center"/>
              <w:rPr>
                <w:rFonts w:ascii="Tahoma" w:hAnsi="Tahoma" w:cs="Tahoma"/>
                <w:b/>
                <w:bCs/>
                <w:color w:val="000000"/>
                <w:lang w:val="en-GB"/>
              </w:rPr>
            </w:pPr>
            <w:r w:rsidRPr="00DE2486">
              <w:rPr>
                <w:rFonts w:ascii="Tahoma" w:hAnsi="Tahoma" w:cs="Tahoma"/>
                <w:b/>
                <w:bCs/>
                <w:color w:val="000000"/>
              </w:rPr>
              <w:t>Permitido/ Vedado</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1E20CB"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Limite aplicável</w:t>
            </w:r>
          </w:p>
          <w:p w14:paraId="41DD0D5F" w14:textId="77777777" w:rsidR="00DE2486" w:rsidRPr="00DE2486" w:rsidRDefault="00DE2486" w:rsidP="00965416">
            <w:pPr>
              <w:spacing w:after="0"/>
              <w:jc w:val="center"/>
              <w:rPr>
                <w:rFonts w:ascii="Tahoma" w:hAnsi="Tahoma" w:cs="Tahoma"/>
                <w:b/>
                <w:bCs/>
                <w:color w:val="000000"/>
              </w:rPr>
            </w:pPr>
            <w:r w:rsidRPr="00DE2486">
              <w:rPr>
                <w:rFonts w:ascii="Tahoma" w:hAnsi="Tahoma" w:cs="Tahoma"/>
                <w:b/>
                <w:bCs/>
                <w:color w:val="000000"/>
              </w:rPr>
              <w:t>(% do PL)</w:t>
            </w:r>
          </w:p>
        </w:tc>
      </w:tr>
      <w:tr w:rsidR="00DE2486" w:rsidRPr="00DE2486" w14:paraId="64957B56" w14:textId="77777777" w:rsidTr="00965416">
        <w:trPr>
          <w:trHeight w:val="283"/>
        </w:trPr>
        <w:tc>
          <w:tcPr>
            <w:tcW w:w="5737" w:type="dxa"/>
            <w:tcBorders>
              <w:top w:val="single" w:sz="4" w:space="0" w:color="auto"/>
              <w:left w:val="single" w:sz="4" w:space="0" w:color="auto"/>
              <w:bottom w:val="single" w:sz="4" w:space="0" w:color="auto"/>
              <w:right w:val="single" w:sz="4" w:space="0" w:color="auto"/>
            </w:tcBorders>
            <w:vAlign w:val="center"/>
            <w:hideMark/>
          </w:tcPr>
          <w:p w14:paraId="16C1F155" w14:textId="77777777" w:rsidR="00DE2486" w:rsidRPr="00DE2486" w:rsidRDefault="00DE2486" w:rsidP="00965416">
            <w:pPr>
              <w:spacing w:after="0"/>
              <w:jc w:val="both"/>
              <w:rPr>
                <w:rFonts w:ascii="Tahoma" w:hAnsi="Tahoma" w:cs="Tahoma"/>
                <w:color w:val="000000"/>
              </w:rPr>
            </w:pPr>
            <w:r w:rsidRPr="00DE2486">
              <w:rPr>
                <w:rFonts w:ascii="Tahoma" w:hAnsi="Tahoma" w:cs="Tahoma"/>
                <w:color w:val="000000"/>
              </w:rPr>
              <w:t>Títulos ou valores mobiliários de emissão do ADMINISTRADOR, do GESTOR ou de empresas a eles ligadas</w:t>
            </w:r>
            <w:r w:rsidRPr="00DE2486">
              <w:rPr>
                <w:rFonts w:ascii="Tahoma" w:hAnsi="Tahoma" w:cs="Tahoma"/>
              </w:rPr>
              <w:t>, sendo vedada a aquisição de ações do ADMINISTRADOR,</w:t>
            </w:r>
            <w:r w:rsidRPr="00DE2486">
              <w:rPr>
                <w:rFonts w:ascii="Tahoma" w:hAnsi="Tahoma" w:cs="Tahoma"/>
                <w:color w:val="000000"/>
              </w:rPr>
              <w:t xml:space="preserve"> </w:t>
            </w:r>
            <w:r w:rsidRPr="00DE2486">
              <w:rPr>
                <w:rFonts w:ascii="Tahoma" w:hAnsi="Tahoma" w:cs="Tahoma"/>
              </w:rPr>
              <w:t>exceto nas hipóteses em que o Fundo Investido busque reproduzir índice de mercado do qual estas ações façam parte, exclusivamente na proporção desta participação</w:t>
            </w:r>
          </w:p>
        </w:tc>
        <w:tc>
          <w:tcPr>
            <w:tcW w:w="1276" w:type="dxa"/>
            <w:tcBorders>
              <w:top w:val="single" w:sz="4" w:space="0" w:color="auto"/>
              <w:left w:val="nil"/>
              <w:bottom w:val="single" w:sz="4" w:space="0" w:color="auto"/>
              <w:right w:val="single" w:sz="4" w:space="0" w:color="auto"/>
            </w:tcBorders>
            <w:vAlign w:val="center"/>
            <w:hideMark/>
          </w:tcPr>
          <w:p w14:paraId="295416FB" w14:textId="77777777" w:rsidR="00DE2486" w:rsidRPr="00DE2486" w:rsidRDefault="00DE2486" w:rsidP="00965416">
            <w:pPr>
              <w:spacing w:after="0"/>
              <w:jc w:val="center"/>
              <w:rPr>
                <w:rFonts w:ascii="Tahoma" w:hAnsi="Tahoma" w:cs="Tahoma"/>
                <w:color w:val="000000"/>
                <w:lang w:val="en-GB"/>
              </w:rPr>
            </w:pPr>
            <w:r w:rsidRPr="00DE2486">
              <w:rPr>
                <w:rFonts w:ascii="Tahoma" w:hAnsi="Tahoma" w:cs="Tahoma"/>
                <w:color w:val="000000"/>
              </w:rPr>
              <w:t>Permitido</w:t>
            </w:r>
          </w:p>
        </w:tc>
        <w:tc>
          <w:tcPr>
            <w:tcW w:w="1559" w:type="dxa"/>
            <w:tcBorders>
              <w:top w:val="single" w:sz="4" w:space="0" w:color="auto"/>
              <w:left w:val="nil"/>
              <w:bottom w:val="single" w:sz="4" w:space="0" w:color="auto"/>
              <w:right w:val="single" w:sz="4" w:space="0" w:color="auto"/>
            </w:tcBorders>
            <w:noWrap/>
            <w:vAlign w:val="center"/>
            <w:hideMark/>
          </w:tcPr>
          <w:p w14:paraId="1A027181"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 xml:space="preserve">FUNDO: </w:t>
            </w:r>
          </w:p>
          <w:p w14:paraId="6AC91EED"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Até 5%</w:t>
            </w:r>
          </w:p>
          <w:p w14:paraId="40B46BB9"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Fundos Investidos: Até 10%</w:t>
            </w:r>
          </w:p>
        </w:tc>
      </w:tr>
      <w:tr w:rsidR="00DE2486" w:rsidRPr="00DE2486" w14:paraId="7CA1903F" w14:textId="77777777" w:rsidTr="00965416">
        <w:trPr>
          <w:trHeight w:val="283"/>
        </w:trPr>
        <w:tc>
          <w:tcPr>
            <w:tcW w:w="5737" w:type="dxa"/>
            <w:tcBorders>
              <w:top w:val="nil"/>
              <w:left w:val="single" w:sz="4" w:space="0" w:color="auto"/>
              <w:bottom w:val="single" w:sz="4" w:space="0" w:color="auto"/>
              <w:right w:val="single" w:sz="4" w:space="0" w:color="auto"/>
            </w:tcBorders>
            <w:vAlign w:val="center"/>
            <w:hideMark/>
          </w:tcPr>
          <w:p w14:paraId="55A977FE" w14:textId="77777777" w:rsidR="00DE2486" w:rsidRPr="00DE2486" w:rsidRDefault="00DE2486" w:rsidP="00965416">
            <w:pPr>
              <w:spacing w:after="0"/>
              <w:jc w:val="both"/>
              <w:rPr>
                <w:rFonts w:ascii="Tahoma" w:hAnsi="Tahoma" w:cs="Tahoma"/>
                <w:color w:val="000000"/>
              </w:rPr>
            </w:pPr>
            <w:r w:rsidRPr="00DE2486">
              <w:rPr>
                <w:rFonts w:ascii="Tahoma" w:hAnsi="Tahoma" w:cs="Tahoma"/>
                <w:color w:val="000000"/>
              </w:rPr>
              <w:t>Cotas de fundos de investimento administrados pelo ADMINISTRADOR, GESTOR ou empresas a eles ligadas</w:t>
            </w:r>
          </w:p>
        </w:tc>
        <w:tc>
          <w:tcPr>
            <w:tcW w:w="1276" w:type="dxa"/>
            <w:tcBorders>
              <w:top w:val="nil"/>
              <w:left w:val="nil"/>
              <w:bottom w:val="single" w:sz="4" w:space="0" w:color="auto"/>
              <w:right w:val="single" w:sz="4" w:space="0" w:color="auto"/>
            </w:tcBorders>
            <w:vAlign w:val="center"/>
            <w:hideMark/>
          </w:tcPr>
          <w:p w14:paraId="616D3EBC" w14:textId="77777777" w:rsidR="00DE2486" w:rsidRPr="00DE2486" w:rsidRDefault="00DE2486" w:rsidP="00965416">
            <w:pPr>
              <w:spacing w:after="0"/>
              <w:jc w:val="center"/>
              <w:rPr>
                <w:rFonts w:ascii="Tahoma" w:hAnsi="Tahoma" w:cs="Tahoma"/>
                <w:color w:val="000000"/>
                <w:lang w:val="en-GB"/>
              </w:rPr>
            </w:pPr>
            <w:r w:rsidRPr="00DE2486">
              <w:rPr>
                <w:rFonts w:ascii="Tahoma" w:hAnsi="Tahoma" w:cs="Tahoma"/>
                <w:color w:val="000000"/>
              </w:rPr>
              <w:t>Permitido</w:t>
            </w:r>
          </w:p>
        </w:tc>
        <w:tc>
          <w:tcPr>
            <w:tcW w:w="1559" w:type="dxa"/>
            <w:tcBorders>
              <w:top w:val="nil"/>
              <w:left w:val="nil"/>
              <w:bottom w:val="single" w:sz="4" w:space="0" w:color="auto"/>
              <w:right w:val="single" w:sz="4" w:space="0" w:color="auto"/>
            </w:tcBorders>
            <w:noWrap/>
            <w:vAlign w:val="center"/>
            <w:hideMark/>
          </w:tcPr>
          <w:p w14:paraId="370CAEFA"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Até 100%</w:t>
            </w:r>
          </w:p>
        </w:tc>
      </w:tr>
      <w:tr w:rsidR="00DE2486" w:rsidRPr="00DE2486" w14:paraId="0BF9C0B0" w14:textId="77777777" w:rsidTr="00965416">
        <w:trPr>
          <w:trHeight w:val="283"/>
        </w:trPr>
        <w:tc>
          <w:tcPr>
            <w:tcW w:w="5737" w:type="dxa"/>
            <w:tcBorders>
              <w:top w:val="nil"/>
              <w:left w:val="single" w:sz="4" w:space="0" w:color="auto"/>
              <w:bottom w:val="single" w:sz="4" w:space="0" w:color="auto"/>
              <w:right w:val="single" w:sz="4" w:space="0" w:color="auto"/>
            </w:tcBorders>
            <w:vAlign w:val="center"/>
            <w:hideMark/>
          </w:tcPr>
          <w:p w14:paraId="5D27C283" w14:textId="77777777" w:rsidR="00DE2486" w:rsidRPr="00DE2486" w:rsidRDefault="00DE2486" w:rsidP="00965416">
            <w:pPr>
              <w:spacing w:after="0"/>
              <w:jc w:val="both"/>
              <w:rPr>
                <w:rFonts w:ascii="Tahoma" w:hAnsi="Tahoma" w:cs="Tahoma"/>
                <w:color w:val="000000"/>
              </w:rPr>
            </w:pPr>
            <w:r w:rsidRPr="00DE2486">
              <w:rPr>
                <w:rFonts w:ascii="Tahoma" w:hAnsi="Tahoma" w:cs="Tahoma"/>
                <w:color w:val="000000"/>
              </w:rPr>
              <w:t>Operações tendo como contraparte o ADMINISTRADOR, o GESTOR e empresas a eles ligadas, bem como fundos de investimento, clubes de investimento e/ou carteiras administradas pelo ADMINISTRADOR, pelo GESTOR ou por empresas a eles ligadas</w:t>
            </w:r>
          </w:p>
        </w:tc>
        <w:tc>
          <w:tcPr>
            <w:tcW w:w="1276" w:type="dxa"/>
            <w:tcBorders>
              <w:top w:val="nil"/>
              <w:left w:val="nil"/>
              <w:bottom w:val="single" w:sz="4" w:space="0" w:color="auto"/>
              <w:right w:val="single" w:sz="4" w:space="0" w:color="auto"/>
            </w:tcBorders>
            <w:vAlign w:val="center"/>
            <w:hideMark/>
          </w:tcPr>
          <w:p w14:paraId="595DFEB8" w14:textId="77777777" w:rsidR="00DE2486" w:rsidRPr="00DE2486" w:rsidRDefault="00DE2486" w:rsidP="00965416">
            <w:pPr>
              <w:spacing w:after="0"/>
              <w:jc w:val="center"/>
              <w:rPr>
                <w:rFonts w:ascii="Tahoma" w:hAnsi="Tahoma" w:cs="Tahoma"/>
                <w:color w:val="000000"/>
                <w:lang w:val="en-GB"/>
              </w:rPr>
            </w:pPr>
            <w:r w:rsidRPr="00DE2486">
              <w:rPr>
                <w:rFonts w:ascii="Tahoma" w:hAnsi="Tahoma" w:cs="Tahoma"/>
                <w:color w:val="000000"/>
              </w:rPr>
              <w:t>Permitido</w:t>
            </w:r>
          </w:p>
        </w:tc>
        <w:tc>
          <w:tcPr>
            <w:tcW w:w="1559" w:type="dxa"/>
            <w:tcBorders>
              <w:top w:val="nil"/>
              <w:left w:val="nil"/>
              <w:bottom w:val="single" w:sz="4" w:space="0" w:color="auto"/>
              <w:right w:val="single" w:sz="4" w:space="0" w:color="auto"/>
            </w:tcBorders>
            <w:noWrap/>
            <w:vAlign w:val="center"/>
            <w:hideMark/>
          </w:tcPr>
          <w:p w14:paraId="0601BE9A" w14:textId="77777777" w:rsidR="00DE2486" w:rsidRPr="00DE2486" w:rsidRDefault="00DE2486" w:rsidP="00965416">
            <w:pPr>
              <w:spacing w:after="0"/>
              <w:jc w:val="center"/>
              <w:rPr>
                <w:rFonts w:ascii="Tahoma" w:hAnsi="Tahoma" w:cs="Tahoma"/>
                <w:b/>
                <w:color w:val="000000"/>
              </w:rPr>
            </w:pPr>
            <w:r w:rsidRPr="00DE2486">
              <w:rPr>
                <w:rFonts w:ascii="Tahoma" w:hAnsi="Tahoma" w:cs="Tahoma"/>
                <w:b/>
                <w:color w:val="000000"/>
              </w:rPr>
              <w:t>Até 100%</w:t>
            </w:r>
          </w:p>
        </w:tc>
      </w:tr>
    </w:tbl>
    <w:p w14:paraId="0761CFE5" w14:textId="77777777" w:rsidR="00DE2486" w:rsidRPr="00DE2486" w:rsidRDefault="00DE2486" w:rsidP="00DE2486">
      <w:pPr>
        <w:tabs>
          <w:tab w:val="left" w:pos="426"/>
          <w:tab w:val="left" w:pos="1843"/>
        </w:tabs>
        <w:spacing w:after="0" w:line="280" w:lineRule="atLeast"/>
        <w:jc w:val="both"/>
        <w:rPr>
          <w:rFonts w:ascii="Tahoma" w:eastAsia="Times New Roman" w:hAnsi="Tahoma" w:cs="Tahoma"/>
        </w:rPr>
      </w:pPr>
    </w:p>
    <w:p w14:paraId="4E714142"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3.3. O FUNDO poderá concentrar a totalidade de suas aplicações em cotas de um mesmo fundo de investimento, inclusive em fundos de investimento administrados pelo ADMINISTRADOR ou empresas a ele ligadas.</w:t>
      </w:r>
    </w:p>
    <w:p w14:paraId="69E15C3D" w14:textId="77777777" w:rsidR="00DE2486" w:rsidRPr="00DE2486" w:rsidRDefault="00DE2486" w:rsidP="00DE2486">
      <w:pPr>
        <w:spacing w:after="0" w:line="280" w:lineRule="atLeast"/>
        <w:jc w:val="both"/>
        <w:rPr>
          <w:rFonts w:ascii="Tahoma" w:hAnsi="Tahoma" w:cs="Tahoma"/>
        </w:rPr>
      </w:pPr>
    </w:p>
    <w:p w14:paraId="059C7325"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3.4. Os limites indicados nos quadros acima serão considerados em conjunto e cumulativamente.</w:t>
      </w:r>
    </w:p>
    <w:p w14:paraId="5DFA03E5" w14:textId="77777777" w:rsidR="00DE2486" w:rsidRPr="00DE2486" w:rsidRDefault="00DE2486" w:rsidP="00DE2486">
      <w:pPr>
        <w:spacing w:after="0" w:line="280" w:lineRule="atLeast"/>
        <w:jc w:val="both"/>
        <w:rPr>
          <w:rFonts w:ascii="Tahoma" w:hAnsi="Tahoma" w:cs="Tahoma"/>
        </w:rPr>
      </w:pPr>
    </w:p>
    <w:p w14:paraId="5B743D89"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3.5. Observado o disposto nos quadros acima, cada Fundo Investido observará os limites por emissor e por modalidade de ativo previstos na regulamentação aplicável.</w:t>
      </w:r>
    </w:p>
    <w:p w14:paraId="15698657" w14:textId="77777777" w:rsidR="00DE2486" w:rsidRPr="00DE2486" w:rsidRDefault="00DE2486" w:rsidP="00DE2486">
      <w:pPr>
        <w:spacing w:after="0" w:line="280" w:lineRule="atLeast"/>
        <w:jc w:val="both"/>
        <w:rPr>
          <w:rFonts w:ascii="Tahoma" w:hAnsi="Tahoma" w:cs="Tahoma"/>
        </w:rPr>
      </w:pPr>
    </w:p>
    <w:p w14:paraId="0C537BB8"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exceto se referidas cotas forem destinadas a investidores profissionais. </w:t>
      </w:r>
    </w:p>
    <w:p w14:paraId="79BDF996" w14:textId="77777777" w:rsidR="00DE2486" w:rsidRPr="00DE2486" w:rsidRDefault="00DE2486" w:rsidP="00DE2486">
      <w:pPr>
        <w:spacing w:after="0" w:line="280" w:lineRule="atLeast"/>
        <w:jc w:val="both"/>
        <w:rPr>
          <w:rFonts w:ascii="Tahoma" w:hAnsi="Tahoma" w:cs="Tahoma"/>
        </w:rPr>
      </w:pPr>
    </w:p>
    <w:p w14:paraId="081CF518"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9F34819" w14:textId="77777777" w:rsidR="00DE2486" w:rsidRPr="00DE2486" w:rsidRDefault="00DE2486" w:rsidP="00DE2486">
      <w:pPr>
        <w:spacing w:after="0" w:line="280" w:lineRule="atLeast"/>
        <w:jc w:val="both"/>
        <w:rPr>
          <w:rFonts w:ascii="Tahoma" w:hAnsi="Tahoma" w:cs="Tahoma"/>
        </w:rPr>
      </w:pPr>
    </w:p>
    <w:p w14:paraId="6521D1A1"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5D73F291" w14:textId="77777777" w:rsidR="00DE2486" w:rsidRPr="00DE2486" w:rsidRDefault="00DE2486" w:rsidP="00DE2486">
      <w:pPr>
        <w:spacing w:after="0" w:line="280" w:lineRule="atLeast"/>
        <w:jc w:val="both"/>
        <w:rPr>
          <w:rFonts w:ascii="Tahoma" w:hAnsi="Tahoma" w:cs="Tahoma"/>
        </w:rPr>
      </w:pPr>
    </w:p>
    <w:p w14:paraId="442D7FCA"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3.9. Ficam vedadas as aplicações pelo FUNDO em cotas de fundos de investimento que invistam diretamente no FUNDO.</w:t>
      </w:r>
    </w:p>
    <w:p w14:paraId="208C3D6E" w14:textId="77777777" w:rsidR="00DE2486" w:rsidRPr="00DE2486" w:rsidRDefault="00DE2486" w:rsidP="00DE2486">
      <w:pPr>
        <w:spacing w:after="0" w:line="280" w:lineRule="atLeast"/>
        <w:jc w:val="both"/>
        <w:rPr>
          <w:rFonts w:ascii="Tahoma" w:hAnsi="Tahoma" w:cs="Tahoma"/>
        </w:rPr>
      </w:pPr>
    </w:p>
    <w:p w14:paraId="3F1D5EA8"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3.10. O ADMINISTRADOR, o GESTOR e qualquer empresa pertencente ao mesmo conglomerado financeiro, bem como diretores, gerentes e funcionários dessas empresas poderão ter posições </w:t>
      </w:r>
      <w:proofErr w:type="gramStart"/>
      <w:r w:rsidRPr="00DE2486">
        <w:rPr>
          <w:rFonts w:ascii="Tahoma" w:hAnsi="Tahoma" w:cs="Tahoma"/>
        </w:rPr>
        <w:t>em, subscrever ou operar</w:t>
      </w:r>
      <w:proofErr w:type="gramEnd"/>
      <w:r w:rsidRPr="00DE2486">
        <w:rPr>
          <w:rFonts w:ascii="Tahoma" w:hAnsi="Tahoma" w:cs="Tahoma"/>
        </w:rPr>
        <w:t xml:space="preserve"> </w:t>
      </w:r>
      <w:r w:rsidRPr="00DE2486">
        <w:rPr>
          <w:rFonts w:ascii="Tahoma" w:hAnsi="Tahoma" w:cs="Tahoma"/>
        </w:rPr>
        <w:lastRenderedPageBreak/>
        <w:t>com ativos financeiros que integrem ou venham a integrar a CARTEIRA do FUNDO e/ou a carteira dos Fundos Investidos.</w:t>
      </w:r>
    </w:p>
    <w:p w14:paraId="64C527A0" w14:textId="77777777" w:rsidR="00DE2486" w:rsidRPr="00DE2486" w:rsidRDefault="00DE2486" w:rsidP="00DE2486">
      <w:pPr>
        <w:spacing w:after="0" w:line="280" w:lineRule="atLeast"/>
        <w:jc w:val="both"/>
        <w:rPr>
          <w:rFonts w:ascii="Tahoma" w:hAnsi="Tahoma" w:cs="Tahoma"/>
        </w:rPr>
      </w:pPr>
    </w:p>
    <w:p w14:paraId="7A8E01BC"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34E5769E" w14:textId="77777777" w:rsidR="00DE2486" w:rsidRPr="00DE2486" w:rsidRDefault="00DE2486" w:rsidP="00DE2486">
      <w:pPr>
        <w:tabs>
          <w:tab w:val="left" w:pos="426"/>
          <w:tab w:val="left" w:pos="1843"/>
        </w:tabs>
        <w:spacing w:after="0" w:line="280" w:lineRule="atLeast"/>
        <w:jc w:val="both"/>
        <w:rPr>
          <w:rFonts w:ascii="Tahoma" w:hAnsi="Tahoma" w:cs="Tahoma"/>
        </w:rPr>
      </w:pPr>
    </w:p>
    <w:p w14:paraId="620465D6"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 xml:space="preserve">CLÁUSULA QUARTA – DOS RISCOS </w:t>
      </w:r>
    </w:p>
    <w:p w14:paraId="5DC3A5CC" w14:textId="77777777" w:rsidR="00DE2486" w:rsidRPr="00DE2486" w:rsidRDefault="00DE2486" w:rsidP="00DE2486">
      <w:pPr>
        <w:spacing w:after="0" w:line="280" w:lineRule="atLeast"/>
        <w:jc w:val="both"/>
        <w:rPr>
          <w:rFonts w:ascii="Tahoma" w:hAnsi="Tahoma" w:cs="Tahoma"/>
        </w:rPr>
      </w:pPr>
    </w:p>
    <w:p w14:paraId="35BC61E5" w14:textId="77777777" w:rsidR="00DE2486" w:rsidRPr="00DE2486" w:rsidRDefault="00DE2486" w:rsidP="00DE2486">
      <w:pPr>
        <w:spacing w:after="0"/>
        <w:jc w:val="both"/>
        <w:rPr>
          <w:rFonts w:ascii="Tahoma" w:hAnsi="Tahoma" w:cs="Tahoma"/>
          <w:color w:val="000000"/>
        </w:rPr>
      </w:pPr>
      <w:r w:rsidRPr="00DE2486">
        <w:rPr>
          <w:rFonts w:ascii="Tahoma" w:hAnsi="Tahoma" w:cs="Tahoma"/>
        </w:rPr>
        <w:t xml:space="preserve">4.1. </w:t>
      </w:r>
      <w:r w:rsidRPr="00DE2486">
        <w:rPr>
          <w:rFonts w:ascii="Tahoma" w:hAnsi="Tahoma" w:cs="Tahoma"/>
          <w:color w:val="000000"/>
        </w:rPr>
        <w:t>O FUNDO e seus Cotistas estão sujeitos, principalmente, aos seguintes riscos:</w:t>
      </w:r>
    </w:p>
    <w:p w14:paraId="17045F6B" w14:textId="77777777" w:rsidR="00DE2486" w:rsidRPr="00DE2486" w:rsidRDefault="00DE2486" w:rsidP="00DE2486">
      <w:pPr>
        <w:spacing w:after="0"/>
        <w:jc w:val="both"/>
        <w:rPr>
          <w:rFonts w:ascii="Tahoma" w:hAnsi="Tahoma" w:cs="Tahoma"/>
          <w:color w:val="000000"/>
        </w:rPr>
      </w:pPr>
    </w:p>
    <w:p w14:paraId="1DCD3B74" w14:textId="77777777" w:rsidR="00DE2486" w:rsidRPr="00DE2486" w:rsidRDefault="00DE2486" w:rsidP="00DE2486">
      <w:pPr>
        <w:pStyle w:val="PargrafodaLista"/>
        <w:ind w:left="0"/>
        <w:contextualSpacing/>
        <w:jc w:val="both"/>
        <w:rPr>
          <w:rFonts w:ascii="Tahoma" w:hAnsi="Tahoma" w:cs="Tahoma"/>
          <w:sz w:val="22"/>
          <w:szCs w:val="22"/>
          <w:highlight w:val="yellow"/>
          <w:lang w:val="pt-BR"/>
        </w:rPr>
      </w:pPr>
      <w:r w:rsidRPr="00DE2486">
        <w:rPr>
          <w:rFonts w:ascii="Tahoma" w:hAnsi="Tahoma" w:cs="Tahoma"/>
          <w:b/>
          <w:sz w:val="22"/>
          <w:szCs w:val="22"/>
          <w:lang w:val="pt-BR"/>
        </w:rPr>
        <w:t>Risco de Mercado:</w:t>
      </w:r>
      <w:r w:rsidRPr="00DE2486">
        <w:rPr>
          <w:rFonts w:ascii="Tahoma" w:hAnsi="Tahoma" w:cs="Tahoma"/>
          <w:sz w:val="22"/>
          <w:szCs w:val="22"/>
          <w:lang w:val="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656E91BA" w14:textId="77777777" w:rsidR="00DE2486" w:rsidRPr="00DE2486" w:rsidRDefault="00DE2486" w:rsidP="00DE2486">
      <w:pPr>
        <w:pStyle w:val="PargrafodaLista"/>
        <w:ind w:left="0"/>
        <w:jc w:val="both"/>
        <w:rPr>
          <w:rFonts w:ascii="Tahoma" w:hAnsi="Tahoma" w:cs="Tahoma"/>
          <w:sz w:val="22"/>
          <w:szCs w:val="22"/>
          <w:lang w:val="pt-BR"/>
        </w:rPr>
      </w:pPr>
    </w:p>
    <w:p w14:paraId="5DD97C70" w14:textId="77777777" w:rsidR="00DE2486" w:rsidRPr="00DE2486" w:rsidRDefault="00DE2486" w:rsidP="00DE2486">
      <w:pPr>
        <w:pStyle w:val="PargrafodaLista"/>
        <w:ind w:left="0"/>
        <w:contextualSpacing/>
        <w:jc w:val="both"/>
        <w:rPr>
          <w:rFonts w:ascii="Tahoma" w:hAnsi="Tahoma" w:cs="Tahoma"/>
          <w:sz w:val="22"/>
          <w:szCs w:val="22"/>
          <w:lang w:val="pt-BR"/>
        </w:rPr>
      </w:pPr>
      <w:r w:rsidRPr="00DE2486">
        <w:rPr>
          <w:rFonts w:ascii="Tahoma" w:hAnsi="Tahoma" w:cs="Tahoma"/>
          <w:b/>
          <w:sz w:val="22"/>
          <w:szCs w:val="22"/>
          <w:lang w:val="pt-BR"/>
        </w:rPr>
        <w:t>Risco de Liquidez</w:t>
      </w:r>
      <w:r w:rsidRPr="00DE2486">
        <w:rPr>
          <w:rFonts w:ascii="Tahoma" w:hAnsi="Tahoma" w:cs="Tahoma"/>
          <w:sz w:val="22"/>
          <w:szCs w:val="22"/>
          <w:lang w:val="pt-BR"/>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7B87B5CB" w14:textId="77777777" w:rsidR="00DE2486" w:rsidRPr="00DE2486" w:rsidRDefault="00DE2486" w:rsidP="00DE2486">
      <w:pPr>
        <w:pStyle w:val="PargrafodaLista"/>
        <w:ind w:left="540"/>
        <w:jc w:val="both"/>
        <w:rPr>
          <w:rFonts w:ascii="Tahoma" w:hAnsi="Tahoma" w:cs="Tahoma"/>
          <w:sz w:val="22"/>
          <w:szCs w:val="22"/>
          <w:lang w:val="pt-BR"/>
        </w:rPr>
      </w:pPr>
    </w:p>
    <w:p w14:paraId="2056162C" w14:textId="77777777" w:rsidR="00DE2486" w:rsidRPr="00DE2486" w:rsidRDefault="00DE2486" w:rsidP="00DE2486">
      <w:pPr>
        <w:pStyle w:val="PargrafodaLista"/>
        <w:spacing w:line="280" w:lineRule="atLeast"/>
        <w:ind w:left="0"/>
        <w:contextualSpacing/>
        <w:jc w:val="both"/>
        <w:rPr>
          <w:rFonts w:ascii="Tahoma" w:hAnsi="Tahoma" w:cs="Tahoma"/>
          <w:sz w:val="22"/>
          <w:szCs w:val="22"/>
          <w:lang w:val="pt-BR"/>
        </w:rPr>
      </w:pPr>
      <w:r w:rsidRPr="00DE2486">
        <w:rPr>
          <w:rFonts w:ascii="Tahoma" w:hAnsi="Tahoma" w:cs="Tahoma"/>
          <w:b/>
          <w:sz w:val="22"/>
          <w:szCs w:val="22"/>
          <w:lang w:val="pt-BR"/>
        </w:rPr>
        <w:t>Risco de Concentração:</w:t>
      </w:r>
      <w:r w:rsidRPr="00DE2486">
        <w:rPr>
          <w:rFonts w:ascii="Tahoma" w:hAnsi="Tahoma" w:cs="Tahoma"/>
          <w:sz w:val="22"/>
          <w:szCs w:val="22"/>
          <w:lang w:val="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219D5F57" w14:textId="77777777" w:rsidR="00DE2486" w:rsidRPr="00DE2486" w:rsidRDefault="00DE2486" w:rsidP="00DE2486">
      <w:pPr>
        <w:spacing w:after="0" w:line="280" w:lineRule="atLeast"/>
        <w:jc w:val="both"/>
        <w:rPr>
          <w:rFonts w:ascii="Tahoma" w:hAnsi="Tahoma" w:cs="Tahoma"/>
          <w:color w:val="000000"/>
        </w:rPr>
      </w:pPr>
    </w:p>
    <w:p w14:paraId="2D5F5FC7" w14:textId="77777777" w:rsidR="00DE2486" w:rsidRPr="00DE2486" w:rsidRDefault="00DE2486" w:rsidP="00DE2486">
      <w:pPr>
        <w:spacing w:after="0" w:line="280" w:lineRule="atLeast"/>
        <w:jc w:val="both"/>
        <w:rPr>
          <w:rFonts w:ascii="Tahoma" w:hAnsi="Tahoma" w:cs="Tahoma"/>
          <w:color w:val="000000"/>
        </w:rPr>
      </w:pPr>
      <w:r w:rsidRPr="00DE2486">
        <w:rPr>
          <w:rFonts w:ascii="Tahoma" w:hAnsi="Tahoma" w:cs="Tahoma"/>
          <w:b/>
          <w:color w:val="000000"/>
        </w:rPr>
        <w:t>Risco de Perdas Patrimoniais:</w:t>
      </w:r>
      <w:r w:rsidRPr="00DE2486">
        <w:rPr>
          <w:rFonts w:ascii="Tahoma" w:hAnsi="Tahoma" w:cs="Tahoma"/>
          <w:color w:val="000000"/>
        </w:rPr>
        <w:t xml:space="preserve"> Este FUNDO e/ou os Fundos Investidos utilizam estratégias, inclusive com derivativos, que podem resultar em significativas perdas patrimoniais para seus cotistas.</w:t>
      </w:r>
    </w:p>
    <w:p w14:paraId="3EEA2099" w14:textId="77777777" w:rsidR="00DE2486" w:rsidRPr="00DE2486" w:rsidRDefault="00DE2486" w:rsidP="00DE2486">
      <w:pPr>
        <w:spacing w:after="0" w:line="280" w:lineRule="atLeast"/>
        <w:jc w:val="both"/>
        <w:rPr>
          <w:rFonts w:ascii="Tahoma" w:hAnsi="Tahoma" w:cs="Tahoma"/>
          <w:color w:val="000000"/>
        </w:rPr>
      </w:pPr>
    </w:p>
    <w:p w14:paraId="36F1561D" w14:textId="77777777" w:rsidR="00DE2486" w:rsidRPr="00DE2486" w:rsidRDefault="00DE2486" w:rsidP="00DE2486">
      <w:pPr>
        <w:pStyle w:val="PargrafodaLista"/>
        <w:spacing w:line="280" w:lineRule="atLeast"/>
        <w:ind w:left="0"/>
        <w:contextualSpacing/>
        <w:jc w:val="both"/>
        <w:rPr>
          <w:rFonts w:ascii="Tahoma" w:hAnsi="Tahoma" w:cs="Tahoma"/>
          <w:color w:val="000000"/>
          <w:sz w:val="22"/>
          <w:szCs w:val="22"/>
          <w:lang w:val="pt-BR"/>
        </w:rPr>
      </w:pPr>
      <w:r w:rsidRPr="00DE2486">
        <w:rPr>
          <w:rFonts w:ascii="Tahoma" w:hAnsi="Tahoma" w:cs="Tahoma"/>
          <w:b/>
          <w:color w:val="000000"/>
          <w:sz w:val="22"/>
          <w:szCs w:val="22"/>
          <w:lang w:val="pt-BR"/>
        </w:rPr>
        <w:t>Risco Decorrente da Precificação dos Ativos</w:t>
      </w:r>
      <w:r w:rsidRPr="00DE2486">
        <w:rPr>
          <w:rFonts w:ascii="Tahoma" w:hAnsi="Tahoma" w:cs="Tahoma"/>
          <w:bCs/>
          <w:color w:val="000000"/>
          <w:sz w:val="22"/>
          <w:szCs w:val="22"/>
          <w:lang w:val="pt-BR"/>
        </w:rPr>
        <w:t xml:space="preserve"> </w:t>
      </w:r>
      <w:r w:rsidRPr="00DE2486">
        <w:rPr>
          <w:rFonts w:ascii="Tahoma" w:hAnsi="Tahoma" w:cs="Tahoma"/>
          <w:b/>
          <w:bCs/>
          <w:color w:val="000000"/>
          <w:sz w:val="22"/>
          <w:szCs w:val="22"/>
          <w:lang w:val="pt-BR"/>
        </w:rPr>
        <w:t>Financeiros</w:t>
      </w:r>
      <w:r w:rsidRPr="00DE2486">
        <w:rPr>
          <w:rFonts w:ascii="Tahoma" w:hAnsi="Tahoma" w:cs="Tahoma"/>
          <w:b/>
          <w:color w:val="000000"/>
          <w:sz w:val="22"/>
          <w:szCs w:val="22"/>
          <w:lang w:val="pt-BR"/>
        </w:rPr>
        <w:t>:</w:t>
      </w:r>
      <w:r w:rsidRPr="00DE2486">
        <w:rPr>
          <w:rFonts w:ascii="Tahoma" w:hAnsi="Tahoma" w:cs="Tahoma"/>
          <w:color w:val="000000"/>
          <w:sz w:val="22"/>
          <w:szCs w:val="22"/>
          <w:lang w:val="pt-BR"/>
        </w:rPr>
        <w:t xml:space="preserve"> A precificação dos ativos</w:t>
      </w:r>
      <w:r w:rsidRPr="00DE2486">
        <w:rPr>
          <w:rFonts w:ascii="Tahoma" w:hAnsi="Tahoma" w:cs="Tahoma"/>
          <w:bCs/>
          <w:color w:val="000000"/>
          <w:sz w:val="22"/>
          <w:szCs w:val="22"/>
          <w:lang w:val="pt-BR"/>
        </w:rPr>
        <w:t xml:space="preserve"> financeiros</w:t>
      </w:r>
      <w:r w:rsidRPr="00DE2486">
        <w:rPr>
          <w:rFonts w:ascii="Tahoma" w:hAnsi="Tahoma" w:cs="Tahoma"/>
          <w:color w:val="000000"/>
          <w:sz w:val="22"/>
          <w:szCs w:val="22"/>
          <w:lang w:val="pt-BR"/>
        </w:rPr>
        <w:t xml:space="preserve"> integrantes da CARTEIRA do FUNDO </w:t>
      </w:r>
      <w:r w:rsidRPr="00DE2486">
        <w:rPr>
          <w:rFonts w:ascii="Tahoma" w:hAnsi="Tahoma" w:cs="Tahoma"/>
          <w:sz w:val="22"/>
          <w:szCs w:val="22"/>
          <w:lang w:val="pt-BR"/>
        </w:rPr>
        <w:t>e/ou dos Fundos Investidos</w:t>
      </w:r>
      <w:r w:rsidRPr="00DE2486">
        <w:rPr>
          <w:rFonts w:ascii="Tahoma" w:hAnsi="Tahoma" w:cs="Tahoma"/>
          <w:color w:val="000000"/>
          <w:sz w:val="22"/>
          <w:szCs w:val="22"/>
          <w:lang w:val="pt-BR"/>
        </w:rPr>
        <w:t xml:space="preserve"> é realizada de acordo com os critérios e procedimentos estabelecidos na regulamentação em vigor. Referidos critérios, tais como os de marcação a mercado, poderão ocasionar variações nos valores dos ativos</w:t>
      </w:r>
      <w:r w:rsidRPr="00DE2486">
        <w:rPr>
          <w:rFonts w:ascii="Tahoma" w:hAnsi="Tahoma" w:cs="Tahoma"/>
          <w:bCs/>
          <w:color w:val="000000"/>
          <w:sz w:val="22"/>
          <w:szCs w:val="22"/>
          <w:lang w:val="pt-BR"/>
        </w:rPr>
        <w:t xml:space="preserve"> financeiros</w:t>
      </w:r>
      <w:r w:rsidRPr="00DE2486">
        <w:rPr>
          <w:rFonts w:ascii="Tahoma" w:hAnsi="Tahoma" w:cs="Tahoma"/>
          <w:color w:val="000000"/>
          <w:sz w:val="22"/>
          <w:szCs w:val="22"/>
          <w:lang w:val="pt-BR"/>
        </w:rPr>
        <w:t xml:space="preserve"> integrantes da CARTEIRA do FUNDO </w:t>
      </w:r>
      <w:r w:rsidRPr="00DE2486">
        <w:rPr>
          <w:rFonts w:ascii="Tahoma" w:hAnsi="Tahoma" w:cs="Tahoma"/>
          <w:sz w:val="22"/>
          <w:szCs w:val="22"/>
          <w:lang w:val="pt-BR"/>
        </w:rPr>
        <w:t>e/ou dos Fundos Investidos</w:t>
      </w:r>
      <w:r w:rsidRPr="00DE2486">
        <w:rPr>
          <w:rFonts w:ascii="Tahoma" w:hAnsi="Tahoma" w:cs="Tahoma"/>
          <w:color w:val="000000"/>
          <w:sz w:val="22"/>
          <w:szCs w:val="22"/>
          <w:lang w:val="pt-BR"/>
        </w:rPr>
        <w:t>, resultando em aumento ou redução no valor das cotas do FUNDO.</w:t>
      </w:r>
    </w:p>
    <w:p w14:paraId="638169C7" w14:textId="77777777" w:rsidR="00DE2486" w:rsidRPr="00DE2486" w:rsidRDefault="00DE2486" w:rsidP="00DE2486">
      <w:pPr>
        <w:spacing w:after="0" w:line="280" w:lineRule="atLeast"/>
        <w:jc w:val="both"/>
        <w:rPr>
          <w:rFonts w:ascii="Tahoma" w:hAnsi="Tahoma" w:cs="Tahoma"/>
          <w:color w:val="000000"/>
        </w:rPr>
      </w:pPr>
    </w:p>
    <w:p w14:paraId="76C3EFED" w14:textId="77777777" w:rsidR="00DE2486" w:rsidRPr="00DE2486" w:rsidRDefault="00DE2486" w:rsidP="00DE2486">
      <w:pPr>
        <w:pStyle w:val="PargrafodaLista"/>
        <w:ind w:left="0"/>
        <w:contextualSpacing/>
        <w:jc w:val="both"/>
        <w:rPr>
          <w:rFonts w:ascii="Tahoma" w:hAnsi="Tahoma" w:cs="Tahoma"/>
          <w:sz w:val="22"/>
          <w:szCs w:val="22"/>
          <w:lang w:val="pt-BR"/>
        </w:rPr>
      </w:pPr>
      <w:r w:rsidRPr="00DE2486">
        <w:rPr>
          <w:rFonts w:ascii="Tahoma" w:hAnsi="Tahoma" w:cs="Tahoma"/>
          <w:b/>
          <w:sz w:val="22"/>
          <w:szCs w:val="22"/>
          <w:lang w:val="pt-BR"/>
        </w:rPr>
        <w:t>Risco de Crédito:</w:t>
      </w:r>
      <w:r w:rsidRPr="00DE2486">
        <w:rPr>
          <w:rFonts w:ascii="Tahoma" w:hAnsi="Tahoma" w:cs="Tahoma"/>
          <w:sz w:val="22"/>
          <w:szCs w:val="22"/>
          <w:lang w:val="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55D841DF" w14:textId="77777777" w:rsidR="00DE2486" w:rsidRPr="00DE2486" w:rsidRDefault="00DE2486" w:rsidP="00DE2486">
      <w:pPr>
        <w:spacing w:after="0" w:line="280" w:lineRule="atLeast"/>
        <w:jc w:val="both"/>
        <w:rPr>
          <w:rFonts w:ascii="Tahoma" w:hAnsi="Tahoma" w:cs="Tahoma"/>
          <w:b/>
          <w:bCs/>
          <w:color w:val="000000"/>
        </w:rPr>
      </w:pPr>
    </w:p>
    <w:p w14:paraId="6463DBB4" w14:textId="77777777" w:rsidR="00DE2486" w:rsidRPr="00DE2486" w:rsidRDefault="00DE2486" w:rsidP="00DE2486">
      <w:pPr>
        <w:spacing w:after="0" w:line="280" w:lineRule="atLeast"/>
        <w:jc w:val="both"/>
        <w:rPr>
          <w:rFonts w:ascii="Tahoma" w:hAnsi="Tahoma" w:cs="Tahoma"/>
          <w:bCs/>
          <w:color w:val="000000"/>
        </w:rPr>
      </w:pPr>
      <w:r w:rsidRPr="00DE2486">
        <w:rPr>
          <w:rFonts w:ascii="Tahoma" w:hAnsi="Tahoma" w:cs="Tahoma"/>
          <w:b/>
          <w:bCs/>
          <w:color w:val="000000"/>
        </w:rPr>
        <w:t>Risco de Concentração em Créditos Privados:</w:t>
      </w:r>
      <w:r w:rsidRPr="00DE2486">
        <w:rPr>
          <w:rFonts w:ascii="Tahoma" w:hAnsi="Tahoma" w:cs="Tahoma"/>
          <w:bCs/>
          <w:color w:val="000000"/>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w:t>
      </w:r>
    </w:p>
    <w:p w14:paraId="65F08478" w14:textId="77777777" w:rsidR="00DE2486" w:rsidRPr="00DE2486" w:rsidRDefault="00DE2486" w:rsidP="00DE2486">
      <w:pPr>
        <w:spacing w:after="0" w:line="280" w:lineRule="atLeast"/>
        <w:jc w:val="both"/>
        <w:rPr>
          <w:rFonts w:ascii="Tahoma" w:hAnsi="Tahoma" w:cs="Tahoma"/>
          <w:bCs/>
          <w:color w:val="000000"/>
        </w:rPr>
      </w:pPr>
    </w:p>
    <w:p w14:paraId="5716E801" w14:textId="77777777" w:rsidR="00DE2486" w:rsidRPr="00DE2486" w:rsidRDefault="00DE2486" w:rsidP="00DE2486">
      <w:pPr>
        <w:spacing w:after="0" w:line="280" w:lineRule="atLeast"/>
        <w:jc w:val="both"/>
        <w:rPr>
          <w:rFonts w:ascii="Tahoma" w:hAnsi="Tahoma" w:cs="Tahoma"/>
          <w:b/>
          <w:bCs/>
          <w:color w:val="000000"/>
        </w:rPr>
      </w:pPr>
      <w:r w:rsidRPr="00DE2486">
        <w:rPr>
          <w:rFonts w:ascii="Tahoma" w:hAnsi="Tahoma" w:cs="Tahoma"/>
          <w:b/>
          <w:bCs/>
          <w:color w:val="000000"/>
        </w:rPr>
        <w:lastRenderedPageBreak/>
        <w:t xml:space="preserve">Risco Regulatório: </w:t>
      </w:r>
      <w:r w:rsidRPr="00DE2486">
        <w:rPr>
          <w:rFonts w:ascii="Tahoma" w:hAnsi="Tahoma" w:cs="Tahoma"/>
          <w:bCs/>
          <w:color w:val="000000"/>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24CF443C" w14:textId="77777777" w:rsidR="00DE2486" w:rsidRPr="00DE2486" w:rsidRDefault="00DE2486" w:rsidP="00DE2486">
      <w:pPr>
        <w:spacing w:after="0"/>
        <w:jc w:val="both"/>
        <w:rPr>
          <w:rFonts w:ascii="Tahoma" w:hAnsi="Tahoma" w:cs="Tahoma"/>
          <w:b/>
          <w:bCs/>
          <w:color w:val="000000"/>
        </w:rPr>
      </w:pPr>
    </w:p>
    <w:p w14:paraId="3E796B6B" w14:textId="77777777" w:rsidR="00DE2486" w:rsidRPr="00DE2486" w:rsidRDefault="00DE2486" w:rsidP="00DE2486">
      <w:pPr>
        <w:spacing w:after="0"/>
        <w:jc w:val="both"/>
        <w:rPr>
          <w:rFonts w:ascii="Tahoma" w:hAnsi="Tahoma" w:cs="Tahoma"/>
        </w:rPr>
      </w:pPr>
      <w:r w:rsidRPr="00DE2486">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531AB57F" w14:textId="77777777" w:rsidR="00DE2486" w:rsidRPr="00DE2486" w:rsidRDefault="00DE2486" w:rsidP="00DE2486">
      <w:pPr>
        <w:spacing w:after="0"/>
        <w:jc w:val="both"/>
        <w:rPr>
          <w:rFonts w:ascii="Tahoma" w:hAnsi="Tahoma" w:cs="Tahoma"/>
        </w:rPr>
      </w:pPr>
    </w:p>
    <w:p w14:paraId="42B1A9DF" w14:textId="77777777" w:rsidR="00DE2486" w:rsidRPr="00DE2486" w:rsidRDefault="00DE2486" w:rsidP="00DE2486">
      <w:pPr>
        <w:spacing w:after="0"/>
        <w:jc w:val="both"/>
        <w:rPr>
          <w:rFonts w:ascii="Tahoma" w:hAnsi="Tahoma" w:cs="Tahoma"/>
        </w:rPr>
      </w:pPr>
      <w:r w:rsidRPr="00DE2486">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34CE9698" w14:textId="77777777" w:rsidR="00DE2486" w:rsidRPr="00DE2486" w:rsidRDefault="00DE2486" w:rsidP="00DE2486">
      <w:pPr>
        <w:spacing w:after="0"/>
        <w:jc w:val="both"/>
        <w:rPr>
          <w:rFonts w:ascii="Tahoma" w:hAnsi="Tahoma" w:cs="Tahoma"/>
        </w:rPr>
      </w:pPr>
    </w:p>
    <w:p w14:paraId="7474231A" w14:textId="77777777" w:rsidR="00DE2486" w:rsidRPr="00DE2486" w:rsidRDefault="00DE2486" w:rsidP="00DE2486">
      <w:pPr>
        <w:spacing w:after="0"/>
        <w:jc w:val="both"/>
        <w:rPr>
          <w:rFonts w:ascii="Tahoma" w:hAnsi="Tahoma" w:cs="Tahoma"/>
        </w:rPr>
      </w:pPr>
      <w:r w:rsidRPr="00DE2486">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26738D24" w14:textId="77777777" w:rsidR="00DE2486" w:rsidRPr="00DE2486" w:rsidRDefault="00DE2486" w:rsidP="00DE2486">
      <w:pPr>
        <w:spacing w:after="0" w:line="280" w:lineRule="atLeast"/>
        <w:jc w:val="both"/>
        <w:rPr>
          <w:rFonts w:ascii="Tahoma" w:hAnsi="Tahoma" w:cs="Tahoma"/>
        </w:rPr>
      </w:pPr>
    </w:p>
    <w:p w14:paraId="39FA58BF"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CLÁUSULA QUINTA – DA ADMINISTRAÇÃO E DOS PRESTADORES DE SERVIÇOS</w:t>
      </w:r>
    </w:p>
    <w:p w14:paraId="542B79D7" w14:textId="77777777" w:rsidR="00DE2486" w:rsidRPr="00DE2486" w:rsidRDefault="00DE2486" w:rsidP="00DE2486">
      <w:pPr>
        <w:spacing w:after="0" w:line="280" w:lineRule="atLeast"/>
        <w:jc w:val="both"/>
        <w:rPr>
          <w:rFonts w:ascii="Tahoma" w:hAnsi="Tahoma" w:cs="Tahoma"/>
        </w:rPr>
      </w:pPr>
    </w:p>
    <w:p w14:paraId="22EE20DF" w14:textId="77777777" w:rsidR="00DE2486" w:rsidRPr="00DE2486" w:rsidRDefault="00DE2486" w:rsidP="00DE2486">
      <w:pPr>
        <w:spacing w:after="0"/>
        <w:jc w:val="both"/>
        <w:rPr>
          <w:rFonts w:ascii="Tahoma" w:hAnsi="Tahoma" w:cs="Tahoma"/>
        </w:rPr>
      </w:pPr>
      <w:r w:rsidRPr="00DE2486">
        <w:rPr>
          <w:rFonts w:ascii="Tahoma" w:hAnsi="Tahoma" w:cs="Tahoma"/>
        </w:rPr>
        <w:t xml:space="preserve">5.1. O FUNDO é administrado pela </w:t>
      </w:r>
      <w:r w:rsidRPr="00DE2486">
        <w:rPr>
          <w:rFonts w:ascii="Tahoma" w:hAnsi="Tahoma" w:cs="Tahoma"/>
          <w:b/>
          <w:bCs/>
        </w:rPr>
        <w:t>SANTANDER DISTRIBUIDORA DE TÍTULOS E VALORES MOBILIÁRIOS S.A.</w:t>
      </w:r>
      <w:r w:rsidRPr="00DE2486">
        <w:rPr>
          <w:rFonts w:ascii="Tahoma" w:hAnsi="Tahoma" w:cs="Tahoma"/>
        </w:rPr>
        <w:t>, com sede na Rua João Brícola, 24 – 16º e 17º andares – Centro Histórico, São Paulo/SP, inscrita no CNPJ sob nº 03.502.968/0001-04 e credenciada na CVM para a administração de carteiras conforme Ato Declaratório CVM nº 20006, de 28/07/2022 (“ADMINISTRADOR”).</w:t>
      </w:r>
    </w:p>
    <w:p w14:paraId="246FD6D7" w14:textId="77777777" w:rsidR="00DE2486" w:rsidRPr="00DE2486" w:rsidRDefault="00DE2486" w:rsidP="00DE2486">
      <w:pPr>
        <w:spacing w:after="0" w:line="280" w:lineRule="atLeast"/>
        <w:jc w:val="both"/>
        <w:rPr>
          <w:rFonts w:ascii="Tahoma" w:hAnsi="Tahoma" w:cs="Tahoma"/>
        </w:rPr>
      </w:pPr>
    </w:p>
    <w:p w14:paraId="7191C90C"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5.2. O FUNDO é gerido pela </w:t>
      </w:r>
      <w:r w:rsidRPr="00DE2486">
        <w:rPr>
          <w:rFonts w:ascii="Tahoma" w:hAnsi="Tahoma" w:cs="Tahoma"/>
          <w:b/>
        </w:rPr>
        <w:t>SANTANDER BRASIL GESTÃO DE RECURSOS LTDA.</w:t>
      </w:r>
      <w:r w:rsidRPr="00DE2486">
        <w:rPr>
          <w:rFonts w:ascii="Tahoma" w:hAnsi="Tahoma" w:cs="Tahoma"/>
        </w:rPr>
        <w:t>, com sede na Avenida Presidente Juscelino Kubitscheck, 2.041 e 2.235 – Bloco A, 18º Andar, CEP: 04543-011 – Vila Olímpia – São Paulo – SP, inscrita no CNPJ sob nº 10.231.177/0001-52 e credenciada na CVM para a administração de carteiras conforme Ato Declaratório CVM nº 10.161, de 11/12/2008 (“GESTOR”).</w:t>
      </w:r>
    </w:p>
    <w:p w14:paraId="00DAD47D" w14:textId="77777777" w:rsidR="00DE2486" w:rsidRPr="00DE2486" w:rsidRDefault="00DE2486" w:rsidP="00DE2486">
      <w:pPr>
        <w:spacing w:after="0" w:line="280" w:lineRule="atLeast"/>
        <w:jc w:val="both"/>
        <w:rPr>
          <w:rFonts w:ascii="Tahoma" w:hAnsi="Tahoma" w:cs="Tahoma"/>
        </w:rPr>
      </w:pPr>
    </w:p>
    <w:p w14:paraId="66166E1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5.3. Os serviços de custódia, tesouraria, controladoria e processamento dos Ativos Financeiros integrantes da Carteira do FUNDO serão realizados pela </w:t>
      </w:r>
      <w:r w:rsidRPr="00DE2486">
        <w:rPr>
          <w:rFonts w:ascii="Tahoma" w:hAnsi="Tahoma" w:cs="Tahoma"/>
          <w:b/>
        </w:rPr>
        <w:t>S3 CACEIS BRASIL DISTRIBUIDORA DE TÍTULOS E VALORES MOBILIÁRIOS S.A.</w:t>
      </w:r>
      <w:r w:rsidRPr="00DE2486">
        <w:rPr>
          <w:rFonts w:ascii="Tahoma" w:hAnsi="Tahoma" w:cs="Tahoma"/>
        </w:rPr>
        <w:t>, localizado na Rua Amador Bueno, nº 474, 1º andar, Bloco D, Santo Amaro, São Paulo/SP, inscrita no CNPJ nº 62.318.407/0001-19, e credenciado na CVM para exercer a custódia de valores mobiliários conforme Ato Declaratório CVM nº 12.676, de 07/11/2012 (“CUSTODIANTE”).</w:t>
      </w:r>
    </w:p>
    <w:p w14:paraId="058A486B" w14:textId="77777777" w:rsidR="00DE2486" w:rsidRPr="00DE2486" w:rsidRDefault="00DE2486" w:rsidP="00DE2486">
      <w:pPr>
        <w:spacing w:after="0" w:line="280" w:lineRule="atLeast"/>
        <w:jc w:val="both"/>
        <w:rPr>
          <w:rFonts w:ascii="Tahoma" w:hAnsi="Tahoma" w:cs="Tahoma"/>
        </w:rPr>
      </w:pPr>
    </w:p>
    <w:p w14:paraId="2508EA91"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5.4. Os serviços de distribuição das cotas do FUNDO e de controladoria e processamento do passivo do FUNDO (escrituração de cotas) serão prestados pelo ADMINISTRADOR.</w:t>
      </w:r>
    </w:p>
    <w:p w14:paraId="621B9145"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5.5. O ADMINISTRADOR poderá contratar terceiros, em nome do FUNDO, para prestação de demais serviços, tais como consultoria e classificação de risco, que estarão devidamente qualificados no Formulário. </w:t>
      </w:r>
    </w:p>
    <w:p w14:paraId="56A0E0AD" w14:textId="77777777" w:rsidR="00DE2486" w:rsidRPr="00DE2486" w:rsidRDefault="00DE2486" w:rsidP="00DE2486">
      <w:pPr>
        <w:spacing w:after="0" w:line="280" w:lineRule="atLeast"/>
        <w:jc w:val="both"/>
        <w:rPr>
          <w:rFonts w:ascii="Tahoma" w:hAnsi="Tahoma" w:cs="Tahoma"/>
        </w:rPr>
      </w:pPr>
    </w:p>
    <w:p w14:paraId="74D83A2A" w14:textId="77777777" w:rsidR="00DE2486" w:rsidRPr="00DE2486" w:rsidRDefault="00DE2486" w:rsidP="00DE2486">
      <w:pPr>
        <w:spacing w:after="0" w:line="280" w:lineRule="atLeast"/>
        <w:jc w:val="both"/>
        <w:rPr>
          <w:rFonts w:ascii="Tahoma" w:hAnsi="Tahoma" w:cs="Tahoma"/>
        </w:rPr>
      </w:pPr>
    </w:p>
    <w:p w14:paraId="263C5DFD"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lastRenderedPageBreak/>
        <w:t>CLÁUSULA SEXTA – DA REMUNERAÇÃO E DEMAIS ENCARGOS</w:t>
      </w:r>
    </w:p>
    <w:p w14:paraId="74EE68C8" w14:textId="77777777" w:rsidR="00DE2486" w:rsidRPr="00DE2486" w:rsidRDefault="00DE2486" w:rsidP="00DE2486">
      <w:pPr>
        <w:spacing w:after="0" w:line="280" w:lineRule="atLeast"/>
        <w:jc w:val="both"/>
        <w:rPr>
          <w:rFonts w:ascii="Tahoma" w:hAnsi="Tahoma" w:cs="Tahoma"/>
        </w:rPr>
      </w:pPr>
    </w:p>
    <w:p w14:paraId="7936B17F"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42444441" w14:textId="77777777" w:rsidR="00DE2486" w:rsidRPr="00DE2486" w:rsidRDefault="00DE2486" w:rsidP="00DE2486">
      <w:pPr>
        <w:spacing w:after="0" w:line="280" w:lineRule="atLeast"/>
        <w:jc w:val="both"/>
        <w:rPr>
          <w:rFonts w:ascii="Tahoma" w:hAnsi="Tahoma" w:cs="Tahoma"/>
        </w:rPr>
      </w:pPr>
    </w:p>
    <w:p w14:paraId="4FFB59D6" w14:textId="77777777" w:rsidR="00DE2486" w:rsidRPr="00DE2486" w:rsidRDefault="00DE2486" w:rsidP="00DE2486">
      <w:pPr>
        <w:spacing w:after="0" w:line="280" w:lineRule="atLeast"/>
        <w:jc w:val="both"/>
        <w:rPr>
          <w:rFonts w:ascii="Tahoma" w:hAnsi="Tahoma" w:cs="Tahoma"/>
        </w:rPr>
      </w:pPr>
      <w:r w:rsidRPr="00DE2486">
        <w:rPr>
          <w:rFonts w:ascii="Tahoma" w:hAnsi="Tahoma" w:cs="Tahoma"/>
          <w:b/>
        </w:rPr>
        <w:t>Taxa de Administração Mínima</w:t>
      </w:r>
      <w:r w:rsidRPr="00DE2486">
        <w:rPr>
          <w:rFonts w:ascii="Tahoma" w:hAnsi="Tahoma" w:cs="Tahoma"/>
        </w:rPr>
        <w:t>: 2,00% ao ano sobre o valor do patrimônio líquido do FUNDO.</w:t>
      </w:r>
    </w:p>
    <w:p w14:paraId="78B259FB" w14:textId="77777777" w:rsidR="00DE2486" w:rsidRPr="00DE2486" w:rsidRDefault="00DE2486" w:rsidP="00DE2486">
      <w:pPr>
        <w:spacing w:after="0" w:line="280" w:lineRule="atLeast"/>
        <w:jc w:val="both"/>
        <w:rPr>
          <w:rFonts w:ascii="Tahoma" w:hAnsi="Tahoma" w:cs="Tahoma"/>
        </w:rPr>
      </w:pPr>
    </w:p>
    <w:p w14:paraId="6D32D9F5" w14:textId="77777777" w:rsidR="00DE2486" w:rsidRPr="00DE2486" w:rsidRDefault="00DE2486" w:rsidP="00DE2486">
      <w:pPr>
        <w:spacing w:after="0" w:line="280" w:lineRule="atLeast"/>
        <w:jc w:val="both"/>
        <w:rPr>
          <w:rFonts w:ascii="Tahoma" w:hAnsi="Tahoma" w:cs="Tahoma"/>
        </w:rPr>
      </w:pPr>
      <w:r w:rsidRPr="00DE2486">
        <w:rPr>
          <w:rFonts w:ascii="Tahoma" w:hAnsi="Tahoma" w:cs="Tahoma"/>
          <w:b/>
          <w:bCs/>
        </w:rPr>
        <w:t>Taxa de Administração Máxima</w:t>
      </w:r>
      <w:r w:rsidRPr="00DE2486">
        <w:rPr>
          <w:rFonts w:ascii="Tahoma" w:hAnsi="Tahoma" w:cs="Tahoma"/>
        </w:rPr>
        <w:t xml:space="preserve">: O FUNDO poderá aplicar seus recursos em fundos de investimento que cobram taxa de administração. Nesse caso, a remuneração indicada acima </w:t>
      </w:r>
      <w:r w:rsidRPr="00DE2486">
        <w:rPr>
          <w:rFonts w:ascii="Tahoma" w:eastAsia="Arial Unicode MS" w:hAnsi="Tahoma" w:cs="Tahoma"/>
        </w:rPr>
        <w:t xml:space="preserve">compreende as taxas de administração dos fundos de investimento nos quais o FUNDO aplica, </w:t>
      </w:r>
      <w:r w:rsidRPr="00DE2486">
        <w:rPr>
          <w:rFonts w:ascii="Tahoma" w:hAnsi="Tahoma" w:cs="Tahoma"/>
        </w:rPr>
        <w:t xml:space="preserve">observado o disposto no item 6.1.1. abaixo.  </w:t>
      </w:r>
    </w:p>
    <w:p w14:paraId="52E07BDF" w14:textId="77777777" w:rsidR="00DE2486" w:rsidRPr="00DE2486" w:rsidRDefault="00DE2486" w:rsidP="00DE2486">
      <w:pPr>
        <w:spacing w:after="0" w:line="280" w:lineRule="atLeast"/>
        <w:jc w:val="both"/>
        <w:rPr>
          <w:rFonts w:ascii="Tahoma" w:hAnsi="Tahoma" w:cs="Tahoma"/>
        </w:rPr>
      </w:pPr>
    </w:p>
    <w:p w14:paraId="08FCFB33"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6.1.1. Na hipótese do FUNDO aplicar nos fundos indicados abaixo, a taxa de administração de referidos fundos de investimento não será considerada para os efeitos de Taxa de Administração Máxima acima mencionada: </w:t>
      </w:r>
    </w:p>
    <w:p w14:paraId="6C3D7731" w14:textId="77777777" w:rsidR="00DE2486" w:rsidRPr="00DE2486" w:rsidRDefault="00DE2486" w:rsidP="00DE2486">
      <w:pPr>
        <w:spacing w:after="0" w:line="280" w:lineRule="atLeast"/>
        <w:jc w:val="both"/>
        <w:rPr>
          <w:rFonts w:ascii="Tahoma" w:hAnsi="Tahoma" w:cs="Tahoma"/>
        </w:rPr>
      </w:pPr>
    </w:p>
    <w:p w14:paraId="0D127E54"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I – </w:t>
      </w:r>
      <w:proofErr w:type="gramStart"/>
      <w:r w:rsidRPr="00DE2486">
        <w:rPr>
          <w:rFonts w:ascii="Tahoma" w:hAnsi="Tahoma" w:cs="Tahoma"/>
        </w:rPr>
        <w:t>fundos</w:t>
      </w:r>
      <w:proofErr w:type="gramEnd"/>
      <w:r w:rsidRPr="00DE2486">
        <w:rPr>
          <w:rFonts w:ascii="Tahoma" w:hAnsi="Tahoma" w:cs="Tahoma"/>
        </w:rPr>
        <w:t xml:space="preserve"> de índice e fundos de investimento imobiliário cujas cotas sejam admitidas à negociação em mercados organizados; ou</w:t>
      </w:r>
    </w:p>
    <w:p w14:paraId="198502CF" w14:textId="77777777" w:rsidR="00DE2486" w:rsidRPr="00DE2486" w:rsidRDefault="00DE2486" w:rsidP="00DE2486">
      <w:pPr>
        <w:spacing w:after="0" w:line="280" w:lineRule="atLeast"/>
        <w:jc w:val="both"/>
        <w:rPr>
          <w:rFonts w:ascii="Tahoma" w:hAnsi="Tahoma" w:cs="Tahoma"/>
        </w:rPr>
      </w:pPr>
    </w:p>
    <w:p w14:paraId="1EC96BB5"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II – </w:t>
      </w:r>
      <w:proofErr w:type="gramStart"/>
      <w:r w:rsidRPr="00DE2486">
        <w:rPr>
          <w:rFonts w:ascii="Tahoma" w:hAnsi="Tahoma" w:cs="Tahoma"/>
        </w:rPr>
        <w:t>fundos</w:t>
      </w:r>
      <w:proofErr w:type="gramEnd"/>
      <w:r w:rsidRPr="00DE2486">
        <w:rPr>
          <w:rFonts w:ascii="Tahoma" w:hAnsi="Tahoma" w:cs="Tahoma"/>
        </w:rPr>
        <w:t xml:space="preserve"> de investimento geridos por terceiros que não o GESTOR.</w:t>
      </w:r>
    </w:p>
    <w:p w14:paraId="3035D48C" w14:textId="77777777" w:rsidR="00DE2486" w:rsidRPr="00DE2486" w:rsidRDefault="00DE2486" w:rsidP="00DE2486">
      <w:pPr>
        <w:spacing w:after="0" w:line="280" w:lineRule="atLeast"/>
        <w:jc w:val="both"/>
        <w:rPr>
          <w:rFonts w:ascii="Tahoma" w:hAnsi="Tahoma" w:cs="Tahoma"/>
        </w:rPr>
      </w:pPr>
    </w:p>
    <w:p w14:paraId="1C27D7E0"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6.1.2.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3F917E1F" w14:textId="77777777" w:rsidR="00DE2486" w:rsidRPr="00DE2486" w:rsidRDefault="00DE2486" w:rsidP="00DE2486">
      <w:pPr>
        <w:spacing w:after="0" w:line="280" w:lineRule="atLeast"/>
        <w:jc w:val="both"/>
        <w:rPr>
          <w:rFonts w:ascii="Tahoma" w:hAnsi="Tahoma" w:cs="Tahoma"/>
        </w:rPr>
      </w:pPr>
    </w:p>
    <w:p w14:paraId="4BA04B9E"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6.1.3. O FUNDO poderá também aplicar seus recursos em fundos de investimento que cobrem taxa de performance, ingresso e saída.</w:t>
      </w:r>
    </w:p>
    <w:p w14:paraId="5F81DCDD" w14:textId="77777777" w:rsidR="00DE2486" w:rsidRPr="00DE2486" w:rsidRDefault="00DE2486" w:rsidP="00DE2486">
      <w:pPr>
        <w:spacing w:after="0" w:line="280" w:lineRule="atLeast"/>
        <w:jc w:val="both"/>
        <w:rPr>
          <w:rFonts w:ascii="Tahoma" w:hAnsi="Tahoma" w:cs="Tahoma"/>
        </w:rPr>
      </w:pPr>
    </w:p>
    <w:p w14:paraId="1402FCC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6.2. Não haverá cobrança de taxa de performance e de taxa de custódia no FUNDO.</w:t>
      </w:r>
    </w:p>
    <w:p w14:paraId="51A826BF" w14:textId="77777777" w:rsidR="00DE2486" w:rsidRPr="00DE2486" w:rsidRDefault="00DE2486" w:rsidP="00DE2486">
      <w:pPr>
        <w:spacing w:after="0" w:line="280" w:lineRule="atLeast"/>
        <w:jc w:val="both"/>
        <w:rPr>
          <w:rFonts w:ascii="Tahoma" w:hAnsi="Tahoma" w:cs="Tahoma"/>
        </w:rPr>
      </w:pPr>
    </w:p>
    <w:p w14:paraId="3AE3600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6.3. Não será cobrada dos </w:t>
      </w:r>
      <w:proofErr w:type="gramStart"/>
      <w:r w:rsidRPr="00DE2486">
        <w:rPr>
          <w:rFonts w:ascii="Tahoma" w:hAnsi="Tahoma" w:cs="Tahoma"/>
        </w:rPr>
        <w:t>Cotistas taxa</w:t>
      </w:r>
      <w:proofErr w:type="gramEnd"/>
      <w:r w:rsidRPr="00DE2486">
        <w:rPr>
          <w:rFonts w:ascii="Tahoma" w:hAnsi="Tahoma" w:cs="Tahoma"/>
        </w:rPr>
        <w:t xml:space="preserve"> de ingresso e de saída quando da realização de aplicação e resgate no FUNDO, respectivamente.</w:t>
      </w:r>
    </w:p>
    <w:p w14:paraId="3FE7C2F0" w14:textId="77777777" w:rsidR="00DE2486" w:rsidRPr="00DE2486" w:rsidRDefault="00DE2486" w:rsidP="00DE2486">
      <w:pPr>
        <w:spacing w:after="0" w:line="280" w:lineRule="atLeast"/>
        <w:jc w:val="both"/>
        <w:rPr>
          <w:rFonts w:ascii="Tahoma" w:hAnsi="Tahoma" w:cs="Tahoma"/>
        </w:rPr>
      </w:pPr>
    </w:p>
    <w:p w14:paraId="392E3539"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6.4.</w:t>
      </w:r>
      <w:r w:rsidRPr="00DE2486">
        <w:rPr>
          <w:rFonts w:ascii="Tahoma" w:hAnsi="Tahoma" w:cs="Tahoma"/>
        </w:rPr>
        <w:tab/>
        <w:t>Além das Taxas de Administração e da Taxa de Performance, se houver, constituirão encargos que poderão ser debitados diretamente do FUNDO as seguintes despesas:</w:t>
      </w:r>
    </w:p>
    <w:p w14:paraId="3CBCA2D9" w14:textId="77777777" w:rsidR="00DE2486" w:rsidRPr="00DE2486" w:rsidRDefault="00DE2486" w:rsidP="00DE2486">
      <w:pPr>
        <w:spacing w:after="0" w:line="280" w:lineRule="atLeast"/>
        <w:jc w:val="both"/>
        <w:rPr>
          <w:rFonts w:ascii="Tahoma" w:hAnsi="Tahoma" w:cs="Tahoma"/>
        </w:rPr>
      </w:pPr>
    </w:p>
    <w:p w14:paraId="2BC04230"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 xml:space="preserve">(i) taxas, impostos ou contribuições federais, estaduais, municipais ou autárquicas, que recaiam ou venham a recair sobre os bens, direitos e obrigações do FUNDO; </w:t>
      </w:r>
    </w:p>
    <w:p w14:paraId="09B7FFBC" w14:textId="77777777" w:rsidR="00DE2486" w:rsidRPr="00DE2486" w:rsidRDefault="00DE2486" w:rsidP="00DE2486">
      <w:pPr>
        <w:pStyle w:val="NormalWeb"/>
        <w:spacing w:before="0" w:after="0" w:line="280" w:lineRule="atLeast"/>
        <w:jc w:val="both"/>
        <w:rPr>
          <w:rFonts w:ascii="Tahoma" w:hAnsi="Tahoma" w:cs="Tahoma"/>
          <w:sz w:val="22"/>
          <w:szCs w:val="22"/>
          <w:highlight w:val="yellow"/>
        </w:rPr>
      </w:pPr>
    </w:p>
    <w:p w14:paraId="72DA9008"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 xml:space="preserve">(ii) despesas com o registro de documentos em cartório, impressão, expedição e publicação de relatórios e informações periódicas previstas na regulamentação em vigor; </w:t>
      </w:r>
    </w:p>
    <w:p w14:paraId="45D480B6" w14:textId="77777777" w:rsidR="00DE2486" w:rsidRPr="00DE2486" w:rsidRDefault="00DE2486" w:rsidP="00DE2486">
      <w:pPr>
        <w:pStyle w:val="NormalWeb"/>
        <w:spacing w:before="0" w:after="0" w:line="280" w:lineRule="atLeast"/>
        <w:jc w:val="both"/>
        <w:rPr>
          <w:rFonts w:ascii="Tahoma" w:hAnsi="Tahoma" w:cs="Tahoma"/>
          <w:sz w:val="22"/>
          <w:szCs w:val="22"/>
          <w:highlight w:val="yellow"/>
        </w:rPr>
      </w:pPr>
    </w:p>
    <w:p w14:paraId="045A9F10"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 xml:space="preserve">(iii) despesas com correspondência de interesse do FUNDO, inclusive comunicações aos Cotistas; </w:t>
      </w:r>
    </w:p>
    <w:p w14:paraId="2394CD3B" w14:textId="77777777" w:rsidR="00DE2486" w:rsidRPr="00DE2486" w:rsidRDefault="00DE2486" w:rsidP="00DE2486">
      <w:pPr>
        <w:pStyle w:val="NormalWeb"/>
        <w:spacing w:before="0" w:after="0" w:line="280" w:lineRule="atLeast"/>
        <w:jc w:val="both"/>
        <w:rPr>
          <w:rFonts w:ascii="Tahoma" w:hAnsi="Tahoma" w:cs="Tahoma"/>
          <w:sz w:val="22"/>
          <w:szCs w:val="22"/>
          <w:highlight w:val="yellow"/>
        </w:rPr>
      </w:pPr>
    </w:p>
    <w:p w14:paraId="1E920E8D"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w:t>
      </w:r>
      <w:proofErr w:type="spellStart"/>
      <w:r w:rsidRPr="00DE2486">
        <w:rPr>
          <w:rFonts w:ascii="Tahoma" w:hAnsi="Tahoma" w:cs="Tahoma"/>
          <w:sz w:val="22"/>
          <w:szCs w:val="22"/>
        </w:rPr>
        <w:t>iv</w:t>
      </w:r>
      <w:proofErr w:type="spellEnd"/>
      <w:r w:rsidRPr="00DE2486">
        <w:rPr>
          <w:rFonts w:ascii="Tahoma" w:hAnsi="Tahoma" w:cs="Tahoma"/>
          <w:sz w:val="22"/>
          <w:szCs w:val="22"/>
        </w:rPr>
        <w:t>) honorários e despesas do auditor independente;</w:t>
      </w:r>
    </w:p>
    <w:p w14:paraId="644500F3" w14:textId="77777777" w:rsidR="00DE2486" w:rsidRPr="00DE2486" w:rsidRDefault="00DE2486" w:rsidP="00DE2486">
      <w:pPr>
        <w:pStyle w:val="NormalWeb"/>
        <w:spacing w:before="0" w:after="0" w:line="280" w:lineRule="atLeast"/>
        <w:jc w:val="both"/>
        <w:rPr>
          <w:rFonts w:ascii="Tahoma" w:hAnsi="Tahoma" w:cs="Tahoma"/>
          <w:sz w:val="22"/>
          <w:szCs w:val="22"/>
          <w:highlight w:val="yellow"/>
        </w:rPr>
      </w:pPr>
    </w:p>
    <w:p w14:paraId="4642604A"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 xml:space="preserve">(v) emolumentos e comissões pagas por operações do FUNDO; </w:t>
      </w:r>
    </w:p>
    <w:p w14:paraId="7B74D3F1" w14:textId="77777777" w:rsidR="00DE2486" w:rsidRPr="00DE2486" w:rsidRDefault="00DE2486" w:rsidP="00DE2486">
      <w:pPr>
        <w:pStyle w:val="NormalWeb"/>
        <w:spacing w:before="0" w:after="0" w:line="280" w:lineRule="atLeast"/>
        <w:jc w:val="both"/>
        <w:rPr>
          <w:rFonts w:ascii="Tahoma" w:hAnsi="Tahoma" w:cs="Tahoma"/>
          <w:sz w:val="22"/>
          <w:szCs w:val="22"/>
        </w:rPr>
      </w:pPr>
    </w:p>
    <w:p w14:paraId="4BF3B551"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5F7FCC80" w14:textId="77777777" w:rsidR="00DE2486" w:rsidRPr="00DE2486" w:rsidRDefault="00DE2486" w:rsidP="00DE2486">
      <w:pPr>
        <w:pStyle w:val="NormalWeb"/>
        <w:spacing w:before="0" w:after="0" w:line="280" w:lineRule="atLeast"/>
        <w:jc w:val="both"/>
        <w:rPr>
          <w:rFonts w:ascii="Tahoma" w:hAnsi="Tahoma" w:cs="Tahoma"/>
          <w:sz w:val="22"/>
          <w:szCs w:val="22"/>
          <w:highlight w:val="yellow"/>
        </w:rPr>
      </w:pPr>
    </w:p>
    <w:p w14:paraId="44D52FCE"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w:t>
      </w:r>
      <w:proofErr w:type="spellStart"/>
      <w:r w:rsidRPr="00DE2486">
        <w:rPr>
          <w:rFonts w:ascii="Tahoma" w:hAnsi="Tahoma" w:cs="Tahoma"/>
          <w:sz w:val="22"/>
          <w:szCs w:val="22"/>
        </w:rPr>
        <w:t>vii</w:t>
      </w:r>
      <w:proofErr w:type="spellEnd"/>
      <w:r w:rsidRPr="00DE2486">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4197BB7E" w14:textId="77777777" w:rsidR="00DE2486" w:rsidRPr="00DE2486" w:rsidRDefault="00DE2486" w:rsidP="00DE2486">
      <w:pPr>
        <w:pStyle w:val="NormalWeb"/>
        <w:spacing w:before="0" w:after="0" w:line="280" w:lineRule="atLeast"/>
        <w:jc w:val="both"/>
        <w:rPr>
          <w:rFonts w:ascii="Tahoma" w:hAnsi="Tahoma" w:cs="Tahoma"/>
          <w:sz w:val="22"/>
          <w:szCs w:val="22"/>
          <w:highlight w:val="yellow"/>
        </w:rPr>
      </w:pPr>
    </w:p>
    <w:p w14:paraId="75009973"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w:t>
      </w:r>
      <w:proofErr w:type="spellStart"/>
      <w:r w:rsidRPr="00DE2486">
        <w:rPr>
          <w:rFonts w:ascii="Tahoma" w:hAnsi="Tahoma" w:cs="Tahoma"/>
          <w:sz w:val="22"/>
          <w:szCs w:val="22"/>
        </w:rPr>
        <w:t>viii</w:t>
      </w:r>
      <w:proofErr w:type="spellEnd"/>
      <w:r w:rsidRPr="00DE2486">
        <w:rPr>
          <w:rFonts w:ascii="Tahoma" w:hAnsi="Tahoma" w:cs="Tahoma"/>
          <w:sz w:val="22"/>
          <w:szCs w:val="22"/>
        </w:rPr>
        <w:t xml:space="preserve">) despesas relacionadas, direta ou indiretamente, ao exercício de direito de voto decorrente de Ativos Financeiros do FUNDO; </w:t>
      </w:r>
    </w:p>
    <w:p w14:paraId="330BD853" w14:textId="77777777" w:rsidR="00DE2486" w:rsidRPr="00DE2486" w:rsidRDefault="00DE2486" w:rsidP="00DE2486">
      <w:pPr>
        <w:pStyle w:val="NormalWeb"/>
        <w:spacing w:before="0" w:after="0" w:line="280" w:lineRule="atLeast"/>
        <w:jc w:val="both"/>
        <w:rPr>
          <w:rFonts w:ascii="Tahoma" w:hAnsi="Tahoma" w:cs="Tahoma"/>
          <w:sz w:val="22"/>
          <w:szCs w:val="22"/>
        </w:rPr>
      </w:pPr>
    </w:p>
    <w:p w14:paraId="6876B241"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w:t>
      </w:r>
      <w:proofErr w:type="spellStart"/>
      <w:r w:rsidRPr="00DE2486">
        <w:rPr>
          <w:rFonts w:ascii="Tahoma" w:hAnsi="Tahoma" w:cs="Tahoma"/>
          <w:sz w:val="22"/>
          <w:szCs w:val="22"/>
        </w:rPr>
        <w:t>ix</w:t>
      </w:r>
      <w:proofErr w:type="spellEnd"/>
      <w:r w:rsidRPr="00DE2486">
        <w:rPr>
          <w:rFonts w:ascii="Tahoma" w:hAnsi="Tahoma" w:cs="Tahoma"/>
          <w:sz w:val="22"/>
          <w:szCs w:val="22"/>
        </w:rPr>
        <w:t xml:space="preserve">) despesas com liquidação, registro e custódia de operações com títulos e valores mobiliários, Ativos Financeiros e modalidades operacionais; </w:t>
      </w:r>
    </w:p>
    <w:p w14:paraId="2CA15A1B" w14:textId="77777777" w:rsidR="00DE2486" w:rsidRPr="00DE2486" w:rsidRDefault="00DE2486" w:rsidP="00DE2486">
      <w:pPr>
        <w:pStyle w:val="NormalWeb"/>
        <w:spacing w:before="0" w:after="0" w:line="280" w:lineRule="atLeast"/>
        <w:jc w:val="both"/>
        <w:rPr>
          <w:rFonts w:ascii="Tahoma" w:hAnsi="Tahoma" w:cs="Tahoma"/>
          <w:sz w:val="22"/>
          <w:szCs w:val="22"/>
        </w:rPr>
      </w:pPr>
    </w:p>
    <w:p w14:paraId="450A8644"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(x) despesas com fechamento de câmbio, vinculadas às suas operações ou com certificados ou recibos de depósito de valores mobiliários; e</w:t>
      </w:r>
    </w:p>
    <w:p w14:paraId="3FCDAAFB" w14:textId="77777777" w:rsidR="00DE2486" w:rsidRPr="00DE2486" w:rsidRDefault="00DE2486" w:rsidP="00DE2486">
      <w:pPr>
        <w:pStyle w:val="NormalWeb"/>
        <w:spacing w:before="0" w:after="0" w:line="280" w:lineRule="atLeast"/>
        <w:jc w:val="both"/>
        <w:rPr>
          <w:rFonts w:ascii="Tahoma" w:hAnsi="Tahoma" w:cs="Tahoma"/>
          <w:sz w:val="22"/>
          <w:szCs w:val="22"/>
        </w:rPr>
      </w:pPr>
    </w:p>
    <w:p w14:paraId="50253593" w14:textId="77777777" w:rsidR="00DE2486" w:rsidRPr="00DE2486" w:rsidRDefault="00DE2486" w:rsidP="00DE2486">
      <w:pPr>
        <w:pStyle w:val="NormalWeb"/>
        <w:spacing w:before="0" w:after="0" w:line="280" w:lineRule="atLeast"/>
        <w:jc w:val="both"/>
        <w:rPr>
          <w:rFonts w:ascii="Tahoma" w:hAnsi="Tahoma" w:cs="Tahoma"/>
          <w:sz w:val="22"/>
          <w:szCs w:val="22"/>
        </w:rPr>
      </w:pPr>
      <w:r w:rsidRPr="00DE2486">
        <w:rPr>
          <w:rFonts w:ascii="Tahoma" w:hAnsi="Tahoma" w:cs="Tahoma"/>
          <w:sz w:val="22"/>
          <w:szCs w:val="22"/>
        </w:rPr>
        <w:t xml:space="preserve">(xi) os montantes devidos a fundos investidores na hipótese de acordo de remuneração com base na taxa de administração e/ou performance, observado o disposto na regulamentação vigente. </w:t>
      </w:r>
    </w:p>
    <w:p w14:paraId="3E8532CD" w14:textId="77777777" w:rsidR="00DE2486" w:rsidRPr="00DE2486" w:rsidRDefault="00DE2486" w:rsidP="00DE2486">
      <w:pPr>
        <w:pStyle w:val="NormalWeb"/>
        <w:spacing w:before="0" w:after="0" w:line="280" w:lineRule="atLeast"/>
        <w:jc w:val="both"/>
        <w:rPr>
          <w:rFonts w:ascii="Tahoma" w:hAnsi="Tahoma" w:cs="Tahoma"/>
          <w:sz w:val="22"/>
          <w:szCs w:val="22"/>
        </w:rPr>
      </w:pPr>
    </w:p>
    <w:p w14:paraId="16FAB99E"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2BAF9F64" w14:textId="77777777" w:rsidR="00DE2486" w:rsidRPr="00DE2486" w:rsidRDefault="00DE2486" w:rsidP="00DE2486">
      <w:pPr>
        <w:spacing w:after="0" w:line="280" w:lineRule="atLeast"/>
        <w:jc w:val="both"/>
        <w:rPr>
          <w:rFonts w:ascii="Tahoma" w:hAnsi="Tahoma" w:cs="Tahoma"/>
        </w:rPr>
      </w:pPr>
    </w:p>
    <w:p w14:paraId="0B8293A0"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 xml:space="preserve">CLÁUSULA SÉTIMA – DAS COTAS: DISTRIBUIÇÃO, EMISSÃO, NEGOCIAÇÃO E RESGATE </w:t>
      </w:r>
    </w:p>
    <w:p w14:paraId="2B6621DD" w14:textId="77777777" w:rsidR="00DE2486" w:rsidRPr="00DE2486" w:rsidRDefault="00DE2486" w:rsidP="00DE2486">
      <w:pPr>
        <w:spacing w:after="0" w:line="280" w:lineRule="atLeast"/>
        <w:jc w:val="both"/>
        <w:rPr>
          <w:rFonts w:ascii="Tahoma" w:hAnsi="Tahoma" w:cs="Tahoma"/>
        </w:rPr>
      </w:pPr>
    </w:p>
    <w:p w14:paraId="082DF2BB"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7.1. As cotas do FUNDO correspondem a frações ideais do seu patrimônio e são nominativas e escriturais.</w:t>
      </w:r>
    </w:p>
    <w:p w14:paraId="65C5A26F" w14:textId="77777777" w:rsidR="00DE2486" w:rsidRPr="00DE2486" w:rsidRDefault="00DE2486" w:rsidP="00DE2486">
      <w:pPr>
        <w:spacing w:after="0" w:line="280" w:lineRule="atLeast"/>
        <w:jc w:val="both"/>
        <w:rPr>
          <w:rFonts w:ascii="Tahoma" w:hAnsi="Tahoma" w:cs="Tahoma"/>
        </w:rPr>
      </w:pPr>
    </w:p>
    <w:p w14:paraId="69F5667F"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7.1.1. As cotas do FUNDO terão seu valor calculado a cada dia útil, com base em avaliação patrimonial que considere os critérios de avaliação previstos na regulamentação em vigor.</w:t>
      </w:r>
    </w:p>
    <w:p w14:paraId="0669FEBE" w14:textId="77777777" w:rsidR="00DE2486" w:rsidRPr="00DE2486" w:rsidRDefault="00DE2486" w:rsidP="00DE2486">
      <w:pPr>
        <w:spacing w:after="0" w:line="280" w:lineRule="atLeast"/>
        <w:jc w:val="both"/>
        <w:rPr>
          <w:rFonts w:ascii="Tahoma" w:hAnsi="Tahoma" w:cs="Tahoma"/>
        </w:rPr>
      </w:pPr>
    </w:p>
    <w:p w14:paraId="2B5E6204"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DE2486">
        <w:rPr>
          <w:rStyle w:val="Refdenotaderodap"/>
          <w:rFonts w:ascii="Tahoma" w:hAnsi="Tahoma" w:cs="Tahoma"/>
        </w:rPr>
        <w:t xml:space="preserve"> </w:t>
      </w:r>
    </w:p>
    <w:p w14:paraId="5EE3069F" w14:textId="77777777" w:rsidR="00DE2486" w:rsidRPr="00DE2486" w:rsidRDefault="00DE2486" w:rsidP="00DE2486">
      <w:pPr>
        <w:spacing w:after="0" w:line="280" w:lineRule="atLeast"/>
        <w:jc w:val="both"/>
        <w:rPr>
          <w:rFonts w:ascii="Tahoma" w:hAnsi="Tahoma" w:cs="Tahoma"/>
        </w:rPr>
      </w:pPr>
    </w:p>
    <w:p w14:paraId="4681F36E"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02648B7F" w14:textId="77777777" w:rsidR="00DE2486" w:rsidRPr="00DE2486" w:rsidRDefault="00DE2486" w:rsidP="00DE2486">
      <w:pPr>
        <w:spacing w:after="0" w:line="280" w:lineRule="atLeast"/>
        <w:jc w:val="both"/>
        <w:rPr>
          <w:rFonts w:ascii="Tahoma" w:hAnsi="Tahoma" w:cs="Tahoma"/>
        </w:rPr>
      </w:pPr>
    </w:p>
    <w:p w14:paraId="66483404"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7B007616" w14:textId="77777777" w:rsidR="00DE2486" w:rsidRPr="00DE2486" w:rsidRDefault="00DE2486" w:rsidP="00DE2486">
      <w:pPr>
        <w:spacing w:after="0" w:line="280" w:lineRule="atLeast"/>
        <w:jc w:val="both"/>
        <w:rPr>
          <w:rFonts w:ascii="Tahoma" w:hAnsi="Tahoma" w:cs="Tahoma"/>
        </w:rPr>
      </w:pPr>
    </w:p>
    <w:p w14:paraId="5BBF2BC4"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7.5. A qualidade dos Cotistas caracteriza-se pela inscrição do nome do titular no registro de Cotistas do FUNDO.</w:t>
      </w:r>
    </w:p>
    <w:p w14:paraId="4FFEEF1F" w14:textId="77777777" w:rsidR="00DE2486" w:rsidRPr="00DE2486" w:rsidRDefault="00DE2486" w:rsidP="00DE2486">
      <w:pPr>
        <w:spacing w:after="0" w:line="280" w:lineRule="atLeast"/>
        <w:jc w:val="both"/>
        <w:rPr>
          <w:rFonts w:ascii="Tahoma" w:hAnsi="Tahoma" w:cs="Tahoma"/>
        </w:rPr>
      </w:pPr>
    </w:p>
    <w:p w14:paraId="022847D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5E58B2D5" w14:textId="77777777" w:rsidR="00DE2486" w:rsidRPr="00DE2486" w:rsidRDefault="00DE2486" w:rsidP="00DE2486">
      <w:pPr>
        <w:spacing w:after="0" w:line="280" w:lineRule="atLeast"/>
        <w:jc w:val="both"/>
        <w:rPr>
          <w:rFonts w:ascii="Tahoma" w:hAnsi="Tahoma" w:cs="Tahoma"/>
        </w:rPr>
      </w:pPr>
    </w:p>
    <w:p w14:paraId="0BD18A46"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7.6. A adesão dos Cotistas aos termos deste Regulamento dar-se-á pela assinatura do Termo de Adesão e Ciência de Risco ou mediante manifestação de aceite por meio eletrônico, através do qual atestam que (i) </w:t>
      </w:r>
      <w:r w:rsidRPr="00DE2486">
        <w:rPr>
          <w:rFonts w:ascii="Tahoma" w:hAnsi="Tahoma" w:cs="Tahoma"/>
        </w:rPr>
        <w:lastRenderedPageBreak/>
        <w:t>conhecem, entendem e aceitam os riscos descritos neste Regulamento, aos quais os investimentos do FUNDO estão expostos em razão dos mercados de sua atuação, bem como que (ii) tiveram acesso aos seguintes documentos atualizados: (a) Regulamento; (b) Formulário; e (c) Lâmina.</w:t>
      </w:r>
    </w:p>
    <w:p w14:paraId="00B25156" w14:textId="77777777" w:rsidR="00DE2486" w:rsidRPr="00DE2486" w:rsidRDefault="00DE2486" w:rsidP="00DE2486">
      <w:pPr>
        <w:spacing w:after="0" w:line="280" w:lineRule="atLeast"/>
        <w:jc w:val="both"/>
        <w:rPr>
          <w:rFonts w:ascii="Tahoma" w:hAnsi="Tahoma" w:cs="Tahoma"/>
        </w:rPr>
      </w:pPr>
    </w:p>
    <w:p w14:paraId="53E702AB"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605E3D53" w14:textId="77777777" w:rsidR="00DE2486" w:rsidRPr="00DE2486" w:rsidRDefault="00DE2486" w:rsidP="00DE2486">
      <w:pPr>
        <w:spacing w:after="0" w:line="280" w:lineRule="atLeast"/>
        <w:jc w:val="both"/>
        <w:rPr>
          <w:rFonts w:ascii="Tahoma" w:hAnsi="Tahoma" w:cs="Tahoma"/>
        </w:rPr>
      </w:pPr>
    </w:p>
    <w:p w14:paraId="1A63915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78CB7791" w14:textId="77777777" w:rsidR="00DE2486" w:rsidRPr="00DE2486" w:rsidRDefault="00DE2486" w:rsidP="00DE2486">
      <w:pPr>
        <w:spacing w:after="0" w:line="280" w:lineRule="atLeast"/>
        <w:jc w:val="both"/>
        <w:rPr>
          <w:rFonts w:ascii="Tahoma" w:hAnsi="Tahoma" w:cs="Tahoma"/>
        </w:rPr>
      </w:pPr>
    </w:p>
    <w:p w14:paraId="30B6E206"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7.7.1 A integralização e o resgate das cotas do FUNDO serão realizados em moeda corrente nacional. </w:t>
      </w:r>
    </w:p>
    <w:p w14:paraId="7309CCD4" w14:textId="77777777" w:rsidR="00DE2486" w:rsidRPr="00DE2486" w:rsidRDefault="00DE2486" w:rsidP="00DE2486">
      <w:pPr>
        <w:spacing w:after="0" w:line="280" w:lineRule="atLeast"/>
        <w:jc w:val="both"/>
        <w:rPr>
          <w:rFonts w:ascii="Tahoma" w:hAnsi="Tahoma" w:cs="Tahoma"/>
        </w:rPr>
      </w:pPr>
    </w:p>
    <w:p w14:paraId="5A03DA40"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7.8. O ADMINISTRADOR poderá suspender, a qualquer momento, novas aplicações no FUNDO, aplicando-se tal suspensão tanto aos novos investidores como aos Cotistas atuais do FUNDO.</w:t>
      </w:r>
    </w:p>
    <w:p w14:paraId="60D89F31" w14:textId="77777777" w:rsidR="00DE2486" w:rsidRPr="00DE2486" w:rsidRDefault="00DE2486" w:rsidP="00DE2486">
      <w:pPr>
        <w:spacing w:after="0" w:line="280" w:lineRule="atLeast"/>
        <w:jc w:val="both"/>
        <w:rPr>
          <w:rFonts w:ascii="Tahoma" w:hAnsi="Tahoma" w:cs="Tahoma"/>
        </w:rPr>
      </w:pPr>
    </w:p>
    <w:p w14:paraId="716001C0"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7.8.1 A suspensão do recebimento de novas aplicações em um dia não impede a reabertura posterior do FUNDO para aplicações.</w:t>
      </w:r>
    </w:p>
    <w:p w14:paraId="0B30129F" w14:textId="77777777" w:rsidR="00DE2486" w:rsidRPr="00DE2486" w:rsidRDefault="00DE2486" w:rsidP="00DE2486">
      <w:pPr>
        <w:spacing w:after="0" w:line="280" w:lineRule="atLeast"/>
        <w:jc w:val="both"/>
        <w:rPr>
          <w:rFonts w:ascii="Tahoma" w:hAnsi="Tahoma" w:cs="Tahoma"/>
        </w:rPr>
      </w:pPr>
    </w:p>
    <w:p w14:paraId="4E471894"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7.9. Na emissão e no resgate de cotas do FUNDO deverá ser observado o disposto no quadro abaixo:</w:t>
      </w:r>
    </w:p>
    <w:p w14:paraId="1886D629" w14:textId="77777777" w:rsidR="00DE2486" w:rsidRPr="00DE2486" w:rsidRDefault="00DE2486" w:rsidP="00DE2486">
      <w:pPr>
        <w:spacing w:after="0" w:line="280" w:lineRule="atLeast"/>
        <w:jc w:val="both"/>
        <w:rPr>
          <w:rFonts w:ascii="Tahoma" w:hAnsi="Tahoma" w:cs="Tahoma"/>
        </w:rPr>
      </w:pPr>
    </w:p>
    <w:tbl>
      <w:tblPr>
        <w:tblW w:w="7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485"/>
        <w:gridCol w:w="2792"/>
      </w:tblGrid>
      <w:tr w:rsidR="00DE2486" w:rsidRPr="00DE2486" w14:paraId="3D67D657" w14:textId="77777777" w:rsidTr="00965416">
        <w:trPr>
          <w:jc w:val="center"/>
        </w:trPr>
        <w:tc>
          <w:tcPr>
            <w:tcW w:w="1728" w:type="dxa"/>
            <w:vMerge w:val="restart"/>
            <w:tcBorders>
              <w:top w:val="single" w:sz="4" w:space="0" w:color="auto"/>
              <w:left w:val="single" w:sz="4" w:space="0" w:color="auto"/>
              <w:bottom w:val="single" w:sz="4" w:space="0" w:color="auto"/>
              <w:right w:val="single" w:sz="4" w:space="0" w:color="auto"/>
            </w:tcBorders>
            <w:vAlign w:val="center"/>
          </w:tcPr>
          <w:p w14:paraId="07D2A80F" w14:textId="77777777" w:rsidR="00DE2486" w:rsidRPr="00DE2486" w:rsidRDefault="00DE2486" w:rsidP="00965416">
            <w:pPr>
              <w:spacing w:after="0" w:line="280" w:lineRule="atLeast"/>
              <w:jc w:val="center"/>
              <w:rPr>
                <w:rFonts w:ascii="Tahoma" w:hAnsi="Tahoma" w:cs="Tahoma"/>
              </w:rPr>
            </w:pPr>
          </w:p>
          <w:p w14:paraId="3785EDAA" w14:textId="77777777" w:rsidR="00DE2486" w:rsidRPr="00DE2486" w:rsidRDefault="00DE2486" w:rsidP="00965416">
            <w:pPr>
              <w:spacing w:after="0" w:line="280" w:lineRule="atLeast"/>
              <w:jc w:val="center"/>
              <w:rPr>
                <w:rFonts w:ascii="Tahoma" w:hAnsi="Tahoma" w:cs="Tahoma"/>
                <w:lang w:val="en-GB"/>
              </w:rPr>
            </w:pPr>
            <w:r w:rsidRPr="00DE2486">
              <w:rPr>
                <w:rFonts w:ascii="Tahoma" w:hAnsi="Tahoma" w:cs="Tahoma"/>
              </w:rPr>
              <w:t>Aplicação</w:t>
            </w:r>
          </w:p>
        </w:tc>
        <w:tc>
          <w:tcPr>
            <w:tcW w:w="2484"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27FB5EA9" w14:textId="77777777" w:rsidR="00DE2486" w:rsidRPr="00DE2486" w:rsidRDefault="00DE2486" w:rsidP="00965416">
            <w:pPr>
              <w:spacing w:after="0" w:line="280" w:lineRule="atLeast"/>
              <w:jc w:val="center"/>
              <w:rPr>
                <w:rFonts w:ascii="Tahoma" w:hAnsi="Tahoma" w:cs="Tahoma"/>
                <w:b/>
                <w:color w:val="FFFFFF"/>
              </w:rPr>
            </w:pPr>
            <w:r w:rsidRPr="00DE2486">
              <w:rPr>
                <w:rFonts w:ascii="Tahoma" w:hAnsi="Tahoma" w:cs="Tahoma"/>
                <w:b/>
                <w:color w:val="FFFFFF"/>
              </w:rPr>
              <w:t>Disponibilidade dos Recursos</w:t>
            </w:r>
          </w:p>
        </w:tc>
        <w:tc>
          <w:tcPr>
            <w:tcW w:w="2791"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716B534E" w14:textId="77777777" w:rsidR="00DE2486" w:rsidRPr="00DE2486" w:rsidRDefault="00DE2486" w:rsidP="00965416">
            <w:pPr>
              <w:spacing w:after="0" w:line="280" w:lineRule="atLeast"/>
              <w:jc w:val="center"/>
              <w:rPr>
                <w:rFonts w:ascii="Tahoma" w:hAnsi="Tahoma" w:cs="Tahoma"/>
                <w:b/>
                <w:color w:val="FFFFFF"/>
              </w:rPr>
            </w:pPr>
            <w:r w:rsidRPr="00DE2486">
              <w:rPr>
                <w:rFonts w:ascii="Tahoma" w:hAnsi="Tahoma" w:cs="Tahoma"/>
                <w:b/>
                <w:color w:val="FFFFFF"/>
              </w:rPr>
              <w:t>Cota de conversão</w:t>
            </w:r>
          </w:p>
        </w:tc>
      </w:tr>
      <w:tr w:rsidR="00DE2486" w:rsidRPr="00DE2486" w14:paraId="13E38C2A" w14:textId="77777777" w:rsidTr="00965416">
        <w:trPr>
          <w:trHeight w:val="553"/>
          <w:jc w:val="center"/>
        </w:trPr>
        <w:tc>
          <w:tcPr>
            <w:tcW w:w="1728" w:type="dxa"/>
            <w:vMerge/>
            <w:tcBorders>
              <w:top w:val="single" w:sz="4" w:space="0" w:color="auto"/>
              <w:left w:val="single" w:sz="4" w:space="0" w:color="auto"/>
              <w:bottom w:val="single" w:sz="4" w:space="0" w:color="auto"/>
              <w:right w:val="single" w:sz="4" w:space="0" w:color="auto"/>
            </w:tcBorders>
            <w:vAlign w:val="center"/>
            <w:hideMark/>
          </w:tcPr>
          <w:p w14:paraId="53969CF3" w14:textId="77777777" w:rsidR="00DE2486" w:rsidRPr="00DE2486" w:rsidRDefault="00DE2486" w:rsidP="00965416">
            <w:pPr>
              <w:spacing w:after="0"/>
              <w:rPr>
                <w:rFonts w:ascii="Tahoma" w:eastAsia="Times New Roman" w:hAnsi="Tahoma" w:cs="Tahoma"/>
                <w:lang w:val="en-GB"/>
              </w:rPr>
            </w:pPr>
          </w:p>
        </w:tc>
        <w:tc>
          <w:tcPr>
            <w:tcW w:w="2484" w:type="dxa"/>
            <w:tcBorders>
              <w:top w:val="single" w:sz="4" w:space="0" w:color="auto"/>
              <w:left w:val="single" w:sz="4" w:space="0" w:color="auto"/>
              <w:bottom w:val="single" w:sz="4" w:space="0" w:color="auto"/>
              <w:right w:val="single" w:sz="4" w:space="0" w:color="auto"/>
            </w:tcBorders>
            <w:vAlign w:val="center"/>
            <w:hideMark/>
          </w:tcPr>
          <w:p w14:paraId="540FEBD8" w14:textId="77777777" w:rsidR="00DE2486" w:rsidRPr="00DE2486" w:rsidRDefault="00DE2486" w:rsidP="00965416">
            <w:pPr>
              <w:spacing w:after="0" w:line="280" w:lineRule="atLeast"/>
              <w:jc w:val="center"/>
              <w:rPr>
                <w:rFonts w:ascii="Tahoma" w:hAnsi="Tahoma" w:cs="Tahoma"/>
              </w:rPr>
            </w:pPr>
            <w:r w:rsidRPr="00DE2486">
              <w:rPr>
                <w:rFonts w:ascii="Tahoma" w:hAnsi="Tahoma" w:cs="Tahoma"/>
              </w:rPr>
              <w:t>D+0</w:t>
            </w:r>
          </w:p>
          <w:p w14:paraId="01D7A7F2" w14:textId="77777777" w:rsidR="00DE2486" w:rsidRPr="00DE2486" w:rsidRDefault="00DE2486" w:rsidP="00965416">
            <w:pPr>
              <w:spacing w:after="0" w:line="280" w:lineRule="atLeast"/>
              <w:jc w:val="center"/>
              <w:rPr>
                <w:rFonts w:ascii="Tahoma" w:hAnsi="Tahoma" w:cs="Tahoma"/>
              </w:rPr>
            </w:pPr>
            <w:r w:rsidRPr="00DE2486">
              <w:rPr>
                <w:rFonts w:ascii="Tahoma" w:hAnsi="Tahoma" w:cs="Tahoma"/>
              </w:rPr>
              <w:t>No dia da solicitação</w:t>
            </w:r>
          </w:p>
        </w:tc>
        <w:tc>
          <w:tcPr>
            <w:tcW w:w="2791" w:type="dxa"/>
            <w:tcBorders>
              <w:top w:val="single" w:sz="4" w:space="0" w:color="auto"/>
              <w:left w:val="single" w:sz="4" w:space="0" w:color="auto"/>
              <w:bottom w:val="single" w:sz="4" w:space="0" w:color="auto"/>
              <w:right w:val="single" w:sz="4" w:space="0" w:color="auto"/>
            </w:tcBorders>
            <w:vAlign w:val="center"/>
            <w:hideMark/>
          </w:tcPr>
          <w:p w14:paraId="4952A6A9" w14:textId="77777777" w:rsidR="00DE2486" w:rsidRPr="00DE2486" w:rsidRDefault="00DE2486" w:rsidP="00965416">
            <w:pPr>
              <w:spacing w:after="0" w:line="280" w:lineRule="atLeast"/>
              <w:jc w:val="center"/>
              <w:rPr>
                <w:rFonts w:ascii="Tahoma" w:hAnsi="Tahoma" w:cs="Tahoma"/>
              </w:rPr>
            </w:pPr>
            <w:r w:rsidRPr="00DE2486">
              <w:rPr>
                <w:rFonts w:ascii="Tahoma" w:hAnsi="Tahoma" w:cs="Tahoma"/>
              </w:rPr>
              <w:t xml:space="preserve">D+1 </w:t>
            </w:r>
          </w:p>
          <w:p w14:paraId="02D080A3" w14:textId="77777777" w:rsidR="00DE2486" w:rsidRPr="00DE2486" w:rsidRDefault="00DE2486" w:rsidP="00965416">
            <w:pPr>
              <w:spacing w:after="0" w:line="280" w:lineRule="atLeast"/>
              <w:jc w:val="center"/>
              <w:rPr>
                <w:rFonts w:ascii="Tahoma" w:hAnsi="Tahoma" w:cs="Tahoma"/>
              </w:rPr>
            </w:pPr>
            <w:r w:rsidRPr="00DE2486">
              <w:rPr>
                <w:rFonts w:ascii="Tahoma" w:hAnsi="Tahoma" w:cs="Tahoma"/>
              </w:rPr>
              <w:t>No 1º dia útil seguinte ao da solicitação</w:t>
            </w:r>
          </w:p>
        </w:tc>
      </w:tr>
      <w:tr w:rsidR="00DE2486" w:rsidRPr="00DE2486" w14:paraId="117846C1" w14:textId="77777777" w:rsidTr="00965416">
        <w:trPr>
          <w:trHeight w:val="419"/>
          <w:jc w:val="center"/>
        </w:trPr>
        <w:tc>
          <w:tcPr>
            <w:tcW w:w="1728" w:type="dxa"/>
            <w:vMerge w:val="restart"/>
            <w:tcBorders>
              <w:top w:val="single" w:sz="4" w:space="0" w:color="auto"/>
              <w:left w:val="single" w:sz="4" w:space="0" w:color="auto"/>
              <w:bottom w:val="single" w:sz="4" w:space="0" w:color="auto"/>
              <w:right w:val="single" w:sz="4" w:space="0" w:color="auto"/>
            </w:tcBorders>
            <w:vAlign w:val="center"/>
          </w:tcPr>
          <w:p w14:paraId="1B84DB6A" w14:textId="77777777" w:rsidR="00DE2486" w:rsidRPr="00DE2486" w:rsidRDefault="00DE2486" w:rsidP="00965416">
            <w:pPr>
              <w:spacing w:after="0" w:line="280" w:lineRule="atLeast"/>
              <w:jc w:val="center"/>
              <w:rPr>
                <w:rFonts w:ascii="Tahoma" w:hAnsi="Tahoma" w:cs="Tahoma"/>
              </w:rPr>
            </w:pPr>
          </w:p>
          <w:p w14:paraId="52E225CF" w14:textId="77777777" w:rsidR="00DE2486" w:rsidRPr="00DE2486" w:rsidRDefault="00DE2486" w:rsidP="00965416">
            <w:pPr>
              <w:spacing w:after="0" w:line="280" w:lineRule="atLeast"/>
              <w:jc w:val="center"/>
              <w:rPr>
                <w:rFonts w:ascii="Tahoma" w:hAnsi="Tahoma" w:cs="Tahoma"/>
                <w:lang w:val="en-GB"/>
              </w:rPr>
            </w:pPr>
            <w:r w:rsidRPr="00DE2486">
              <w:rPr>
                <w:rFonts w:ascii="Tahoma" w:hAnsi="Tahoma" w:cs="Tahoma"/>
              </w:rPr>
              <w:t>Resgate</w:t>
            </w:r>
          </w:p>
        </w:tc>
        <w:tc>
          <w:tcPr>
            <w:tcW w:w="2484"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48D147CC" w14:textId="77777777" w:rsidR="00DE2486" w:rsidRPr="00DE2486" w:rsidRDefault="00DE2486" w:rsidP="00965416">
            <w:pPr>
              <w:spacing w:after="0" w:line="280" w:lineRule="atLeast"/>
              <w:jc w:val="center"/>
              <w:rPr>
                <w:rFonts w:ascii="Tahoma" w:hAnsi="Tahoma" w:cs="Tahoma"/>
                <w:b/>
                <w:color w:val="FFFFFF"/>
              </w:rPr>
            </w:pPr>
            <w:r w:rsidRPr="00DE2486">
              <w:rPr>
                <w:rFonts w:ascii="Tahoma" w:hAnsi="Tahoma" w:cs="Tahoma"/>
                <w:b/>
                <w:color w:val="FFFFFF"/>
              </w:rPr>
              <w:t>Cota de Conversão</w:t>
            </w:r>
          </w:p>
        </w:tc>
        <w:tc>
          <w:tcPr>
            <w:tcW w:w="2791"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1FBC2F88" w14:textId="77777777" w:rsidR="00DE2486" w:rsidRPr="00DE2486" w:rsidRDefault="00DE2486" w:rsidP="00965416">
            <w:pPr>
              <w:spacing w:after="0" w:line="280" w:lineRule="atLeast"/>
              <w:jc w:val="center"/>
              <w:rPr>
                <w:rFonts w:ascii="Tahoma" w:hAnsi="Tahoma" w:cs="Tahoma"/>
                <w:b/>
                <w:color w:val="FFFFFF"/>
              </w:rPr>
            </w:pPr>
            <w:r w:rsidRPr="00DE2486">
              <w:rPr>
                <w:rFonts w:ascii="Tahoma" w:hAnsi="Tahoma" w:cs="Tahoma"/>
                <w:b/>
                <w:color w:val="FFFFFF"/>
              </w:rPr>
              <w:t>Pagamento / Crédito em Conta</w:t>
            </w:r>
          </w:p>
        </w:tc>
      </w:tr>
      <w:tr w:rsidR="00DE2486" w:rsidRPr="00DE2486" w14:paraId="66C5CCF3" w14:textId="77777777" w:rsidTr="00965416">
        <w:trPr>
          <w:jc w:val="center"/>
        </w:trPr>
        <w:tc>
          <w:tcPr>
            <w:tcW w:w="1728" w:type="dxa"/>
            <w:vMerge/>
            <w:tcBorders>
              <w:top w:val="single" w:sz="4" w:space="0" w:color="auto"/>
              <w:left w:val="single" w:sz="4" w:space="0" w:color="auto"/>
              <w:bottom w:val="single" w:sz="4" w:space="0" w:color="auto"/>
              <w:right w:val="single" w:sz="4" w:space="0" w:color="auto"/>
            </w:tcBorders>
            <w:vAlign w:val="center"/>
            <w:hideMark/>
          </w:tcPr>
          <w:p w14:paraId="4E3F257E" w14:textId="77777777" w:rsidR="00DE2486" w:rsidRPr="00DE2486" w:rsidRDefault="00DE2486" w:rsidP="00965416">
            <w:pPr>
              <w:spacing w:after="0"/>
              <w:rPr>
                <w:rFonts w:ascii="Tahoma" w:eastAsia="Times New Roman" w:hAnsi="Tahoma" w:cs="Tahoma"/>
                <w:lang w:val="en-GB"/>
              </w:rPr>
            </w:pPr>
          </w:p>
        </w:tc>
        <w:tc>
          <w:tcPr>
            <w:tcW w:w="2484" w:type="dxa"/>
            <w:tcBorders>
              <w:top w:val="single" w:sz="4" w:space="0" w:color="auto"/>
              <w:left w:val="single" w:sz="4" w:space="0" w:color="auto"/>
              <w:bottom w:val="single" w:sz="4" w:space="0" w:color="auto"/>
              <w:right w:val="single" w:sz="4" w:space="0" w:color="auto"/>
            </w:tcBorders>
            <w:vAlign w:val="center"/>
            <w:hideMark/>
          </w:tcPr>
          <w:p w14:paraId="678E2245" w14:textId="77777777" w:rsidR="00DE2486" w:rsidRPr="00DE2486" w:rsidRDefault="00DE2486" w:rsidP="00965416">
            <w:pPr>
              <w:spacing w:after="0" w:line="280" w:lineRule="atLeast"/>
              <w:jc w:val="center"/>
              <w:rPr>
                <w:rFonts w:ascii="Tahoma" w:hAnsi="Tahoma" w:cs="Tahoma"/>
              </w:rPr>
            </w:pPr>
            <w:r w:rsidRPr="00DE2486">
              <w:rPr>
                <w:rFonts w:ascii="Tahoma" w:hAnsi="Tahoma" w:cs="Tahoma"/>
              </w:rPr>
              <w:t xml:space="preserve">D+1 </w:t>
            </w:r>
          </w:p>
          <w:p w14:paraId="52C5A68E" w14:textId="77777777" w:rsidR="00DE2486" w:rsidRPr="00DE2486" w:rsidRDefault="00DE2486" w:rsidP="00965416">
            <w:pPr>
              <w:spacing w:after="0" w:line="280" w:lineRule="atLeast"/>
              <w:jc w:val="center"/>
              <w:rPr>
                <w:rFonts w:ascii="Tahoma" w:hAnsi="Tahoma" w:cs="Tahoma"/>
              </w:rPr>
            </w:pPr>
            <w:r w:rsidRPr="00DE2486">
              <w:rPr>
                <w:rFonts w:ascii="Tahoma" w:hAnsi="Tahoma" w:cs="Tahoma"/>
              </w:rPr>
              <w:t>No 1º dia útil seguinte ao da solicitação</w:t>
            </w:r>
          </w:p>
        </w:tc>
        <w:tc>
          <w:tcPr>
            <w:tcW w:w="2791" w:type="dxa"/>
            <w:tcBorders>
              <w:top w:val="single" w:sz="4" w:space="0" w:color="auto"/>
              <w:left w:val="single" w:sz="4" w:space="0" w:color="auto"/>
              <w:bottom w:val="single" w:sz="4" w:space="0" w:color="auto"/>
              <w:right w:val="single" w:sz="4" w:space="0" w:color="auto"/>
            </w:tcBorders>
            <w:vAlign w:val="center"/>
            <w:hideMark/>
          </w:tcPr>
          <w:p w14:paraId="0393683C" w14:textId="77777777" w:rsidR="00DE2486" w:rsidRPr="00DE2486" w:rsidRDefault="00DE2486" w:rsidP="00965416">
            <w:pPr>
              <w:spacing w:after="0" w:line="280" w:lineRule="atLeast"/>
              <w:jc w:val="center"/>
              <w:rPr>
                <w:rFonts w:ascii="Tahoma" w:hAnsi="Tahoma" w:cs="Tahoma"/>
              </w:rPr>
            </w:pPr>
            <w:r w:rsidRPr="00DE2486">
              <w:rPr>
                <w:rFonts w:ascii="Tahoma" w:hAnsi="Tahoma" w:cs="Tahoma"/>
              </w:rPr>
              <w:t>D+3</w:t>
            </w:r>
          </w:p>
          <w:p w14:paraId="491286AF" w14:textId="77777777" w:rsidR="00DE2486" w:rsidRPr="00DE2486" w:rsidRDefault="00DE2486" w:rsidP="00965416">
            <w:pPr>
              <w:spacing w:after="0" w:line="280" w:lineRule="atLeast"/>
              <w:jc w:val="center"/>
              <w:rPr>
                <w:rFonts w:ascii="Tahoma" w:hAnsi="Tahoma" w:cs="Tahoma"/>
              </w:rPr>
            </w:pPr>
            <w:r w:rsidRPr="00DE2486">
              <w:rPr>
                <w:rFonts w:ascii="Tahoma" w:hAnsi="Tahoma" w:cs="Tahoma"/>
              </w:rPr>
              <w:t>No 2º dia útil seguinte ao da conversão de cotas</w:t>
            </w:r>
          </w:p>
        </w:tc>
      </w:tr>
    </w:tbl>
    <w:p w14:paraId="4D547D43" w14:textId="77777777" w:rsidR="00DE2486" w:rsidRPr="00DE2486" w:rsidRDefault="00DE2486" w:rsidP="00DE2486">
      <w:pPr>
        <w:spacing w:after="0" w:line="280" w:lineRule="atLeast"/>
        <w:jc w:val="both"/>
        <w:rPr>
          <w:rFonts w:ascii="Tahoma" w:eastAsia="Times New Roman" w:hAnsi="Tahoma" w:cs="Tahoma"/>
        </w:rPr>
      </w:pPr>
    </w:p>
    <w:p w14:paraId="3D565E43"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7.10.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no Formulário, sob pena de serem considerados como efetuados na próxima data disponível para solicitação de aplicação e/ou resgate.</w:t>
      </w:r>
    </w:p>
    <w:p w14:paraId="356B11E6" w14:textId="77777777" w:rsidR="00DE2486" w:rsidRPr="00DE2486" w:rsidRDefault="00DE2486" w:rsidP="00DE2486">
      <w:pPr>
        <w:spacing w:after="0" w:line="280" w:lineRule="atLeast"/>
        <w:jc w:val="both"/>
        <w:rPr>
          <w:rFonts w:ascii="Tahoma" w:hAnsi="Tahoma" w:cs="Tahoma"/>
        </w:rPr>
      </w:pPr>
    </w:p>
    <w:p w14:paraId="679A6B0F" w14:textId="77777777" w:rsidR="00DE2486" w:rsidRPr="00DE2486" w:rsidRDefault="00DE2486" w:rsidP="00DE2486">
      <w:pPr>
        <w:spacing w:after="0" w:line="280" w:lineRule="atLeast"/>
        <w:jc w:val="both"/>
        <w:rPr>
          <w:rFonts w:ascii="Tahoma" w:hAnsi="Tahoma" w:cs="Tahoma"/>
          <w:color w:val="000000"/>
        </w:rPr>
      </w:pPr>
      <w:r w:rsidRPr="00DE2486">
        <w:rPr>
          <w:rFonts w:ascii="Tahoma" w:hAnsi="Tahoma" w:cs="Tahoma"/>
        </w:rPr>
        <w:t>7.11. Não há prazo de carência para resgate de cotas do FUNDO, podendo as cotas do FUNDO ser resgatadas com rendimento a qualquer momento.</w:t>
      </w:r>
    </w:p>
    <w:p w14:paraId="2A0A1BBB" w14:textId="77777777" w:rsidR="00DE2486" w:rsidRPr="00DE2486" w:rsidRDefault="00DE2486" w:rsidP="00DE2486">
      <w:pPr>
        <w:spacing w:after="0" w:line="280" w:lineRule="atLeast"/>
        <w:jc w:val="both"/>
        <w:rPr>
          <w:rFonts w:ascii="Tahoma" w:hAnsi="Tahoma" w:cs="Tahoma"/>
        </w:rPr>
      </w:pPr>
    </w:p>
    <w:p w14:paraId="60D6A362" w14:textId="77777777" w:rsidR="00DE2486" w:rsidRPr="00DE2486" w:rsidRDefault="00DE2486" w:rsidP="00DE2486">
      <w:pPr>
        <w:spacing w:after="0"/>
        <w:jc w:val="both"/>
        <w:rPr>
          <w:rFonts w:ascii="Tahoma" w:hAnsi="Tahoma" w:cs="Tahoma"/>
        </w:rPr>
      </w:pPr>
      <w:r w:rsidRPr="00DE2486">
        <w:rPr>
          <w:rFonts w:ascii="Tahoma" w:hAnsi="Tahoma" w:cs="Tahoma"/>
        </w:rPr>
        <w:t xml:space="preserve">7.12. </w:t>
      </w:r>
      <w:bookmarkStart w:id="4" w:name="_Hlk81402738"/>
      <w:bookmarkStart w:id="5" w:name="_Hlk81402393"/>
      <w:r w:rsidRPr="00DE2486">
        <w:rPr>
          <w:rFonts w:ascii="Tahoma" w:hAnsi="Tahoma" w:cs="Tahoma"/>
        </w:rPr>
        <w:t>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2546C743" w14:textId="77777777" w:rsidR="00DE2486" w:rsidRPr="00DE2486" w:rsidRDefault="00DE2486" w:rsidP="00DE2486">
      <w:pPr>
        <w:spacing w:after="0"/>
        <w:jc w:val="both"/>
        <w:rPr>
          <w:rFonts w:ascii="Tahoma" w:hAnsi="Tahoma" w:cs="Tahoma"/>
        </w:rPr>
      </w:pPr>
    </w:p>
    <w:p w14:paraId="275714F5"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7.12.1.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bookmarkEnd w:id="4"/>
      <w:r w:rsidRPr="00DE2486">
        <w:rPr>
          <w:rFonts w:ascii="Tahoma" w:hAnsi="Tahoma" w:cs="Tahoma"/>
        </w:rPr>
        <w:t>.</w:t>
      </w:r>
    </w:p>
    <w:bookmarkEnd w:id="5"/>
    <w:p w14:paraId="52CBB6A5" w14:textId="77777777" w:rsidR="00DE2486" w:rsidRPr="00DE2486" w:rsidRDefault="00DE2486" w:rsidP="00DE2486">
      <w:pPr>
        <w:spacing w:after="0" w:line="280" w:lineRule="atLeast"/>
        <w:jc w:val="both"/>
        <w:rPr>
          <w:rFonts w:ascii="Tahoma" w:hAnsi="Tahoma" w:cs="Tahoma"/>
        </w:rPr>
      </w:pPr>
    </w:p>
    <w:p w14:paraId="6C2AC842"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CLÁUSULA OITAVA – DA DISTRIBUIÇÃO DE RESULTADOS</w:t>
      </w:r>
    </w:p>
    <w:p w14:paraId="40517088" w14:textId="77777777" w:rsidR="00DE2486" w:rsidRPr="00DE2486" w:rsidRDefault="00DE2486" w:rsidP="00DE2486">
      <w:pPr>
        <w:spacing w:after="0" w:line="280" w:lineRule="atLeast"/>
        <w:jc w:val="both"/>
        <w:rPr>
          <w:rFonts w:ascii="Tahoma" w:hAnsi="Tahoma" w:cs="Tahoma"/>
          <w:b/>
        </w:rPr>
      </w:pPr>
    </w:p>
    <w:p w14:paraId="0F56E242"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8.1. Os resultados oriundos dos Ativos Financeiros integrantes da Carteira do FUNDO serão incorporados ao seu patrimônio.</w:t>
      </w:r>
    </w:p>
    <w:p w14:paraId="1332B115" w14:textId="77777777" w:rsidR="00DE2486" w:rsidRPr="00DE2486" w:rsidRDefault="00DE2486" w:rsidP="00DE2486">
      <w:pPr>
        <w:spacing w:after="0" w:line="280" w:lineRule="atLeast"/>
        <w:jc w:val="both"/>
        <w:rPr>
          <w:rFonts w:ascii="Tahoma" w:hAnsi="Tahoma" w:cs="Tahoma"/>
        </w:rPr>
      </w:pPr>
    </w:p>
    <w:p w14:paraId="1AC02176"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CLÁUSULA NONA– DO EXERCÍCIO SOCIAL</w:t>
      </w:r>
    </w:p>
    <w:p w14:paraId="57D0737F" w14:textId="77777777" w:rsidR="00DE2486" w:rsidRPr="00DE2486" w:rsidRDefault="00DE2486" w:rsidP="00DE2486">
      <w:pPr>
        <w:spacing w:after="0" w:line="280" w:lineRule="atLeast"/>
        <w:jc w:val="both"/>
        <w:rPr>
          <w:rFonts w:ascii="Tahoma" w:hAnsi="Tahoma" w:cs="Tahoma"/>
        </w:rPr>
      </w:pPr>
    </w:p>
    <w:p w14:paraId="72EBC1D9"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9.1. O exercício social do FUNDO terá início em 1º de janeiro de cada ano e término </w:t>
      </w:r>
      <w:r w:rsidRPr="00DE2486">
        <w:rPr>
          <w:rFonts w:ascii="Tahoma" w:hAnsi="Tahoma" w:cs="Tahoma"/>
          <w:color w:val="000000"/>
        </w:rPr>
        <w:t xml:space="preserve">no último dia do mês de </w:t>
      </w:r>
      <w:r w:rsidRPr="00DE2486">
        <w:rPr>
          <w:rFonts w:ascii="Tahoma" w:hAnsi="Tahoma" w:cs="Tahoma"/>
        </w:rPr>
        <w:t>dezembro do mesmo ano.</w:t>
      </w:r>
    </w:p>
    <w:p w14:paraId="5978A58E" w14:textId="77777777" w:rsidR="00DE2486" w:rsidRPr="00DE2486" w:rsidRDefault="00DE2486" w:rsidP="00DE2486">
      <w:pPr>
        <w:spacing w:after="0" w:line="280" w:lineRule="atLeast"/>
        <w:jc w:val="both"/>
        <w:rPr>
          <w:rFonts w:ascii="Tahoma" w:hAnsi="Tahoma" w:cs="Tahoma"/>
        </w:rPr>
      </w:pPr>
    </w:p>
    <w:p w14:paraId="04741F04" w14:textId="77777777" w:rsidR="00DE2486" w:rsidRPr="00DE2486" w:rsidRDefault="00DE2486" w:rsidP="00DE2486">
      <w:pPr>
        <w:pBdr>
          <w:bottom w:val="single" w:sz="6" w:space="1" w:color="auto"/>
        </w:pBdr>
        <w:spacing w:after="0" w:line="280" w:lineRule="atLeast"/>
        <w:jc w:val="center"/>
        <w:rPr>
          <w:rFonts w:ascii="Tahoma" w:hAnsi="Tahoma" w:cs="Tahoma"/>
          <w:b/>
        </w:rPr>
      </w:pPr>
      <w:r w:rsidRPr="00DE2486">
        <w:rPr>
          <w:rFonts w:ascii="Tahoma" w:hAnsi="Tahoma" w:cs="Tahoma"/>
          <w:b/>
        </w:rPr>
        <w:t>CLÁUSULA DÉCIMA – DAS DISPOSIÇÕES GERAIS</w:t>
      </w:r>
    </w:p>
    <w:p w14:paraId="75D69B8A" w14:textId="77777777" w:rsidR="00DE2486" w:rsidRPr="00DE2486" w:rsidRDefault="00DE2486" w:rsidP="00DE2486">
      <w:pPr>
        <w:spacing w:after="0" w:line="280" w:lineRule="atLeast"/>
        <w:jc w:val="both"/>
        <w:rPr>
          <w:rFonts w:ascii="Tahoma" w:hAnsi="Tahoma" w:cs="Tahoma"/>
        </w:rPr>
      </w:pPr>
    </w:p>
    <w:p w14:paraId="4519FB16" w14:textId="77777777" w:rsidR="00DE2486" w:rsidRPr="00DE2486" w:rsidRDefault="00DE2486" w:rsidP="00DE2486">
      <w:pPr>
        <w:spacing w:after="0" w:line="280" w:lineRule="atLeast"/>
        <w:jc w:val="both"/>
        <w:rPr>
          <w:rFonts w:ascii="Tahoma" w:hAnsi="Tahoma" w:cs="Tahoma"/>
          <w:iCs/>
        </w:rPr>
      </w:pPr>
      <w:r w:rsidRPr="00DE2486">
        <w:rPr>
          <w:rFonts w:ascii="Tahoma" w:hAnsi="Tahoma" w:cs="Tahoma"/>
        </w:rPr>
        <w:t xml:space="preserve">10.1. </w:t>
      </w:r>
      <w:r w:rsidRPr="00DE2486">
        <w:rPr>
          <w:rFonts w:ascii="Tahoma" w:hAnsi="Tahoma" w:cs="Tahoma"/>
          <w:iCs/>
        </w:rPr>
        <w:t xml:space="preserve">As informações gerais a respeito da assembleia geral </w:t>
      </w:r>
      <w:proofErr w:type="gramStart"/>
      <w:r w:rsidRPr="00DE2486">
        <w:rPr>
          <w:rFonts w:ascii="Tahoma" w:hAnsi="Tahoma" w:cs="Tahoma"/>
          <w:iCs/>
        </w:rPr>
        <w:t>de Cotistas</w:t>
      </w:r>
      <w:proofErr w:type="gramEnd"/>
      <w:r w:rsidRPr="00DE2486">
        <w:rPr>
          <w:rFonts w:ascii="Tahoma" w:hAnsi="Tahoma" w:cs="Tahoma"/>
          <w:iCs/>
        </w:rPr>
        <w:t xml:space="preserve"> constam do Formulário e da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30 dias corridos a contar da data da emissão da consulta. </w:t>
      </w:r>
    </w:p>
    <w:p w14:paraId="10C261DF" w14:textId="77777777" w:rsidR="00DE2486" w:rsidRPr="00DE2486" w:rsidRDefault="00DE2486" w:rsidP="00DE2486">
      <w:pPr>
        <w:spacing w:after="0" w:line="280" w:lineRule="atLeast"/>
        <w:jc w:val="both"/>
        <w:rPr>
          <w:rFonts w:ascii="Tahoma" w:hAnsi="Tahoma" w:cs="Tahoma"/>
          <w:iCs/>
        </w:rPr>
      </w:pPr>
    </w:p>
    <w:p w14:paraId="0C316A8D" w14:textId="77777777" w:rsidR="00DE2486" w:rsidRPr="00DE2486" w:rsidRDefault="00DE2486" w:rsidP="00DE2486">
      <w:pPr>
        <w:spacing w:after="0" w:line="280" w:lineRule="atLeast"/>
        <w:jc w:val="both"/>
        <w:rPr>
          <w:rFonts w:ascii="Tahoma" w:hAnsi="Tahoma" w:cs="Tahoma"/>
        </w:rPr>
      </w:pPr>
      <w:r w:rsidRPr="00DE2486">
        <w:rPr>
          <w:rFonts w:ascii="Tahoma" w:hAnsi="Tahoma" w:cs="Tahoma"/>
          <w:iCs/>
        </w:rPr>
        <w:t xml:space="preserve">10.1.1. A assembleia geral </w:t>
      </w:r>
      <w:proofErr w:type="gramStart"/>
      <w:r w:rsidRPr="00DE2486">
        <w:rPr>
          <w:rFonts w:ascii="Tahoma" w:hAnsi="Tahoma" w:cs="Tahoma"/>
          <w:iCs/>
        </w:rPr>
        <w:t>de Cotistas</w:t>
      </w:r>
      <w:proofErr w:type="gramEnd"/>
      <w:r w:rsidRPr="00DE2486">
        <w:rPr>
          <w:rFonts w:ascii="Tahoma" w:hAnsi="Tahoma" w:cs="Tahoma"/>
          <w:iCs/>
        </w:rPr>
        <w:t xml:space="preserve"> realizada mediante consulta formal poderá ser instalada com qualquer número de Cotistas, de modo que as deliberações serão tomadas por maioria de votos enviados ao ADMINISTRADOR, cabendo a cada cota 1 voto.</w:t>
      </w:r>
    </w:p>
    <w:p w14:paraId="5ED16216" w14:textId="77777777" w:rsidR="00DE2486" w:rsidRPr="00DE2486" w:rsidRDefault="00DE2486" w:rsidP="00DE2486">
      <w:pPr>
        <w:spacing w:after="0" w:line="280" w:lineRule="atLeast"/>
        <w:jc w:val="both"/>
        <w:rPr>
          <w:rFonts w:ascii="Tahoma" w:hAnsi="Tahoma" w:cs="Tahoma"/>
        </w:rPr>
      </w:pPr>
    </w:p>
    <w:p w14:paraId="21ACCF0B"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10.2. As informações ou documentos relacionados ao FUNDO serão comunicados, enviados, divulgados e/ou disponibilizados pelo ADMINISTRADOR aos Cotistas, ou por eles acessados, por meio físico ou por meio de canais eletrônicos, inclusive pela rede mundial de computadores. </w:t>
      </w:r>
    </w:p>
    <w:p w14:paraId="7D8FA5CB" w14:textId="77777777" w:rsidR="00DE2486" w:rsidRPr="00DE2486" w:rsidRDefault="00DE2486" w:rsidP="00DE2486">
      <w:pPr>
        <w:spacing w:after="0" w:line="280" w:lineRule="atLeast"/>
        <w:jc w:val="both"/>
        <w:rPr>
          <w:rFonts w:ascii="Tahoma" w:hAnsi="Tahoma" w:cs="Tahoma"/>
        </w:rPr>
      </w:pPr>
    </w:p>
    <w:p w14:paraId="0AD863EC"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10.3.</w:t>
      </w:r>
      <w:r w:rsidRPr="00DE2486">
        <w:rPr>
          <w:rFonts w:ascii="Tahoma" w:hAnsi="Tahoma" w:cs="Tahoma"/>
        </w:rPr>
        <w:tab/>
        <w:t>Admite-se, nas hipóteses em que este Regulamento exija a “ciência”, “atesto”, “manifestação de voto” ou “concordância” dos Cotistas, que estes se deem por meio eletrônico.</w:t>
      </w:r>
    </w:p>
    <w:p w14:paraId="2A7DFBEC" w14:textId="77777777" w:rsidR="00DE2486" w:rsidRPr="00DE2486" w:rsidRDefault="00DE2486" w:rsidP="00DE2486">
      <w:pPr>
        <w:spacing w:after="0" w:line="280" w:lineRule="atLeast"/>
        <w:jc w:val="both"/>
        <w:rPr>
          <w:rFonts w:ascii="Tahoma" w:hAnsi="Tahoma" w:cs="Tahoma"/>
        </w:rPr>
      </w:pPr>
    </w:p>
    <w:p w14:paraId="3E366680"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10.4. O atendimento aos Cotistas para receber e encaminhar questões relacionadas ao Fundo será realizado por meio da Central de Atendimento do Santander, pelos seguintes meios:</w:t>
      </w:r>
    </w:p>
    <w:p w14:paraId="48070734" w14:textId="77777777" w:rsidR="00DE2486" w:rsidRPr="00DE2486" w:rsidRDefault="00DE2486" w:rsidP="00DE2486">
      <w:pPr>
        <w:spacing w:after="0" w:line="280" w:lineRule="atLeast"/>
        <w:jc w:val="both"/>
        <w:rPr>
          <w:rFonts w:ascii="Tahoma" w:hAnsi="Tahoma" w:cs="Tahoma"/>
        </w:rPr>
      </w:pPr>
    </w:p>
    <w:p w14:paraId="50AC336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Capitais e Regiões Metropolitanas: 4004-3535</w:t>
      </w:r>
    </w:p>
    <w:p w14:paraId="793CC444"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Demais localidades: 0800-702-3535</w:t>
      </w:r>
    </w:p>
    <w:p w14:paraId="2B425A58"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Serviço de Apoio ao Consumidor – SAC: 0800-762-7777</w:t>
      </w:r>
    </w:p>
    <w:p w14:paraId="2B909C5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Ouvidoria: 0800-726-0322</w:t>
      </w:r>
    </w:p>
    <w:p w14:paraId="65CA7C30" w14:textId="77777777" w:rsidR="00DE2486" w:rsidRPr="00DE2486" w:rsidRDefault="00DE2486" w:rsidP="00DE2486">
      <w:pPr>
        <w:spacing w:after="0" w:line="280" w:lineRule="atLeast"/>
        <w:jc w:val="both"/>
        <w:rPr>
          <w:rFonts w:ascii="Tahoma" w:hAnsi="Tahoma" w:cs="Tahoma"/>
        </w:rPr>
      </w:pPr>
    </w:p>
    <w:p w14:paraId="240B1B53"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10.5. Os valores mínimos e máximos de investimento inicial, movimentação e manutenção encontram-se indicados no Formulário. </w:t>
      </w:r>
    </w:p>
    <w:p w14:paraId="5924097B" w14:textId="77777777" w:rsidR="00DE2486" w:rsidRPr="00DE2486" w:rsidRDefault="00DE2486" w:rsidP="00DE2486">
      <w:pPr>
        <w:spacing w:after="0" w:line="280" w:lineRule="atLeast"/>
        <w:jc w:val="both"/>
        <w:rPr>
          <w:rFonts w:ascii="Tahoma" w:hAnsi="Tahoma" w:cs="Tahoma"/>
        </w:rPr>
      </w:pPr>
    </w:p>
    <w:p w14:paraId="568C94B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 xml:space="preserve">10.6. Para transmissão de ordens de aplicação e de resgate de cotas do FUNDO, os Cotistas utilizarão os meios disponibilizados pelo ADMINISTRADOR para tal finalidade. </w:t>
      </w:r>
    </w:p>
    <w:p w14:paraId="6A3212EF" w14:textId="77777777" w:rsidR="00DE2486" w:rsidRPr="00DE2486" w:rsidRDefault="00DE2486" w:rsidP="00DE2486">
      <w:pPr>
        <w:spacing w:after="0" w:line="280" w:lineRule="atLeast"/>
        <w:jc w:val="both"/>
        <w:rPr>
          <w:rFonts w:ascii="Tahoma" w:hAnsi="Tahoma" w:cs="Tahoma"/>
        </w:rPr>
      </w:pPr>
    </w:p>
    <w:p w14:paraId="1E0D4E97"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10.7. O ADMINISTRADOR poderá gravar toda e qualquer ligação telefônica mantida entre o ADMINISTRADOR e os Cotistas, bem como, utilizar referidas gravações para efeito de prova das ordens transmitidas e das demais informações nelas contidas.</w:t>
      </w:r>
    </w:p>
    <w:p w14:paraId="7F8CC2AE" w14:textId="77777777" w:rsidR="00DE2486" w:rsidRPr="00DE2486" w:rsidRDefault="00DE2486" w:rsidP="00DE2486">
      <w:pPr>
        <w:spacing w:after="0" w:line="280" w:lineRule="atLeast"/>
        <w:jc w:val="both"/>
        <w:rPr>
          <w:rFonts w:ascii="Tahoma" w:hAnsi="Tahoma" w:cs="Tahoma"/>
        </w:rPr>
      </w:pPr>
    </w:p>
    <w:p w14:paraId="56158685" w14:textId="77777777" w:rsidR="00DE2486" w:rsidRPr="00DE2486" w:rsidRDefault="00DE2486" w:rsidP="00DE2486">
      <w:pPr>
        <w:spacing w:after="0" w:line="280" w:lineRule="atLeast"/>
        <w:jc w:val="both"/>
        <w:rPr>
          <w:rFonts w:ascii="Tahoma" w:hAnsi="Tahoma" w:cs="Tahoma"/>
        </w:rPr>
      </w:pPr>
      <w:r w:rsidRPr="00DE2486">
        <w:rPr>
          <w:rFonts w:ascii="Tahoma" w:hAnsi="Tahoma" w:cs="Tahoma"/>
        </w:rPr>
        <w:t>10.8. Fica eleito o foro da Comarca da Capital do Estado de São Paulo, com a exclusão de qualquer outro, por mais privilegiado que seja, para dirimir quaisquer dúvidas ou controvérsias advindas deste Regulamento.</w:t>
      </w:r>
    </w:p>
    <w:p w14:paraId="12D67928" w14:textId="77777777" w:rsidR="00DE2486" w:rsidRPr="00DE2486" w:rsidRDefault="00DE2486" w:rsidP="00DE2486">
      <w:pPr>
        <w:spacing w:after="0" w:line="280" w:lineRule="atLeast"/>
        <w:jc w:val="both"/>
        <w:rPr>
          <w:rFonts w:ascii="Tahoma" w:hAnsi="Tahoma" w:cs="Tahoma"/>
        </w:rPr>
      </w:pPr>
    </w:p>
    <w:p w14:paraId="204B65E9" w14:textId="47EAB622" w:rsidR="00DE2486" w:rsidRPr="00DE2486" w:rsidRDefault="00DE2486" w:rsidP="007F76B3">
      <w:pPr>
        <w:spacing w:after="0" w:line="280" w:lineRule="atLeast"/>
        <w:jc w:val="center"/>
        <w:rPr>
          <w:rFonts w:ascii="Tahoma" w:hAnsi="Tahoma" w:cs="Tahoma"/>
          <w:highlight w:val="yellow"/>
        </w:rPr>
      </w:pPr>
      <w:r w:rsidRPr="00DE2486">
        <w:rPr>
          <w:rFonts w:ascii="Tahoma" w:hAnsi="Tahoma" w:cs="Tahoma"/>
        </w:rPr>
        <w:t xml:space="preserve">São Paulo, </w:t>
      </w:r>
      <w:r w:rsidR="007F76B3">
        <w:rPr>
          <w:rFonts w:ascii="Tahoma" w:hAnsi="Tahoma" w:cs="Tahoma"/>
        </w:rPr>
        <w:t>01 de novembro de 2023.</w:t>
      </w:r>
    </w:p>
    <w:p w14:paraId="0791527F" w14:textId="77777777" w:rsidR="00DE2486" w:rsidRPr="00DE2486" w:rsidRDefault="00DE2486" w:rsidP="00DE2486">
      <w:pPr>
        <w:spacing w:after="0" w:line="280" w:lineRule="atLeast"/>
        <w:jc w:val="both"/>
        <w:rPr>
          <w:rFonts w:ascii="Tahoma" w:hAnsi="Tahoma" w:cs="Tahoma"/>
          <w:highlight w:val="yellow"/>
        </w:rPr>
      </w:pPr>
    </w:p>
    <w:p w14:paraId="6D16841D" w14:textId="77777777" w:rsidR="00DE2486" w:rsidRPr="00DE2486" w:rsidRDefault="00DE2486" w:rsidP="00DE2486">
      <w:pPr>
        <w:spacing w:after="0"/>
        <w:jc w:val="center"/>
        <w:rPr>
          <w:rFonts w:ascii="Tahoma" w:hAnsi="Tahoma" w:cs="Tahoma"/>
          <w:b/>
          <w:color w:val="000000"/>
          <w:spacing w:val="5"/>
        </w:rPr>
      </w:pPr>
      <w:r w:rsidRPr="00DE2486">
        <w:rPr>
          <w:rFonts w:ascii="Tahoma" w:hAnsi="Tahoma" w:cs="Tahoma"/>
          <w:b/>
          <w:color w:val="000000"/>
          <w:spacing w:val="5"/>
        </w:rPr>
        <w:t>SANTANDER DISTRIBUIDORA DE TÍTULOS E VALORES MOBILIÁRIOS S.A.</w:t>
      </w:r>
    </w:p>
    <w:p w14:paraId="13D72C4C" w14:textId="77777777" w:rsidR="00DE2486" w:rsidRPr="00DE2486" w:rsidRDefault="00DE2486" w:rsidP="00DE2486">
      <w:pPr>
        <w:spacing w:after="0"/>
        <w:jc w:val="center"/>
        <w:rPr>
          <w:rFonts w:ascii="Tahoma" w:hAnsi="Tahoma" w:cs="Tahoma"/>
        </w:rPr>
      </w:pPr>
      <w:r w:rsidRPr="00DE2486">
        <w:rPr>
          <w:rFonts w:ascii="Tahoma" w:hAnsi="Tahoma" w:cs="Tahoma"/>
          <w:b/>
          <w:color w:val="000000"/>
          <w:spacing w:val="5"/>
        </w:rPr>
        <w:t>Administrador</w:t>
      </w:r>
    </w:p>
    <w:p w14:paraId="40CB187B" w14:textId="77777777" w:rsidR="00DE2486" w:rsidRPr="00DE2486" w:rsidRDefault="00DE2486" w:rsidP="00DE2486">
      <w:pPr>
        <w:spacing w:after="0"/>
        <w:rPr>
          <w:rFonts w:ascii="Tahoma" w:hAnsi="Tahoma" w:cs="Tahoma"/>
        </w:rPr>
      </w:pPr>
    </w:p>
    <w:p w14:paraId="3987F05A" w14:textId="77777777" w:rsidR="00032303" w:rsidRPr="006B7B27" w:rsidRDefault="00032303" w:rsidP="00032303">
      <w:pPr>
        <w:rPr>
          <w:lang w:eastAsia="pt-BR"/>
        </w:rPr>
      </w:pPr>
    </w:p>
    <w:bookmarkEnd w:id="0"/>
    <w:sectPr w:rsidR="00032303" w:rsidRPr="006B7B27" w:rsidSect="003F400C">
      <w:headerReference w:type="default" r:id="rId8"/>
      <w:pgSz w:w="11906" w:h="16838"/>
      <w:pgMar w:top="720" w:right="720" w:bottom="113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0DEB" w14:textId="77777777" w:rsidR="00E105DA" w:rsidRDefault="00E105DA" w:rsidP="00E105DA">
      <w:pPr>
        <w:spacing w:after="0" w:line="240" w:lineRule="auto"/>
      </w:pPr>
      <w:r>
        <w:separator/>
      </w:r>
    </w:p>
  </w:endnote>
  <w:endnote w:type="continuationSeparator" w:id="0">
    <w:p w14:paraId="70E172F3" w14:textId="77777777" w:rsidR="00E105DA" w:rsidRDefault="00E105DA" w:rsidP="00E1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F045E" w14:textId="77777777" w:rsidR="00E105DA" w:rsidRDefault="00E105DA" w:rsidP="00E105DA">
      <w:pPr>
        <w:spacing w:after="0" w:line="240" w:lineRule="auto"/>
      </w:pPr>
      <w:r>
        <w:separator/>
      </w:r>
    </w:p>
  </w:footnote>
  <w:footnote w:type="continuationSeparator" w:id="0">
    <w:p w14:paraId="0B408C8F" w14:textId="77777777" w:rsidR="00E105DA" w:rsidRDefault="00E105DA" w:rsidP="00E10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1607C" w14:textId="77777777" w:rsidR="003F400C" w:rsidRDefault="003F400C">
    <w:pPr>
      <w:pStyle w:val="Cabealho"/>
    </w:pPr>
    <w:r>
      <w:rPr>
        <w:b/>
        <w:noProof/>
        <w:sz w:val="30"/>
        <w:szCs w:val="30"/>
        <w:highlight w:val="yellow"/>
      </w:rPr>
      <w:drawing>
        <wp:anchor distT="0" distB="0" distL="114300" distR="114300" simplePos="0" relativeHeight="251661312" behindDoc="0" locked="0" layoutInCell="1" allowOverlap="1" wp14:anchorId="769F5EFE" wp14:editId="5B0C3055">
          <wp:simplePos x="0" y="0"/>
          <wp:positionH relativeFrom="column">
            <wp:posOffset>4334213</wp:posOffset>
          </wp:positionH>
          <wp:positionV relativeFrom="paragraph">
            <wp:posOffset>-440071</wp:posOffset>
          </wp:positionV>
          <wp:extent cx="2252131" cy="553085"/>
          <wp:effectExtent l="0" t="0" r="0" b="0"/>
          <wp:wrapNone/>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Logotipo, nome da empresa&#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2131"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47E49"/>
    <w:multiLevelType w:val="hybridMultilevel"/>
    <w:tmpl w:val="7DEEA5E6"/>
    <w:lvl w:ilvl="0" w:tplc="133A173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2E31A9"/>
    <w:multiLevelType w:val="hybridMultilevel"/>
    <w:tmpl w:val="2800E976"/>
    <w:lvl w:ilvl="0" w:tplc="E3200766">
      <w:start w:val="1"/>
      <w:numFmt w:val="lowerLetter"/>
      <w:lvlText w:val="(%1)"/>
      <w:lvlJc w:val="left"/>
      <w:pPr>
        <w:ind w:left="735" w:hanging="37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8131AC8"/>
    <w:multiLevelType w:val="hybridMultilevel"/>
    <w:tmpl w:val="37285EC0"/>
    <w:lvl w:ilvl="0" w:tplc="F4DE6F74">
      <w:start w:val="1"/>
      <w:numFmt w:val="lowerLetter"/>
      <w:lvlText w:val="(%1)"/>
      <w:lvlJc w:val="left"/>
      <w:pPr>
        <w:ind w:left="750" w:hanging="39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2052E25"/>
    <w:multiLevelType w:val="hybridMultilevel"/>
    <w:tmpl w:val="7DEEA5E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1011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3718377">
    <w:abstractNumId w:val="0"/>
  </w:num>
  <w:num w:numId="3" w16cid:durableId="120459621">
    <w:abstractNumId w:val="3"/>
  </w:num>
  <w:num w:numId="4" w16cid:durableId="67699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DA"/>
    <w:rsid w:val="00032303"/>
    <w:rsid w:val="000A6265"/>
    <w:rsid w:val="000A7805"/>
    <w:rsid w:val="000C5E39"/>
    <w:rsid w:val="00123EBD"/>
    <w:rsid w:val="001312D0"/>
    <w:rsid w:val="00177D37"/>
    <w:rsid w:val="0018403A"/>
    <w:rsid w:val="001D1082"/>
    <w:rsid w:val="001F1471"/>
    <w:rsid w:val="00241A26"/>
    <w:rsid w:val="00270C2F"/>
    <w:rsid w:val="00272150"/>
    <w:rsid w:val="002C20A4"/>
    <w:rsid w:val="002F028C"/>
    <w:rsid w:val="003028E3"/>
    <w:rsid w:val="00305983"/>
    <w:rsid w:val="0032189E"/>
    <w:rsid w:val="003266D7"/>
    <w:rsid w:val="00337239"/>
    <w:rsid w:val="0036399C"/>
    <w:rsid w:val="00372660"/>
    <w:rsid w:val="0037385B"/>
    <w:rsid w:val="003B5532"/>
    <w:rsid w:val="003E3857"/>
    <w:rsid w:val="003F2CC8"/>
    <w:rsid w:val="003F400C"/>
    <w:rsid w:val="003F5124"/>
    <w:rsid w:val="004043B6"/>
    <w:rsid w:val="00442FF0"/>
    <w:rsid w:val="00443C2F"/>
    <w:rsid w:val="00495FDE"/>
    <w:rsid w:val="004A5BED"/>
    <w:rsid w:val="004B2EDA"/>
    <w:rsid w:val="004C45FD"/>
    <w:rsid w:val="00513AC3"/>
    <w:rsid w:val="00526836"/>
    <w:rsid w:val="0053131C"/>
    <w:rsid w:val="005317FB"/>
    <w:rsid w:val="005474F6"/>
    <w:rsid w:val="00571ECB"/>
    <w:rsid w:val="00584A93"/>
    <w:rsid w:val="005A67E2"/>
    <w:rsid w:val="00610288"/>
    <w:rsid w:val="00644174"/>
    <w:rsid w:val="0065276D"/>
    <w:rsid w:val="00662D0A"/>
    <w:rsid w:val="00680E65"/>
    <w:rsid w:val="006D6139"/>
    <w:rsid w:val="006E3903"/>
    <w:rsid w:val="00705D2C"/>
    <w:rsid w:val="00712727"/>
    <w:rsid w:val="00767045"/>
    <w:rsid w:val="007E7087"/>
    <w:rsid w:val="007F76B3"/>
    <w:rsid w:val="0080348B"/>
    <w:rsid w:val="00820101"/>
    <w:rsid w:val="00861A26"/>
    <w:rsid w:val="008930D2"/>
    <w:rsid w:val="00894429"/>
    <w:rsid w:val="008A23B7"/>
    <w:rsid w:val="008B047A"/>
    <w:rsid w:val="008F4767"/>
    <w:rsid w:val="009155BD"/>
    <w:rsid w:val="00937311"/>
    <w:rsid w:val="009A2EAE"/>
    <w:rsid w:val="009C1A9E"/>
    <w:rsid w:val="009F6AE1"/>
    <w:rsid w:val="00A46C85"/>
    <w:rsid w:val="00A82CDC"/>
    <w:rsid w:val="00A83B21"/>
    <w:rsid w:val="00A96E61"/>
    <w:rsid w:val="00AC7C14"/>
    <w:rsid w:val="00AD4A4C"/>
    <w:rsid w:val="00AE414E"/>
    <w:rsid w:val="00AE56E2"/>
    <w:rsid w:val="00B1309C"/>
    <w:rsid w:val="00B147C6"/>
    <w:rsid w:val="00B166BB"/>
    <w:rsid w:val="00B17F9F"/>
    <w:rsid w:val="00B5246E"/>
    <w:rsid w:val="00B95E31"/>
    <w:rsid w:val="00BA1C02"/>
    <w:rsid w:val="00BA404A"/>
    <w:rsid w:val="00BA40E2"/>
    <w:rsid w:val="00BC0A8C"/>
    <w:rsid w:val="00C50183"/>
    <w:rsid w:val="00C6073F"/>
    <w:rsid w:val="00C836F0"/>
    <w:rsid w:val="00C912C4"/>
    <w:rsid w:val="00C932B7"/>
    <w:rsid w:val="00CD690D"/>
    <w:rsid w:val="00D56BFB"/>
    <w:rsid w:val="00D6035A"/>
    <w:rsid w:val="00DE2486"/>
    <w:rsid w:val="00DE7071"/>
    <w:rsid w:val="00E105DA"/>
    <w:rsid w:val="00E1683F"/>
    <w:rsid w:val="00E25409"/>
    <w:rsid w:val="00E6209E"/>
    <w:rsid w:val="00E65FB1"/>
    <w:rsid w:val="00E93C22"/>
    <w:rsid w:val="00EC5806"/>
    <w:rsid w:val="00F241E3"/>
    <w:rsid w:val="00F70E5C"/>
    <w:rsid w:val="00F877DF"/>
    <w:rsid w:val="00FA5739"/>
    <w:rsid w:val="00FB0C98"/>
    <w:rsid w:val="00FF2F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5150D"/>
  <w15:chartTrackingRefBased/>
  <w15:docId w15:val="{C69CA935-6B22-420B-AADF-E39B19C8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AC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13AC3"/>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uiPriority w:val="99"/>
    <w:rsid w:val="00513AC3"/>
    <w:rPr>
      <w:rFonts w:ascii="Times New Roman" w:eastAsia="Times New Roman" w:hAnsi="Times New Roman" w:cs="Times New Roman"/>
      <w:sz w:val="20"/>
      <w:szCs w:val="20"/>
      <w:lang w:val="en-GB" w:eastAsia="pt-BR"/>
    </w:rPr>
  </w:style>
  <w:style w:type="paragraph" w:styleId="Rodap">
    <w:name w:val="footer"/>
    <w:basedOn w:val="Normal"/>
    <w:link w:val="RodapChar"/>
    <w:uiPriority w:val="99"/>
    <w:unhideWhenUsed/>
    <w:rsid w:val="00513AC3"/>
    <w:pPr>
      <w:tabs>
        <w:tab w:val="center" w:pos="4252"/>
        <w:tab w:val="right" w:pos="8504"/>
      </w:tabs>
      <w:spacing w:after="0" w:line="240" w:lineRule="auto"/>
    </w:pPr>
  </w:style>
  <w:style w:type="character" w:customStyle="1" w:styleId="RodapChar">
    <w:name w:val="Rodapé Char"/>
    <w:basedOn w:val="Fontepargpadro"/>
    <w:link w:val="Rodap"/>
    <w:uiPriority w:val="99"/>
    <w:rsid w:val="00513AC3"/>
  </w:style>
  <w:style w:type="paragraph" w:styleId="PargrafodaLista">
    <w:name w:val="List Paragraph"/>
    <w:basedOn w:val="Normal"/>
    <w:uiPriority w:val="34"/>
    <w:qFormat/>
    <w:rsid w:val="00513AC3"/>
    <w:pPr>
      <w:spacing w:after="0" w:line="240" w:lineRule="auto"/>
      <w:ind w:left="708"/>
    </w:pPr>
    <w:rPr>
      <w:rFonts w:ascii="Times New Roman" w:eastAsia="Times New Roman" w:hAnsi="Times New Roman" w:cs="Times New Roman"/>
      <w:sz w:val="20"/>
      <w:szCs w:val="20"/>
      <w:lang w:val="en-GB" w:eastAsia="pt-BR"/>
    </w:rPr>
  </w:style>
  <w:style w:type="paragraph" w:styleId="Ttulo">
    <w:name w:val="Title"/>
    <w:basedOn w:val="Normal"/>
    <w:link w:val="TtuloChar"/>
    <w:qFormat/>
    <w:rsid w:val="00513AC3"/>
    <w:pPr>
      <w:widowControl w:val="0"/>
      <w:spacing w:after="0" w:line="320" w:lineRule="exact"/>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513AC3"/>
    <w:rPr>
      <w:rFonts w:ascii="Times New Roman" w:eastAsia="Times New Roman" w:hAnsi="Times New Roman" w:cs="Times New Roman"/>
      <w:b/>
      <w:sz w:val="24"/>
      <w:szCs w:val="20"/>
      <w:lang w:eastAsia="pt-BR"/>
    </w:rPr>
  </w:style>
  <w:style w:type="character" w:styleId="Nmerodepgina">
    <w:name w:val="page number"/>
    <w:basedOn w:val="Fontepargpadro"/>
    <w:rsid w:val="00513AC3"/>
  </w:style>
  <w:style w:type="paragraph" w:styleId="Textodecomentrio">
    <w:name w:val="annotation text"/>
    <w:basedOn w:val="Normal"/>
    <w:link w:val="TextodecomentrioChar1"/>
    <w:semiHidden/>
    <w:rsid w:val="00513AC3"/>
    <w:pPr>
      <w:spacing w:after="0" w:line="240" w:lineRule="auto"/>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semiHidden/>
    <w:rsid w:val="00513AC3"/>
    <w:rPr>
      <w:sz w:val="20"/>
      <w:szCs w:val="20"/>
    </w:rPr>
  </w:style>
  <w:style w:type="character" w:customStyle="1" w:styleId="TextodecomentrioChar1">
    <w:name w:val="Texto de comentário Char1"/>
    <w:link w:val="Textodecomentrio"/>
    <w:semiHidden/>
    <w:locked/>
    <w:rsid w:val="00513AC3"/>
    <w:rPr>
      <w:rFonts w:ascii="Times New Roman" w:eastAsia="Times New Roman" w:hAnsi="Times New Roman" w:cs="Times New Roman"/>
      <w:sz w:val="20"/>
      <w:szCs w:val="20"/>
      <w:lang w:eastAsia="pt-BR"/>
    </w:rPr>
  </w:style>
  <w:style w:type="character" w:styleId="Refdecomentrio">
    <w:name w:val="annotation reference"/>
    <w:basedOn w:val="Fontepargpadro"/>
    <w:semiHidden/>
    <w:unhideWhenUsed/>
    <w:rsid w:val="00513AC3"/>
    <w:rPr>
      <w:sz w:val="16"/>
      <w:szCs w:val="16"/>
    </w:rPr>
  </w:style>
  <w:style w:type="paragraph" w:styleId="Corpodetexto">
    <w:name w:val="Body Text"/>
    <w:aliases w:val="Corpo de texto Char Char Char Char Char,Corpo de texto Char Char Char Char"/>
    <w:basedOn w:val="Normal"/>
    <w:link w:val="CorpodetextoChar"/>
    <w:rsid w:val="00C6073F"/>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aliases w:val="Corpo de texto Char Char Char Char Char Char,Corpo de texto Char Char Char Char Char1"/>
    <w:basedOn w:val="Fontepargpadro"/>
    <w:link w:val="Corpodetexto"/>
    <w:rsid w:val="00C6073F"/>
    <w:rPr>
      <w:rFonts w:ascii="Times New Roman" w:eastAsia="Times New Roman" w:hAnsi="Times New Roman" w:cs="Times New Roman"/>
      <w:b/>
      <w:sz w:val="28"/>
      <w:szCs w:val="20"/>
      <w:lang w:val="en-AU"/>
    </w:rPr>
  </w:style>
  <w:style w:type="paragraph" w:customStyle="1" w:styleId="CharCharCharCharCharChar">
    <w:name w:val="Char Char Char Char Char Char"/>
    <w:basedOn w:val="Normal"/>
    <w:rsid w:val="00C6073F"/>
    <w:pPr>
      <w:spacing w:line="240" w:lineRule="exact"/>
    </w:pPr>
    <w:rPr>
      <w:rFonts w:ascii="Verdana" w:eastAsia="MS Mincho" w:hAnsi="Verdana"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712727"/>
    <w:pPr>
      <w:spacing w:after="16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1"/>
    <w:link w:val="Assuntodocomentrio"/>
    <w:uiPriority w:val="99"/>
    <w:semiHidden/>
    <w:rsid w:val="00712727"/>
    <w:rPr>
      <w:rFonts w:ascii="Times New Roman" w:eastAsia="Times New Roman" w:hAnsi="Times New Roman" w:cs="Times New Roman"/>
      <w:b/>
      <w:bCs/>
      <w:sz w:val="20"/>
      <w:szCs w:val="20"/>
      <w:lang w:eastAsia="pt-BR"/>
    </w:rPr>
  </w:style>
  <w:style w:type="paragraph" w:styleId="Textodenotaderodap">
    <w:name w:val="footnote text"/>
    <w:basedOn w:val="Normal"/>
    <w:link w:val="TextodenotaderodapChar"/>
    <w:uiPriority w:val="99"/>
    <w:unhideWhenUsed/>
    <w:rsid w:val="005317F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5317FB"/>
    <w:rPr>
      <w:sz w:val="20"/>
      <w:szCs w:val="20"/>
    </w:rPr>
  </w:style>
  <w:style w:type="character" w:styleId="Refdenotaderodap">
    <w:name w:val="footnote reference"/>
    <w:basedOn w:val="Fontepargpadro"/>
    <w:uiPriority w:val="99"/>
    <w:unhideWhenUsed/>
    <w:rsid w:val="005317FB"/>
    <w:rPr>
      <w:vertAlign w:val="superscript"/>
    </w:rPr>
  </w:style>
  <w:style w:type="paragraph" w:styleId="Reviso">
    <w:name w:val="Revision"/>
    <w:hidden/>
    <w:uiPriority w:val="99"/>
    <w:semiHidden/>
    <w:rsid w:val="00F70E5C"/>
    <w:pPr>
      <w:spacing w:after="0" w:line="240" w:lineRule="auto"/>
    </w:pPr>
  </w:style>
  <w:style w:type="paragraph" w:styleId="NormalWeb">
    <w:name w:val="Normal (Web)"/>
    <w:basedOn w:val="Normal"/>
    <w:uiPriority w:val="99"/>
    <w:semiHidden/>
    <w:unhideWhenUsed/>
    <w:rsid w:val="001312D0"/>
    <w:pPr>
      <w:spacing w:before="100" w:after="100" w:line="240" w:lineRule="auto"/>
    </w:pPr>
    <w:rPr>
      <w:rFonts w:ascii="Arial Unicode MS" w:eastAsia="Arial Unicode MS" w:hAnsi="Arial Unicode MS" w:cs="Times New Roman"/>
      <w:sz w:val="24"/>
      <w:szCs w:val="20"/>
      <w:lang w:eastAsia="pt-BR"/>
    </w:rPr>
  </w:style>
  <w:style w:type="paragraph" w:customStyle="1" w:styleId="BodyText21">
    <w:name w:val="Body Text 21"/>
    <w:basedOn w:val="Normal"/>
    <w:uiPriority w:val="99"/>
    <w:rsid w:val="001312D0"/>
    <w:pPr>
      <w:spacing w:after="0" w:line="240" w:lineRule="auto"/>
      <w:jc w:val="both"/>
    </w:pPr>
    <w:rPr>
      <w:rFonts w:ascii="Times New Roman" w:eastAsia="Times New Roman" w:hAnsi="Times New Roman"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45018">
      <w:bodyDiv w:val="1"/>
      <w:marLeft w:val="0"/>
      <w:marRight w:val="0"/>
      <w:marTop w:val="0"/>
      <w:marBottom w:val="0"/>
      <w:divBdr>
        <w:top w:val="none" w:sz="0" w:space="0" w:color="auto"/>
        <w:left w:val="none" w:sz="0" w:space="0" w:color="auto"/>
        <w:bottom w:val="none" w:sz="0" w:space="0" w:color="auto"/>
        <w:right w:val="none" w:sz="0" w:space="0" w:color="auto"/>
      </w:divBdr>
    </w:div>
    <w:div w:id="990983547">
      <w:bodyDiv w:val="1"/>
      <w:marLeft w:val="0"/>
      <w:marRight w:val="0"/>
      <w:marTop w:val="0"/>
      <w:marBottom w:val="0"/>
      <w:divBdr>
        <w:top w:val="none" w:sz="0" w:space="0" w:color="auto"/>
        <w:left w:val="none" w:sz="0" w:space="0" w:color="auto"/>
        <w:bottom w:val="none" w:sz="0" w:space="0" w:color="auto"/>
        <w:right w:val="none" w:sz="0" w:space="0" w:color="auto"/>
      </w:divBdr>
    </w:div>
    <w:div w:id="1212693437">
      <w:bodyDiv w:val="1"/>
      <w:marLeft w:val="0"/>
      <w:marRight w:val="0"/>
      <w:marTop w:val="0"/>
      <w:marBottom w:val="0"/>
      <w:divBdr>
        <w:top w:val="none" w:sz="0" w:space="0" w:color="auto"/>
        <w:left w:val="none" w:sz="0" w:space="0" w:color="auto"/>
        <w:bottom w:val="none" w:sz="0" w:space="0" w:color="auto"/>
        <w:right w:val="none" w:sz="0" w:space="0" w:color="auto"/>
      </w:divBdr>
    </w:div>
    <w:div w:id="1621650238">
      <w:bodyDiv w:val="1"/>
      <w:marLeft w:val="0"/>
      <w:marRight w:val="0"/>
      <w:marTop w:val="0"/>
      <w:marBottom w:val="0"/>
      <w:divBdr>
        <w:top w:val="none" w:sz="0" w:space="0" w:color="auto"/>
        <w:left w:val="none" w:sz="0" w:space="0" w:color="auto"/>
        <w:bottom w:val="none" w:sz="0" w:space="0" w:color="auto"/>
        <w:right w:val="none" w:sz="0" w:space="0" w:color="auto"/>
      </w:divBdr>
    </w:div>
    <w:div w:id="1749964983">
      <w:bodyDiv w:val="1"/>
      <w:marLeft w:val="0"/>
      <w:marRight w:val="0"/>
      <w:marTop w:val="0"/>
      <w:marBottom w:val="0"/>
      <w:divBdr>
        <w:top w:val="none" w:sz="0" w:space="0" w:color="auto"/>
        <w:left w:val="none" w:sz="0" w:space="0" w:color="auto"/>
        <w:bottom w:val="none" w:sz="0" w:space="0" w:color="auto"/>
        <w:right w:val="none" w:sz="0" w:space="0" w:color="auto"/>
      </w:divBdr>
    </w:div>
    <w:div w:id="179066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64672-F6E6-400F-A0A4-010D584E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4198</Words>
  <Characters>22675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Isabela Kussem</dc:creator>
  <cp:keywords/>
  <dc:description/>
  <cp:lastModifiedBy>Jaqueline Santos Lima Reis</cp:lastModifiedBy>
  <cp:revision>3</cp:revision>
  <dcterms:created xsi:type="dcterms:W3CDTF">2023-10-25T16:56:00Z</dcterms:created>
  <dcterms:modified xsi:type="dcterms:W3CDTF">2023-10-25T16:57:00Z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2022-08-31T14:14:14Z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9ae79e99-c7ed-4547-971c-2973ee736b43</vt:lpwstr>
  </property>
  <property fmtid="{D5CDD505-2E9C-101B-9397-08002B2CF9AE}" pid="8" name="MSIP_Label_0c2abd79-57a9-4473-8700-c843f76a1e37_ContentBits">
    <vt:lpwstr>0</vt:lpwstr>
  </property>
</Properties>
</file>