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7EB60" w14:textId="5D7120D8" w:rsidR="009E466F" w:rsidRPr="00A82E3D" w:rsidRDefault="00011CB5" w:rsidP="00011CB5">
      <w:pPr>
        <w:pStyle w:val="Ttulo6"/>
        <w:spacing w:line="240" w:lineRule="exact"/>
        <w:jc w:val="center"/>
        <w:rPr>
          <w:rFonts w:ascii="Tahoma" w:hAnsi="Tahoma" w:cs="Tahoma"/>
          <w:b w:val="0"/>
          <w:lang w:val="pt-BR"/>
        </w:rPr>
      </w:pPr>
      <w:r w:rsidRPr="00A82E3D">
        <w:rPr>
          <w:rFonts w:ascii="Tahoma" w:hAnsi="Tahoma" w:cs="Tahoma"/>
          <w:b w:val="0"/>
          <w:lang w:val="pt-BR"/>
        </w:rPr>
        <w:t xml:space="preserve">O PRESENTE REGULAMENTO É PARTE INTEGRANTE DA ATA DE ASSEMBLEIA GERAL DE COTISTAS DO SANTANDER AÇÕES IBOVESPA ATIVO SUPREMO FUNDO DE INVESTIMENTO EM COTAS DE FUNDOS DE INVESTIMENTO, REALIZADA EM </w:t>
      </w:r>
      <w:r>
        <w:rPr>
          <w:rFonts w:ascii="Tahoma" w:hAnsi="Tahoma" w:cs="Tahoma"/>
          <w:b w:val="0"/>
          <w:lang w:val="pt-BR"/>
        </w:rPr>
        <w:t>20/10/2023</w:t>
      </w:r>
      <w:r w:rsidRPr="00A82E3D">
        <w:rPr>
          <w:rFonts w:ascii="Tahoma" w:hAnsi="Tahoma" w:cs="Tahoma"/>
          <w:b w:val="0"/>
          <w:lang w:val="pt-BR"/>
        </w:rPr>
        <w:t>.</w:t>
      </w:r>
    </w:p>
    <w:p w14:paraId="20FD8816" w14:textId="77777777" w:rsidR="009E466F" w:rsidRPr="00A82E3D" w:rsidRDefault="009E466F" w:rsidP="009E466F">
      <w:pPr>
        <w:spacing w:line="240" w:lineRule="exact"/>
        <w:rPr>
          <w:rFonts w:ascii="Tahoma" w:hAnsi="Tahoma" w:cs="Tahoma"/>
          <w:lang w:eastAsia="x-none"/>
        </w:rPr>
      </w:pPr>
    </w:p>
    <w:p w14:paraId="395A6F09" w14:textId="77777777" w:rsidR="009E466F" w:rsidRPr="00A82E3D" w:rsidRDefault="009E466F" w:rsidP="00366E76">
      <w:pPr>
        <w:spacing w:after="0" w:line="240" w:lineRule="exact"/>
        <w:jc w:val="center"/>
        <w:rPr>
          <w:rFonts w:ascii="Tahoma" w:hAnsi="Tahoma" w:cs="Tahoma"/>
          <w:b/>
        </w:rPr>
      </w:pPr>
      <w:r w:rsidRPr="00A82E3D">
        <w:rPr>
          <w:rFonts w:ascii="Tahoma" w:hAnsi="Tahoma" w:cs="Tahoma"/>
          <w:b/>
        </w:rPr>
        <w:t>REGULAMENTO DO</w:t>
      </w:r>
      <w:bookmarkStart w:id="0" w:name="OLE_LINK4"/>
    </w:p>
    <w:p w14:paraId="5D628B34" w14:textId="77777777" w:rsidR="009E466F" w:rsidRPr="00A82E3D" w:rsidRDefault="009E466F" w:rsidP="00366E76">
      <w:pPr>
        <w:spacing w:after="0" w:line="240" w:lineRule="exact"/>
        <w:jc w:val="center"/>
        <w:rPr>
          <w:rFonts w:ascii="Tahoma" w:hAnsi="Tahoma" w:cs="Tahoma"/>
          <w:b/>
        </w:rPr>
      </w:pPr>
      <w:bookmarkStart w:id="1" w:name="_Hlk135326859"/>
      <w:bookmarkStart w:id="2" w:name="_Hlk146262401"/>
      <w:bookmarkEnd w:id="0"/>
      <w:r w:rsidRPr="00A82E3D">
        <w:rPr>
          <w:rFonts w:ascii="Tahoma" w:hAnsi="Tahoma" w:cs="Tahoma"/>
          <w:b/>
        </w:rPr>
        <w:t>SANTANDER AÇÕES IBOVESPA ATIVO SUPREMO FUNDO DE INVESTIMENTO EM COTAS DE FUNDOS DE INVESTIMENTO</w:t>
      </w:r>
      <w:bookmarkEnd w:id="1"/>
      <w:r w:rsidRPr="00A82E3D">
        <w:rPr>
          <w:rFonts w:ascii="Tahoma" w:hAnsi="Tahoma" w:cs="Tahoma"/>
          <w:b/>
        </w:rPr>
        <w:t xml:space="preserve"> </w:t>
      </w:r>
      <w:bookmarkEnd w:id="2"/>
    </w:p>
    <w:p w14:paraId="2883290D" w14:textId="77777777" w:rsidR="009E466F" w:rsidRPr="00A82E3D" w:rsidRDefault="009E466F" w:rsidP="00366E76">
      <w:pPr>
        <w:spacing w:after="0" w:line="240" w:lineRule="exact"/>
        <w:jc w:val="center"/>
        <w:rPr>
          <w:rFonts w:ascii="Tahoma" w:hAnsi="Tahoma" w:cs="Tahoma"/>
          <w:b/>
        </w:rPr>
      </w:pPr>
      <w:r w:rsidRPr="00A82E3D">
        <w:rPr>
          <w:rFonts w:ascii="Tahoma" w:hAnsi="Tahoma" w:cs="Tahoma"/>
          <w:b/>
        </w:rPr>
        <w:t>CNPJ n.º 02.832.973/0001-12</w:t>
      </w:r>
    </w:p>
    <w:p w14:paraId="4ACAA56C" w14:textId="77777777" w:rsidR="009E466F" w:rsidRPr="00A82E3D" w:rsidRDefault="009E466F" w:rsidP="009E466F">
      <w:pPr>
        <w:spacing w:line="240" w:lineRule="exact"/>
        <w:jc w:val="center"/>
        <w:rPr>
          <w:rFonts w:ascii="Tahoma" w:hAnsi="Tahoma" w:cs="Tahoma"/>
          <w:b/>
        </w:rPr>
      </w:pPr>
    </w:p>
    <w:p w14:paraId="5B3907EF"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CLÁUSULA PRIMEIRA – DO FUNDO</w:t>
      </w:r>
    </w:p>
    <w:p w14:paraId="35F244A6" w14:textId="77777777" w:rsidR="009E466F" w:rsidRPr="00A82E3D" w:rsidRDefault="009E466F" w:rsidP="009E466F">
      <w:pPr>
        <w:spacing w:line="240" w:lineRule="exact"/>
        <w:jc w:val="both"/>
        <w:rPr>
          <w:rFonts w:ascii="Tahoma" w:hAnsi="Tahoma" w:cs="Tahoma"/>
        </w:rPr>
      </w:pPr>
    </w:p>
    <w:p w14:paraId="2A407291" w14:textId="77777777" w:rsidR="009E466F" w:rsidRPr="00A82E3D" w:rsidRDefault="009E466F" w:rsidP="009E466F">
      <w:pPr>
        <w:spacing w:line="240" w:lineRule="exact"/>
        <w:jc w:val="both"/>
        <w:rPr>
          <w:rFonts w:ascii="Tahoma" w:hAnsi="Tahoma" w:cs="Tahoma"/>
          <w:b/>
          <w:color w:val="000000"/>
          <w:u w:val="single"/>
        </w:rPr>
      </w:pPr>
      <w:r w:rsidRPr="00A82E3D">
        <w:rPr>
          <w:rFonts w:ascii="Tahoma" w:hAnsi="Tahoma" w:cs="Tahoma"/>
        </w:rPr>
        <w:t xml:space="preserve">1.1. </w:t>
      </w:r>
      <w:r w:rsidRPr="00A82E3D">
        <w:rPr>
          <w:rFonts w:ascii="Tahoma" w:hAnsi="Tahoma" w:cs="Tahoma"/>
        </w:rPr>
        <w:tab/>
        <w:t>O</w:t>
      </w:r>
      <w:r w:rsidRPr="00A82E3D">
        <w:rPr>
          <w:rFonts w:ascii="Tahoma" w:hAnsi="Tahoma" w:cs="Tahoma"/>
          <w:b/>
        </w:rPr>
        <w:t xml:space="preserve"> SANTANDER AÇÕES IBOVESPA ATIVO SUPREMO FUNDO DE INVESTIMENTO EM COTAS DE FUNDOS DE INVESTIMENTO </w:t>
      </w:r>
      <w:r w:rsidRPr="00A82E3D">
        <w:rPr>
          <w:rFonts w:ascii="Tahoma" w:hAnsi="Tahoma" w:cs="Tahoma"/>
        </w:rPr>
        <w:t xml:space="preserve">(“FUNDO”) é uma comunhão de recursos, constituído sob a forma de condomínio </w:t>
      </w:r>
      <w:r w:rsidRPr="00A82E3D">
        <w:rPr>
          <w:rFonts w:ascii="Tahoma" w:hAnsi="Tahoma" w:cs="Tahoma"/>
          <w:color w:val="000000"/>
        </w:rPr>
        <w:t>aberto, com prazo de duração indeterminado, sendo regido pelo presente regulamento (“Regulamento”), pelo formulário de informações complementares, pela lâmina de informações essenciais do FUNDO (“Formulário” e “Lâmina”, respectivamente) e pela legislação e regulamentação em vigor.</w:t>
      </w:r>
    </w:p>
    <w:p w14:paraId="0577EB7D" w14:textId="77777777" w:rsidR="009E466F" w:rsidRPr="00A82E3D" w:rsidRDefault="009E466F" w:rsidP="009E466F">
      <w:pPr>
        <w:spacing w:line="240" w:lineRule="exact"/>
        <w:jc w:val="both"/>
        <w:rPr>
          <w:rFonts w:ascii="Tahoma" w:hAnsi="Tahoma" w:cs="Tahoma"/>
        </w:rPr>
      </w:pPr>
    </w:p>
    <w:p w14:paraId="6491C079"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 xml:space="preserve">CLÁUSULA SEGUNDA – DO PÚBLICO ALVO </w:t>
      </w:r>
    </w:p>
    <w:p w14:paraId="4691C649" w14:textId="77777777" w:rsidR="009E466F" w:rsidRPr="00A82E3D" w:rsidRDefault="009E466F" w:rsidP="009E466F">
      <w:pPr>
        <w:pStyle w:val="BodyText21"/>
        <w:spacing w:line="240" w:lineRule="exact"/>
        <w:rPr>
          <w:rFonts w:ascii="Tahoma" w:hAnsi="Tahoma" w:cs="Tahoma"/>
          <w:szCs w:val="22"/>
        </w:rPr>
      </w:pPr>
    </w:p>
    <w:p w14:paraId="6170C0AD" w14:textId="77777777" w:rsidR="009E466F" w:rsidRPr="00A82E3D" w:rsidRDefault="009E466F" w:rsidP="009E466F">
      <w:pPr>
        <w:spacing w:line="240" w:lineRule="exact"/>
        <w:jc w:val="both"/>
        <w:rPr>
          <w:rFonts w:ascii="Tahoma" w:hAnsi="Tahoma" w:cs="Tahoma"/>
        </w:rPr>
      </w:pPr>
      <w:r w:rsidRPr="00A82E3D">
        <w:rPr>
          <w:rFonts w:ascii="Tahoma" w:hAnsi="Tahoma" w:cs="Tahoma"/>
        </w:rPr>
        <w:t>2.1.</w:t>
      </w:r>
      <w:r w:rsidRPr="00A82E3D">
        <w:rPr>
          <w:rFonts w:ascii="Tahoma" w:hAnsi="Tahoma" w:cs="Tahoma"/>
        </w:rPr>
        <w:tab/>
        <w:t xml:space="preserve">O FUNDO é destinado a receber aplicações de investidores em geral, </w:t>
      </w:r>
      <w:r w:rsidRPr="00A82E3D">
        <w:rPr>
          <w:rFonts w:ascii="Tahoma" w:hAnsi="Tahoma" w:cs="Tahoma"/>
          <w:bCs/>
        </w:rPr>
        <w:t>a critério do ADMINISTRADOR,</w:t>
      </w:r>
      <w:r w:rsidRPr="00A82E3D">
        <w:rPr>
          <w:rFonts w:ascii="Tahoma" w:hAnsi="Tahoma" w:cs="Tahoma"/>
        </w:rPr>
        <w:t xml:space="preserve"> que conhecem, entendem e aceitam os riscos descritos neste Regulamento, </w:t>
      </w:r>
      <w:r>
        <w:rPr>
          <w:rFonts w:ascii="Tahoma" w:hAnsi="Tahoma" w:cs="Tahoma"/>
        </w:rPr>
        <w:t xml:space="preserve">na legislação em vigor </w:t>
      </w:r>
      <w:r w:rsidRPr="00A82E3D">
        <w:rPr>
          <w:rFonts w:ascii="Tahoma" w:hAnsi="Tahoma" w:cs="Tahoma"/>
        </w:rPr>
        <w:t>e na Lâmina, aos quais os investimentos do FUNDO estão expostos em razão dos mercados de atuação do FUNDO (“Cotistas”).</w:t>
      </w:r>
    </w:p>
    <w:p w14:paraId="3D9C84BD" w14:textId="77777777" w:rsidR="009E466F" w:rsidRPr="00A82E3D" w:rsidRDefault="009E466F" w:rsidP="009E466F">
      <w:pPr>
        <w:pBdr>
          <w:bottom w:val="single" w:sz="6" w:space="1" w:color="auto"/>
        </w:pBdr>
        <w:spacing w:line="240" w:lineRule="exact"/>
        <w:jc w:val="both"/>
        <w:rPr>
          <w:rFonts w:ascii="Tahoma" w:hAnsi="Tahoma" w:cs="Tahoma"/>
        </w:rPr>
      </w:pPr>
      <w:r w:rsidRPr="00A82E3D">
        <w:rPr>
          <w:rFonts w:ascii="Tahoma" w:hAnsi="Tahoma" w:cs="Tahoma"/>
        </w:rPr>
        <w:t>2.2.</w:t>
      </w:r>
      <w:r w:rsidRPr="00A82E3D">
        <w:rPr>
          <w:rFonts w:ascii="Tahoma" w:hAnsi="Tahoma" w:cs="Tahoma"/>
        </w:rPr>
        <w:tab/>
        <w:t>O enquadramento dos Cotistas no Público Alvo descrito no item anterior será verificado pelo distribuidor das cotas do FUNDO, no ato do ingresso dos Cotistas.</w:t>
      </w:r>
    </w:p>
    <w:p w14:paraId="389D22F9" w14:textId="77777777" w:rsidR="009E466F" w:rsidRPr="00A82E3D" w:rsidRDefault="009E466F" w:rsidP="009E466F">
      <w:pPr>
        <w:pBdr>
          <w:bottom w:val="single" w:sz="6" w:space="1" w:color="auto"/>
        </w:pBdr>
        <w:spacing w:line="240" w:lineRule="exact"/>
        <w:jc w:val="both"/>
        <w:rPr>
          <w:rFonts w:ascii="Tahoma" w:hAnsi="Tahoma" w:cs="Tahoma"/>
        </w:rPr>
      </w:pPr>
      <w:r w:rsidRPr="00A82E3D">
        <w:rPr>
          <w:rFonts w:ascii="Tahoma" w:hAnsi="Tahoma" w:cs="Tahoma"/>
        </w:rPr>
        <w:t>2.3. O FUNDO observará, no que couber, as diretrizes de aplicação aos recursos dos Regimes Próprios de Previdência Complementar instituídos pela União, Estados, Distrito Federal e Municípios (“RPPS”), qual seja, a Resolução do Conselho Monetário Nacional n.º 4.963, de 25 de novembro de 2021 (“Resolução CMN n.º 4.963/21”), bem como suas alterações posteriores, nos termos previstos na cláusula terceira abaixo, cabendo aos cotistas que estejam sujeitos a tal regulamentação a responsabilidade, o controle e consolidação dos limites de alocação e concentração das posições detidas pela RPPS, estabelecidos pela regulamentação vigente, sendo certo que o controle dos referidos limites não é de responsabilidade do ADMINISTRADOR e/ou do GESTOR.</w:t>
      </w:r>
    </w:p>
    <w:p w14:paraId="7F537BE7" w14:textId="77777777" w:rsidR="009E466F" w:rsidRPr="00A82E3D" w:rsidRDefault="009E466F" w:rsidP="009E466F">
      <w:pPr>
        <w:pBdr>
          <w:bottom w:val="single" w:sz="6" w:space="1" w:color="auto"/>
        </w:pBdr>
        <w:spacing w:line="240" w:lineRule="exact"/>
        <w:jc w:val="both"/>
        <w:rPr>
          <w:rFonts w:ascii="Tahoma" w:hAnsi="Tahoma" w:cs="Tahoma"/>
        </w:rPr>
      </w:pPr>
    </w:p>
    <w:p w14:paraId="40C537C4"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CLÁUSULA TERCEIRA – DO OBJETIVO E DA POLÍTICA DE INVESTIMENTO</w:t>
      </w:r>
    </w:p>
    <w:p w14:paraId="68F934F0" w14:textId="77777777" w:rsidR="009E466F" w:rsidRPr="00A82E3D" w:rsidRDefault="009E466F" w:rsidP="009E466F">
      <w:pPr>
        <w:spacing w:line="240" w:lineRule="exact"/>
        <w:jc w:val="both"/>
        <w:rPr>
          <w:rFonts w:ascii="Tahoma" w:hAnsi="Tahoma" w:cs="Tahoma"/>
          <w:iCs/>
          <w:color w:val="000000"/>
        </w:rPr>
      </w:pPr>
    </w:p>
    <w:p w14:paraId="3B70DA1E" w14:textId="77777777" w:rsidR="009E466F" w:rsidRPr="00A82E3D" w:rsidRDefault="009E466F" w:rsidP="009E466F">
      <w:pPr>
        <w:autoSpaceDE w:val="0"/>
        <w:autoSpaceDN w:val="0"/>
        <w:adjustRightInd w:val="0"/>
        <w:spacing w:line="240" w:lineRule="exact"/>
        <w:jc w:val="both"/>
        <w:rPr>
          <w:rFonts w:ascii="Tahoma" w:hAnsi="Tahoma" w:cs="Tahoma"/>
          <w:iCs/>
          <w:color w:val="000000"/>
        </w:rPr>
      </w:pPr>
      <w:r w:rsidRPr="00A82E3D">
        <w:rPr>
          <w:rFonts w:ascii="Tahoma" w:hAnsi="Tahoma" w:cs="Tahoma"/>
          <w:iCs/>
          <w:color w:val="000000"/>
        </w:rPr>
        <w:t>3.1. O FUNDO tem como objetivo obter rentabilidade que busque superar as variações do Índice da Bolsa de Valores de São Paulo – IBOVESPA, por meio da aplicação de seus recursos, preponderantemente, em cotas de fundos de investimento e/ou fundos de investimento em cotas de fundos de investimento (“Fundos Investidos”).</w:t>
      </w:r>
    </w:p>
    <w:p w14:paraId="736C7F32" w14:textId="77777777" w:rsidR="009E466F" w:rsidRPr="00A82E3D" w:rsidRDefault="009E466F" w:rsidP="009E466F">
      <w:pPr>
        <w:autoSpaceDE w:val="0"/>
        <w:autoSpaceDN w:val="0"/>
        <w:adjustRightInd w:val="0"/>
        <w:spacing w:line="240" w:lineRule="exact"/>
        <w:jc w:val="both"/>
        <w:rPr>
          <w:rFonts w:ascii="Tahoma" w:hAnsi="Tahoma" w:cs="Tahoma"/>
        </w:rPr>
      </w:pPr>
      <w:r w:rsidRPr="00A82E3D">
        <w:rPr>
          <w:rFonts w:ascii="Tahoma" w:hAnsi="Tahoma" w:cs="Tahoma"/>
          <w:iCs/>
          <w:color w:val="000000"/>
        </w:rPr>
        <w:t xml:space="preserve">3.1.1. </w:t>
      </w:r>
      <w:r w:rsidRPr="00A82E3D">
        <w:rPr>
          <w:rFonts w:ascii="Tahoma" w:hAnsi="Tahoma" w:cs="Tahoma"/>
        </w:rPr>
        <w:t>A rentabilidade do FUNDO será impactada pelos impostos, custos e despesas do FUNDO e pela taxa de administração de 2,60% ao ano, que corresponde à taxa de administração máxima do FUNDO. Para analisar o impacto das despesas do FUNDO na rentabilidade obtida o investidor deve consultar o item 9 da Lâmina. Tal objetivo de investimento não constitui garantia ou promessa de rentabilidade pelo ADMINISTRADOR e pelo GESTOR.</w:t>
      </w:r>
    </w:p>
    <w:p w14:paraId="24589A40" w14:textId="77777777" w:rsidR="009E466F" w:rsidRPr="00A82E3D" w:rsidRDefault="009E466F" w:rsidP="009E466F">
      <w:pPr>
        <w:spacing w:line="240" w:lineRule="exact"/>
        <w:jc w:val="both"/>
        <w:rPr>
          <w:rFonts w:ascii="Tahoma" w:hAnsi="Tahoma" w:cs="Tahoma"/>
        </w:rPr>
      </w:pPr>
    </w:p>
    <w:p w14:paraId="7622511A" w14:textId="77777777" w:rsidR="009E466F" w:rsidRPr="00A82E3D" w:rsidRDefault="009E466F" w:rsidP="009E466F">
      <w:pPr>
        <w:spacing w:line="240" w:lineRule="exact"/>
        <w:jc w:val="both"/>
        <w:rPr>
          <w:rFonts w:ascii="Tahoma" w:hAnsi="Tahoma" w:cs="Tahoma"/>
        </w:rPr>
      </w:pPr>
      <w:r w:rsidRPr="00A82E3D">
        <w:rPr>
          <w:rFonts w:ascii="Tahoma" w:hAnsi="Tahoma" w:cs="Tahoma"/>
        </w:rPr>
        <w:t>3.2. Para atingir o objetivo de investimento descrito acima, o FUNDO alocará seus recursos de acordo com as regras e limites previstos nos quadros a seguir:</w:t>
      </w:r>
    </w:p>
    <w:p w14:paraId="1D8E5A11" w14:textId="77777777" w:rsidR="009E466F" w:rsidRPr="00A82E3D" w:rsidRDefault="009E466F" w:rsidP="009E466F">
      <w:pPr>
        <w:autoSpaceDE w:val="0"/>
        <w:autoSpaceDN w:val="0"/>
        <w:adjustRightInd w:val="0"/>
        <w:spacing w:line="240" w:lineRule="exact"/>
        <w:jc w:val="both"/>
        <w:rPr>
          <w:rFonts w:ascii="Tahoma" w:hAnsi="Tahoma" w:cs="Tahoma"/>
          <w:iCs/>
          <w:color w:val="000000"/>
        </w:rPr>
      </w:pPr>
    </w:p>
    <w:tbl>
      <w:tblPr>
        <w:tblW w:w="10434" w:type="dxa"/>
        <w:jc w:val="center"/>
        <w:tblCellMar>
          <w:left w:w="70" w:type="dxa"/>
          <w:right w:w="70" w:type="dxa"/>
        </w:tblCellMar>
        <w:tblLook w:val="04A0" w:firstRow="1" w:lastRow="0" w:firstColumn="1" w:lastColumn="0" w:noHBand="0" w:noVBand="1"/>
      </w:tblPr>
      <w:tblGrid>
        <w:gridCol w:w="1403"/>
        <w:gridCol w:w="5697"/>
        <w:gridCol w:w="1578"/>
        <w:gridCol w:w="1756"/>
      </w:tblGrid>
      <w:tr w:rsidR="009E466F" w:rsidRPr="00A82E3D" w14:paraId="246860D9" w14:textId="77777777" w:rsidTr="00552F3E">
        <w:trPr>
          <w:trHeight w:val="495"/>
          <w:jc w:val="center"/>
        </w:trPr>
        <w:tc>
          <w:tcPr>
            <w:tcW w:w="7100" w:type="dxa"/>
            <w:gridSpan w:val="2"/>
            <w:vMerge w:val="restart"/>
            <w:tcBorders>
              <w:top w:val="single" w:sz="4" w:space="0" w:color="auto"/>
              <w:left w:val="single" w:sz="4" w:space="0" w:color="auto"/>
              <w:right w:val="single" w:sz="4" w:space="0" w:color="auto"/>
            </w:tcBorders>
            <w:shd w:val="clear" w:color="auto" w:fill="D9D9D9"/>
            <w:vAlign w:val="center"/>
          </w:tcPr>
          <w:p w14:paraId="79220F52"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COMPOSIÇÃO DA CARTEIRA DO FUNDO (“CARTEIRA”)</w:t>
            </w:r>
          </w:p>
        </w:tc>
        <w:tc>
          <w:tcPr>
            <w:tcW w:w="3333"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2AB2B221" w14:textId="77777777" w:rsidR="009E466F" w:rsidRPr="00A82E3D" w:rsidRDefault="009E466F" w:rsidP="00552F3E">
            <w:pPr>
              <w:spacing w:line="240" w:lineRule="exact"/>
              <w:jc w:val="center"/>
              <w:rPr>
                <w:rFonts w:ascii="Tahoma" w:hAnsi="Tahoma" w:cs="Tahoma"/>
              </w:rPr>
            </w:pPr>
            <w:r w:rsidRPr="00A82E3D">
              <w:rPr>
                <w:rFonts w:ascii="Tahoma" w:hAnsi="Tahoma" w:cs="Tahoma"/>
                <w:b/>
                <w:bCs/>
                <w:color w:val="000000"/>
              </w:rPr>
              <w:t>% do PL</w:t>
            </w:r>
          </w:p>
        </w:tc>
      </w:tr>
      <w:tr w:rsidR="009E466F" w:rsidRPr="00A82E3D" w14:paraId="25993D76" w14:textId="77777777" w:rsidTr="00552F3E">
        <w:trPr>
          <w:trHeight w:val="415"/>
          <w:jc w:val="center"/>
        </w:trPr>
        <w:tc>
          <w:tcPr>
            <w:tcW w:w="7100" w:type="dxa"/>
            <w:gridSpan w:val="2"/>
            <w:vMerge/>
            <w:tcBorders>
              <w:left w:val="single" w:sz="4" w:space="0" w:color="auto"/>
              <w:bottom w:val="single" w:sz="4" w:space="0" w:color="auto"/>
              <w:right w:val="single" w:sz="4" w:space="0" w:color="auto"/>
            </w:tcBorders>
            <w:shd w:val="clear" w:color="auto" w:fill="D9D9D9"/>
          </w:tcPr>
          <w:p w14:paraId="53583BE6" w14:textId="77777777" w:rsidR="009E466F" w:rsidRPr="00A82E3D" w:rsidRDefault="009E466F" w:rsidP="00552F3E">
            <w:pPr>
              <w:spacing w:line="240" w:lineRule="exact"/>
              <w:jc w:val="center"/>
              <w:rPr>
                <w:rFonts w:ascii="Tahoma" w:hAnsi="Tahoma" w:cs="Tahoma"/>
                <w:b/>
                <w:bCs/>
                <w:color w:val="000000"/>
              </w:rPr>
            </w:pPr>
          </w:p>
        </w:tc>
        <w:tc>
          <w:tcPr>
            <w:tcW w:w="1578" w:type="dxa"/>
            <w:tcBorders>
              <w:top w:val="single" w:sz="4" w:space="0" w:color="auto"/>
              <w:left w:val="nil"/>
              <w:bottom w:val="single" w:sz="4" w:space="0" w:color="auto"/>
              <w:right w:val="single" w:sz="4" w:space="0" w:color="auto"/>
            </w:tcBorders>
            <w:shd w:val="clear" w:color="auto" w:fill="D9D9D9"/>
            <w:noWrap/>
            <w:vAlign w:val="center"/>
            <w:hideMark/>
          </w:tcPr>
          <w:p w14:paraId="7AFEC2F0"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Mín.</w:t>
            </w:r>
          </w:p>
        </w:tc>
        <w:tc>
          <w:tcPr>
            <w:tcW w:w="175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A896FF8" w14:textId="77777777" w:rsidR="009E466F" w:rsidRPr="00A82E3D" w:rsidRDefault="009E466F" w:rsidP="00552F3E">
            <w:pPr>
              <w:spacing w:line="240" w:lineRule="exact"/>
              <w:jc w:val="center"/>
              <w:rPr>
                <w:rFonts w:ascii="Tahoma" w:hAnsi="Tahoma" w:cs="Tahoma"/>
              </w:rPr>
            </w:pPr>
            <w:r w:rsidRPr="00A82E3D">
              <w:rPr>
                <w:rFonts w:ascii="Tahoma" w:hAnsi="Tahoma" w:cs="Tahoma"/>
                <w:b/>
                <w:bCs/>
                <w:color w:val="000000"/>
              </w:rPr>
              <w:t>Máx.</w:t>
            </w:r>
          </w:p>
        </w:tc>
      </w:tr>
      <w:tr w:rsidR="009E466F" w:rsidRPr="00A82E3D" w14:paraId="74407E5C" w14:textId="77777777" w:rsidTr="00552F3E">
        <w:trPr>
          <w:trHeight w:val="287"/>
          <w:jc w:val="center"/>
        </w:trPr>
        <w:tc>
          <w:tcPr>
            <w:tcW w:w="7100" w:type="dxa"/>
            <w:gridSpan w:val="2"/>
            <w:tcBorders>
              <w:top w:val="nil"/>
              <w:left w:val="single" w:sz="4" w:space="0" w:color="auto"/>
              <w:bottom w:val="single" w:sz="4" w:space="0" w:color="auto"/>
              <w:right w:val="single" w:sz="4" w:space="0" w:color="auto"/>
            </w:tcBorders>
          </w:tcPr>
          <w:p w14:paraId="02D78C79"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rPr>
              <w:t>Cotas de fundos de investimento e cotas de fundos de investimento em cotas da classe Ações e cotas de fundos de índice de ações negociáveis em bolsa de valores no Brasil, compostos por, no mínimo, cinquenta ações, correspondentes bônus ou recibos de subscrição e de certificados de depósitos de tais ações (“Fundos Investidos”)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14:paraId="22349EB4"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95%</w:t>
            </w:r>
          </w:p>
        </w:tc>
        <w:tc>
          <w:tcPr>
            <w:tcW w:w="17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92154" w14:textId="77777777" w:rsidR="009E466F" w:rsidRPr="00A82E3D" w:rsidRDefault="009E466F" w:rsidP="00552F3E">
            <w:pPr>
              <w:spacing w:line="240" w:lineRule="exact"/>
              <w:jc w:val="center"/>
              <w:rPr>
                <w:rFonts w:ascii="Tahoma" w:hAnsi="Tahoma" w:cs="Tahoma"/>
                <w:b/>
              </w:rPr>
            </w:pPr>
            <w:r w:rsidRPr="00A82E3D">
              <w:rPr>
                <w:rFonts w:ascii="Tahoma" w:hAnsi="Tahoma" w:cs="Tahoma"/>
                <w:b/>
                <w:color w:val="000000"/>
              </w:rPr>
              <w:t>100%</w:t>
            </w:r>
          </w:p>
        </w:tc>
      </w:tr>
      <w:tr w:rsidR="009E466F" w:rsidRPr="00A82E3D" w14:paraId="7223AA36" w14:textId="77777777" w:rsidTr="00552F3E">
        <w:trPr>
          <w:trHeight w:val="287"/>
          <w:jc w:val="center"/>
        </w:trPr>
        <w:tc>
          <w:tcPr>
            <w:tcW w:w="1403" w:type="dxa"/>
            <w:vMerge w:val="restart"/>
            <w:tcBorders>
              <w:top w:val="single" w:sz="4" w:space="0" w:color="auto"/>
              <w:left w:val="single" w:sz="4" w:space="0" w:color="auto"/>
              <w:right w:val="single" w:sz="4" w:space="0" w:color="auto"/>
            </w:tcBorders>
            <w:vAlign w:val="center"/>
          </w:tcPr>
          <w:p w14:paraId="693C905F" w14:textId="77777777" w:rsidR="009E466F" w:rsidRPr="00A82E3D" w:rsidRDefault="009E466F" w:rsidP="00552F3E">
            <w:pPr>
              <w:spacing w:line="240" w:lineRule="exact"/>
              <w:jc w:val="center"/>
              <w:rPr>
                <w:rFonts w:ascii="Tahoma" w:hAnsi="Tahoma" w:cs="Tahoma"/>
                <w:highlight w:val="yellow"/>
              </w:rPr>
            </w:pPr>
            <w:r w:rsidRPr="00A82E3D">
              <w:rPr>
                <w:rFonts w:ascii="Tahoma" w:hAnsi="Tahoma" w:cs="Tahoma"/>
              </w:rPr>
              <w:t>Dentro do limite previsto na linha acima</w:t>
            </w:r>
          </w:p>
        </w:tc>
        <w:tc>
          <w:tcPr>
            <w:tcW w:w="5697" w:type="dxa"/>
            <w:tcBorders>
              <w:top w:val="single" w:sz="4" w:space="0" w:color="auto"/>
              <w:left w:val="single" w:sz="4" w:space="0" w:color="auto"/>
              <w:bottom w:val="single" w:sz="4" w:space="0" w:color="auto"/>
              <w:right w:val="single" w:sz="4" w:space="0" w:color="auto"/>
            </w:tcBorders>
            <w:shd w:val="clear" w:color="auto" w:fill="auto"/>
            <w:vAlign w:val="center"/>
          </w:tcPr>
          <w:p w14:paraId="537B7D94" w14:textId="77777777" w:rsidR="009E466F" w:rsidRPr="00A82E3D" w:rsidRDefault="009E466F" w:rsidP="00552F3E">
            <w:pPr>
              <w:spacing w:line="240" w:lineRule="exact"/>
              <w:jc w:val="both"/>
              <w:rPr>
                <w:rFonts w:ascii="Tahoma" w:hAnsi="Tahoma" w:cs="Tahoma"/>
              </w:rPr>
            </w:pPr>
            <w:r w:rsidRPr="00A82E3D">
              <w:rPr>
                <w:rFonts w:ascii="Tahoma" w:hAnsi="Tahoma" w:cs="Tahoma"/>
              </w:rPr>
              <w:t>Cotas de fundos de investimento e cotas de fundos de investimento em cotas da classe Ações (“Fundos Investidos”), destinados a investidores qualificados</w:t>
            </w:r>
          </w:p>
        </w:tc>
        <w:tc>
          <w:tcPr>
            <w:tcW w:w="1578" w:type="dxa"/>
            <w:vMerge w:val="restart"/>
            <w:tcBorders>
              <w:top w:val="single" w:sz="4" w:space="0" w:color="auto"/>
              <w:left w:val="nil"/>
              <w:right w:val="single" w:sz="4" w:space="0" w:color="auto"/>
            </w:tcBorders>
            <w:shd w:val="clear" w:color="auto" w:fill="auto"/>
            <w:noWrap/>
            <w:vAlign w:val="center"/>
          </w:tcPr>
          <w:p w14:paraId="438D7447" w14:textId="77777777" w:rsidR="009E466F" w:rsidRPr="00A82E3D" w:rsidRDefault="009E466F" w:rsidP="00552F3E">
            <w:pPr>
              <w:spacing w:line="240" w:lineRule="exact"/>
              <w:jc w:val="center"/>
              <w:rPr>
                <w:rFonts w:ascii="Tahoma" w:hAnsi="Tahoma" w:cs="Tahoma"/>
                <w:b/>
                <w:color w:val="000000"/>
                <w:highlight w:val="yellow"/>
              </w:rPr>
            </w:pPr>
            <w:r w:rsidRPr="00A82E3D">
              <w:rPr>
                <w:rFonts w:ascii="Tahoma" w:hAnsi="Tahoma" w:cs="Tahoma"/>
                <w:b/>
                <w:color w:val="000000"/>
              </w:rPr>
              <w:t>0%</w:t>
            </w:r>
          </w:p>
        </w:tc>
        <w:tc>
          <w:tcPr>
            <w:tcW w:w="17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295A5" w14:textId="77777777" w:rsidR="009E466F" w:rsidRPr="00A82E3D" w:rsidRDefault="009E466F" w:rsidP="00552F3E">
            <w:pPr>
              <w:spacing w:line="240" w:lineRule="exact"/>
              <w:jc w:val="center"/>
              <w:rPr>
                <w:rFonts w:ascii="Tahoma" w:hAnsi="Tahoma" w:cs="Tahoma"/>
                <w:b/>
                <w:color w:val="000000"/>
                <w:highlight w:val="yellow"/>
              </w:rPr>
            </w:pPr>
            <w:r w:rsidRPr="00A82E3D">
              <w:rPr>
                <w:rFonts w:ascii="Tahoma" w:hAnsi="Tahoma" w:cs="Tahoma"/>
                <w:b/>
                <w:color w:val="000000"/>
              </w:rPr>
              <w:t>0%</w:t>
            </w:r>
          </w:p>
        </w:tc>
      </w:tr>
      <w:tr w:rsidR="009E466F" w:rsidRPr="00A82E3D" w14:paraId="0C16A88F" w14:textId="77777777" w:rsidTr="00552F3E">
        <w:trPr>
          <w:trHeight w:val="1195"/>
          <w:jc w:val="center"/>
        </w:trPr>
        <w:tc>
          <w:tcPr>
            <w:tcW w:w="1403" w:type="dxa"/>
            <w:vMerge/>
            <w:tcBorders>
              <w:left w:val="single" w:sz="4" w:space="0" w:color="auto"/>
              <w:right w:val="single" w:sz="4" w:space="0" w:color="auto"/>
            </w:tcBorders>
          </w:tcPr>
          <w:p w14:paraId="5D45E090" w14:textId="77777777" w:rsidR="009E466F" w:rsidRPr="00A82E3D" w:rsidRDefault="009E466F" w:rsidP="00552F3E">
            <w:pPr>
              <w:spacing w:line="240" w:lineRule="exact"/>
              <w:rPr>
                <w:rFonts w:ascii="Tahoma" w:hAnsi="Tahoma" w:cs="Tahoma"/>
                <w:color w:val="000000"/>
                <w:highlight w:val="yellow"/>
              </w:rPr>
            </w:pPr>
          </w:p>
        </w:tc>
        <w:tc>
          <w:tcPr>
            <w:tcW w:w="5697" w:type="dxa"/>
            <w:tcBorders>
              <w:top w:val="nil"/>
              <w:left w:val="single" w:sz="4" w:space="0" w:color="auto"/>
              <w:right w:val="single" w:sz="4" w:space="0" w:color="auto"/>
            </w:tcBorders>
            <w:shd w:val="clear" w:color="auto" w:fill="auto"/>
            <w:vAlign w:val="center"/>
          </w:tcPr>
          <w:p w14:paraId="5CC4D365" w14:textId="77777777" w:rsidR="009E466F" w:rsidRPr="00A82E3D" w:rsidRDefault="009E466F" w:rsidP="00552F3E">
            <w:pPr>
              <w:spacing w:line="240" w:lineRule="exact"/>
              <w:jc w:val="both"/>
              <w:rPr>
                <w:rFonts w:ascii="Tahoma" w:hAnsi="Tahoma" w:cs="Tahoma"/>
              </w:rPr>
            </w:pPr>
            <w:r w:rsidRPr="00A82E3D">
              <w:rPr>
                <w:rFonts w:ascii="Tahoma" w:hAnsi="Tahoma" w:cs="Tahoma"/>
                <w:color w:val="000000"/>
              </w:rPr>
              <w:t xml:space="preserve">Cotas de fundos de investimento e cotas de fundos de investimento em cotas </w:t>
            </w:r>
            <w:r w:rsidRPr="00A82E3D">
              <w:rPr>
                <w:rFonts w:ascii="Tahoma" w:hAnsi="Tahoma" w:cs="Tahoma"/>
              </w:rPr>
              <w:t>da classe Ações (“Fundos Investidos”),</w:t>
            </w:r>
            <w:r w:rsidRPr="00A82E3D">
              <w:rPr>
                <w:rFonts w:ascii="Tahoma" w:hAnsi="Tahoma" w:cs="Tahoma"/>
                <w:color w:val="000000"/>
              </w:rPr>
              <w:t xml:space="preserve"> destinados a investidores profissionais</w:t>
            </w:r>
          </w:p>
        </w:tc>
        <w:tc>
          <w:tcPr>
            <w:tcW w:w="1578" w:type="dxa"/>
            <w:vMerge/>
            <w:tcBorders>
              <w:left w:val="nil"/>
              <w:right w:val="single" w:sz="4" w:space="0" w:color="auto"/>
            </w:tcBorders>
            <w:shd w:val="clear" w:color="auto" w:fill="auto"/>
            <w:noWrap/>
            <w:vAlign w:val="center"/>
          </w:tcPr>
          <w:p w14:paraId="05EEB6CA" w14:textId="77777777" w:rsidR="009E466F" w:rsidRPr="00A82E3D" w:rsidRDefault="009E466F" w:rsidP="00552F3E">
            <w:pPr>
              <w:spacing w:line="240" w:lineRule="exact"/>
              <w:jc w:val="center"/>
              <w:rPr>
                <w:rFonts w:ascii="Tahoma" w:hAnsi="Tahoma" w:cs="Tahoma"/>
                <w:b/>
                <w:color w:val="000000"/>
              </w:rPr>
            </w:pPr>
          </w:p>
        </w:tc>
        <w:tc>
          <w:tcPr>
            <w:tcW w:w="1754" w:type="dxa"/>
            <w:tcBorders>
              <w:top w:val="single" w:sz="4" w:space="0" w:color="auto"/>
              <w:left w:val="single" w:sz="4" w:space="0" w:color="auto"/>
              <w:right w:val="single" w:sz="4" w:space="0" w:color="auto"/>
            </w:tcBorders>
            <w:shd w:val="clear" w:color="auto" w:fill="auto"/>
            <w:noWrap/>
            <w:vAlign w:val="center"/>
          </w:tcPr>
          <w:p w14:paraId="31E728D8"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0%</w:t>
            </w:r>
          </w:p>
        </w:tc>
      </w:tr>
      <w:tr w:rsidR="009E466F" w:rsidRPr="00A82E3D" w14:paraId="0A7C683A" w14:textId="77777777" w:rsidTr="00552F3E">
        <w:trPr>
          <w:trHeight w:val="287"/>
          <w:jc w:val="center"/>
        </w:trPr>
        <w:tc>
          <w:tcPr>
            <w:tcW w:w="7100" w:type="dxa"/>
            <w:gridSpan w:val="2"/>
            <w:tcBorders>
              <w:top w:val="single" w:sz="4" w:space="0" w:color="auto"/>
              <w:left w:val="single" w:sz="4" w:space="0" w:color="auto"/>
              <w:bottom w:val="single" w:sz="4" w:space="0" w:color="auto"/>
              <w:right w:val="single" w:sz="4" w:space="0" w:color="auto"/>
            </w:tcBorders>
          </w:tcPr>
          <w:p w14:paraId="5C4D315E" w14:textId="77777777" w:rsidR="009E466F" w:rsidRPr="00A82E3D" w:rsidRDefault="009E466F" w:rsidP="00552F3E">
            <w:pPr>
              <w:spacing w:line="240" w:lineRule="exact"/>
              <w:jc w:val="both"/>
              <w:rPr>
                <w:rFonts w:ascii="Tahoma" w:hAnsi="Tahoma" w:cs="Tahoma"/>
              </w:rPr>
            </w:pPr>
            <w:r w:rsidRPr="00A82E3D">
              <w:rPr>
                <w:rFonts w:ascii="Tahoma" w:hAnsi="Tahoma" w:cs="Tahoma"/>
              </w:rPr>
              <w:t>Depósitos à vista</w:t>
            </w:r>
          </w:p>
        </w:tc>
        <w:tc>
          <w:tcPr>
            <w:tcW w:w="1578" w:type="dxa"/>
            <w:vMerge w:val="restart"/>
            <w:tcBorders>
              <w:top w:val="single" w:sz="4" w:space="0" w:color="auto"/>
              <w:left w:val="nil"/>
              <w:right w:val="single" w:sz="4" w:space="0" w:color="auto"/>
            </w:tcBorders>
            <w:shd w:val="clear" w:color="auto" w:fill="auto"/>
            <w:noWrap/>
            <w:vAlign w:val="center"/>
            <w:hideMark/>
          </w:tcPr>
          <w:p w14:paraId="186BBE90"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0%</w:t>
            </w:r>
          </w:p>
        </w:tc>
        <w:tc>
          <w:tcPr>
            <w:tcW w:w="1754" w:type="dxa"/>
            <w:vMerge w:val="restart"/>
            <w:tcBorders>
              <w:top w:val="single" w:sz="4" w:space="0" w:color="auto"/>
              <w:left w:val="single" w:sz="4" w:space="0" w:color="auto"/>
              <w:right w:val="single" w:sz="4" w:space="0" w:color="auto"/>
            </w:tcBorders>
            <w:shd w:val="clear" w:color="auto" w:fill="auto"/>
            <w:noWrap/>
            <w:vAlign w:val="center"/>
          </w:tcPr>
          <w:p w14:paraId="787A64DD" w14:textId="77777777" w:rsidR="009E466F" w:rsidRPr="00A82E3D" w:rsidRDefault="009E466F" w:rsidP="00552F3E">
            <w:pPr>
              <w:spacing w:line="240" w:lineRule="exact"/>
              <w:jc w:val="center"/>
              <w:rPr>
                <w:rFonts w:ascii="Tahoma" w:hAnsi="Tahoma" w:cs="Tahoma"/>
                <w:b/>
              </w:rPr>
            </w:pPr>
            <w:r w:rsidRPr="00A82E3D">
              <w:rPr>
                <w:rFonts w:ascii="Tahoma" w:hAnsi="Tahoma" w:cs="Tahoma"/>
                <w:b/>
                <w:color w:val="000000"/>
              </w:rPr>
              <w:t>5%</w:t>
            </w:r>
          </w:p>
        </w:tc>
      </w:tr>
      <w:tr w:rsidR="009E466F" w:rsidRPr="00A82E3D" w14:paraId="02A3709B" w14:textId="77777777" w:rsidTr="00552F3E">
        <w:trPr>
          <w:trHeight w:val="287"/>
          <w:jc w:val="center"/>
        </w:trPr>
        <w:tc>
          <w:tcPr>
            <w:tcW w:w="7100" w:type="dxa"/>
            <w:gridSpan w:val="2"/>
            <w:tcBorders>
              <w:top w:val="single" w:sz="4" w:space="0" w:color="auto"/>
              <w:left w:val="single" w:sz="4" w:space="0" w:color="auto"/>
              <w:bottom w:val="single" w:sz="4" w:space="0" w:color="auto"/>
              <w:right w:val="single" w:sz="4" w:space="0" w:color="auto"/>
            </w:tcBorders>
          </w:tcPr>
          <w:p w14:paraId="61B728F3" w14:textId="77777777" w:rsidR="009E466F" w:rsidRPr="00A82E3D" w:rsidRDefault="009E466F" w:rsidP="00552F3E">
            <w:pPr>
              <w:spacing w:line="240" w:lineRule="exact"/>
              <w:jc w:val="both"/>
              <w:rPr>
                <w:rFonts w:ascii="Tahoma" w:hAnsi="Tahoma" w:cs="Tahoma"/>
              </w:rPr>
            </w:pPr>
            <w:r w:rsidRPr="00A82E3D">
              <w:rPr>
                <w:rFonts w:ascii="Tahoma" w:hAnsi="Tahoma" w:cs="Tahoma"/>
              </w:rPr>
              <w:t>Títulos Públicos Federais</w:t>
            </w:r>
          </w:p>
        </w:tc>
        <w:tc>
          <w:tcPr>
            <w:tcW w:w="1578" w:type="dxa"/>
            <w:vMerge/>
            <w:tcBorders>
              <w:top w:val="single" w:sz="4" w:space="0" w:color="auto"/>
              <w:left w:val="nil"/>
              <w:right w:val="single" w:sz="4" w:space="0" w:color="auto"/>
            </w:tcBorders>
            <w:shd w:val="clear" w:color="auto" w:fill="auto"/>
            <w:noWrap/>
            <w:vAlign w:val="center"/>
          </w:tcPr>
          <w:p w14:paraId="4AAACEBD" w14:textId="77777777" w:rsidR="009E466F" w:rsidRPr="00A82E3D" w:rsidRDefault="009E466F" w:rsidP="00552F3E">
            <w:pPr>
              <w:spacing w:line="240" w:lineRule="exact"/>
              <w:jc w:val="center"/>
              <w:rPr>
                <w:rFonts w:ascii="Tahoma" w:hAnsi="Tahoma" w:cs="Tahoma"/>
                <w:b/>
                <w:color w:val="000000"/>
              </w:rPr>
            </w:pPr>
          </w:p>
        </w:tc>
        <w:tc>
          <w:tcPr>
            <w:tcW w:w="1754" w:type="dxa"/>
            <w:vMerge/>
            <w:tcBorders>
              <w:top w:val="single" w:sz="4" w:space="0" w:color="auto"/>
              <w:left w:val="single" w:sz="4" w:space="0" w:color="auto"/>
              <w:right w:val="single" w:sz="4" w:space="0" w:color="auto"/>
            </w:tcBorders>
            <w:shd w:val="clear" w:color="auto" w:fill="auto"/>
            <w:noWrap/>
            <w:vAlign w:val="center"/>
          </w:tcPr>
          <w:p w14:paraId="15CA080C" w14:textId="77777777" w:rsidR="009E466F" w:rsidRPr="00A82E3D" w:rsidRDefault="009E466F" w:rsidP="00552F3E">
            <w:pPr>
              <w:spacing w:line="240" w:lineRule="exact"/>
              <w:jc w:val="center"/>
              <w:rPr>
                <w:rFonts w:ascii="Tahoma" w:hAnsi="Tahoma" w:cs="Tahoma"/>
                <w:b/>
                <w:color w:val="000000"/>
              </w:rPr>
            </w:pPr>
          </w:p>
        </w:tc>
      </w:tr>
      <w:tr w:rsidR="009E466F" w:rsidRPr="00A82E3D" w14:paraId="073814E2" w14:textId="77777777" w:rsidTr="00552F3E">
        <w:trPr>
          <w:trHeight w:val="287"/>
          <w:jc w:val="center"/>
        </w:trPr>
        <w:tc>
          <w:tcPr>
            <w:tcW w:w="7100" w:type="dxa"/>
            <w:gridSpan w:val="2"/>
            <w:tcBorders>
              <w:top w:val="single" w:sz="4" w:space="0" w:color="auto"/>
              <w:left w:val="single" w:sz="4" w:space="0" w:color="auto"/>
              <w:bottom w:val="single" w:sz="4" w:space="0" w:color="auto"/>
              <w:right w:val="single" w:sz="4" w:space="0" w:color="auto"/>
            </w:tcBorders>
          </w:tcPr>
          <w:p w14:paraId="53239F48" w14:textId="77777777" w:rsidR="009E466F" w:rsidRPr="00A82E3D" w:rsidRDefault="009E466F" w:rsidP="00552F3E">
            <w:pPr>
              <w:spacing w:line="240" w:lineRule="exact"/>
              <w:jc w:val="both"/>
              <w:rPr>
                <w:rFonts w:ascii="Tahoma" w:hAnsi="Tahoma" w:cs="Tahoma"/>
              </w:rPr>
            </w:pPr>
            <w:r w:rsidRPr="00A82E3D">
              <w:rPr>
                <w:rFonts w:ascii="Tahoma" w:hAnsi="Tahoma" w:cs="Tahoma"/>
              </w:rPr>
              <w:t>Títulos de Renda Fixa de emissão de instituição financeira</w:t>
            </w:r>
          </w:p>
        </w:tc>
        <w:tc>
          <w:tcPr>
            <w:tcW w:w="1578" w:type="dxa"/>
            <w:vMerge/>
            <w:tcBorders>
              <w:left w:val="nil"/>
              <w:right w:val="single" w:sz="4" w:space="0" w:color="auto"/>
            </w:tcBorders>
            <w:shd w:val="clear" w:color="auto" w:fill="auto"/>
            <w:noWrap/>
            <w:vAlign w:val="center"/>
          </w:tcPr>
          <w:p w14:paraId="18A2771C" w14:textId="77777777" w:rsidR="009E466F" w:rsidRPr="00A82E3D" w:rsidRDefault="009E466F" w:rsidP="00552F3E">
            <w:pPr>
              <w:spacing w:line="240" w:lineRule="exact"/>
              <w:jc w:val="center"/>
              <w:rPr>
                <w:rFonts w:ascii="Tahoma" w:hAnsi="Tahoma" w:cs="Tahoma"/>
                <w:b/>
                <w:color w:val="000000"/>
              </w:rPr>
            </w:pPr>
          </w:p>
        </w:tc>
        <w:tc>
          <w:tcPr>
            <w:tcW w:w="1754" w:type="dxa"/>
            <w:vMerge/>
            <w:tcBorders>
              <w:left w:val="single" w:sz="4" w:space="0" w:color="auto"/>
              <w:right w:val="single" w:sz="4" w:space="0" w:color="auto"/>
            </w:tcBorders>
            <w:shd w:val="clear" w:color="auto" w:fill="auto"/>
            <w:noWrap/>
            <w:vAlign w:val="center"/>
          </w:tcPr>
          <w:p w14:paraId="2BC03182" w14:textId="77777777" w:rsidR="009E466F" w:rsidRPr="00A82E3D" w:rsidRDefault="009E466F" w:rsidP="00552F3E">
            <w:pPr>
              <w:spacing w:line="240" w:lineRule="exact"/>
              <w:jc w:val="center"/>
              <w:rPr>
                <w:rFonts w:ascii="Tahoma" w:hAnsi="Tahoma" w:cs="Tahoma"/>
                <w:b/>
                <w:color w:val="000000"/>
              </w:rPr>
            </w:pPr>
          </w:p>
        </w:tc>
      </w:tr>
      <w:tr w:rsidR="009E466F" w:rsidRPr="00A82E3D" w14:paraId="6EE8E4A2" w14:textId="77777777" w:rsidTr="00552F3E">
        <w:trPr>
          <w:trHeight w:val="382"/>
          <w:jc w:val="center"/>
        </w:trPr>
        <w:tc>
          <w:tcPr>
            <w:tcW w:w="7100" w:type="dxa"/>
            <w:gridSpan w:val="2"/>
            <w:tcBorders>
              <w:top w:val="single" w:sz="4" w:space="0" w:color="auto"/>
              <w:left w:val="single" w:sz="4" w:space="0" w:color="auto"/>
              <w:bottom w:val="single" w:sz="4" w:space="0" w:color="auto"/>
              <w:right w:val="single" w:sz="4" w:space="0" w:color="auto"/>
            </w:tcBorders>
          </w:tcPr>
          <w:p w14:paraId="0D85CE9D" w14:textId="77777777" w:rsidR="009E466F" w:rsidRPr="00A82E3D" w:rsidRDefault="009E466F" w:rsidP="00552F3E">
            <w:pPr>
              <w:spacing w:line="240" w:lineRule="exact"/>
              <w:jc w:val="both"/>
              <w:rPr>
                <w:rFonts w:ascii="Tahoma" w:hAnsi="Tahoma" w:cs="Tahoma"/>
              </w:rPr>
            </w:pPr>
            <w:r w:rsidRPr="00A82E3D">
              <w:rPr>
                <w:rFonts w:ascii="Tahoma" w:hAnsi="Tahoma" w:cs="Tahoma"/>
              </w:rPr>
              <w:t>Operações compromissadas</w:t>
            </w:r>
          </w:p>
        </w:tc>
        <w:tc>
          <w:tcPr>
            <w:tcW w:w="1578" w:type="dxa"/>
            <w:vMerge/>
            <w:tcBorders>
              <w:left w:val="nil"/>
              <w:right w:val="single" w:sz="4" w:space="0" w:color="auto"/>
            </w:tcBorders>
            <w:shd w:val="clear" w:color="auto" w:fill="auto"/>
            <w:noWrap/>
            <w:vAlign w:val="center"/>
          </w:tcPr>
          <w:p w14:paraId="61540C77" w14:textId="77777777" w:rsidR="009E466F" w:rsidRPr="00A82E3D" w:rsidRDefault="009E466F" w:rsidP="00552F3E">
            <w:pPr>
              <w:spacing w:line="240" w:lineRule="exact"/>
              <w:jc w:val="center"/>
              <w:rPr>
                <w:rFonts w:ascii="Tahoma" w:hAnsi="Tahoma" w:cs="Tahoma"/>
                <w:b/>
                <w:color w:val="000000"/>
              </w:rPr>
            </w:pPr>
          </w:p>
        </w:tc>
        <w:tc>
          <w:tcPr>
            <w:tcW w:w="1754" w:type="dxa"/>
            <w:vMerge/>
            <w:tcBorders>
              <w:left w:val="single" w:sz="4" w:space="0" w:color="auto"/>
              <w:right w:val="single" w:sz="4" w:space="0" w:color="auto"/>
            </w:tcBorders>
            <w:shd w:val="clear" w:color="auto" w:fill="auto"/>
            <w:noWrap/>
            <w:vAlign w:val="center"/>
          </w:tcPr>
          <w:p w14:paraId="706F0A3E" w14:textId="77777777" w:rsidR="009E466F" w:rsidRPr="00A82E3D" w:rsidRDefault="009E466F" w:rsidP="00552F3E">
            <w:pPr>
              <w:spacing w:line="240" w:lineRule="exact"/>
              <w:jc w:val="center"/>
              <w:rPr>
                <w:rFonts w:ascii="Tahoma" w:hAnsi="Tahoma" w:cs="Tahoma"/>
                <w:b/>
                <w:color w:val="000000"/>
              </w:rPr>
            </w:pPr>
          </w:p>
        </w:tc>
      </w:tr>
      <w:tr w:rsidR="009E466F" w:rsidRPr="00A82E3D" w14:paraId="6DB726A9" w14:textId="77777777" w:rsidTr="00552F3E">
        <w:trPr>
          <w:trHeight w:val="287"/>
          <w:jc w:val="center"/>
        </w:trPr>
        <w:tc>
          <w:tcPr>
            <w:tcW w:w="7100" w:type="dxa"/>
            <w:gridSpan w:val="2"/>
            <w:tcBorders>
              <w:top w:val="single" w:sz="4" w:space="0" w:color="auto"/>
              <w:left w:val="single" w:sz="4" w:space="0" w:color="auto"/>
              <w:bottom w:val="single" w:sz="4" w:space="0" w:color="auto"/>
              <w:right w:val="single" w:sz="4" w:space="0" w:color="auto"/>
            </w:tcBorders>
          </w:tcPr>
          <w:p w14:paraId="7797FB48" w14:textId="77777777" w:rsidR="009E466F" w:rsidRPr="00A82E3D" w:rsidRDefault="009E466F" w:rsidP="00552F3E">
            <w:pPr>
              <w:spacing w:line="240" w:lineRule="exact"/>
              <w:jc w:val="both"/>
              <w:rPr>
                <w:rFonts w:ascii="Tahoma" w:hAnsi="Tahoma" w:cs="Tahoma"/>
              </w:rPr>
            </w:pPr>
            <w:r w:rsidRPr="00A82E3D">
              <w:rPr>
                <w:rFonts w:ascii="Tahoma" w:hAnsi="Tahoma" w:cs="Tahoma"/>
              </w:rPr>
              <w:t>Cotas de fundos de índice que reflitam as variações e a rentabilidade de índices de renda fixa (“Fundos Investidos”)</w:t>
            </w:r>
          </w:p>
        </w:tc>
        <w:tc>
          <w:tcPr>
            <w:tcW w:w="1578" w:type="dxa"/>
            <w:vMerge/>
            <w:tcBorders>
              <w:left w:val="nil"/>
              <w:right w:val="single" w:sz="4" w:space="0" w:color="auto"/>
            </w:tcBorders>
            <w:shd w:val="clear" w:color="auto" w:fill="auto"/>
            <w:noWrap/>
            <w:vAlign w:val="center"/>
          </w:tcPr>
          <w:p w14:paraId="1C8FF0AB" w14:textId="77777777" w:rsidR="009E466F" w:rsidRPr="00A82E3D" w:rsidRDefault="009E466F" w:rsidP="00552F3E">
            <w:pPr>
              <w:spacing w:line="240" w:lineRule="exact"/>
              <w:jc w:val="center"/>
              <w:rPr>
                <w:rFonts w:ascii="Tahoma" w:hAnsi="Tahoma" w:cs="Tahoma"/>
                <w:b/>
                <w:color w:val="000000"/>
              </w:rPr>
            </w:pPr>
          </w:p>
        </w:tc>
        <w:tc>
          <w:tcPr>
            <w:tcW w:w="1754" w:type="dxa"/>
            <w:vMerge/>
            <w:tcBorders>
              <w:left w:val="single" w:sz="4" w:space="0" w:color="auto"/>
              <w:right w:val="single" w:sz="4" w:space="0" w:color="auto"/>
            </w:tcBorders>
            <w:shd w:val="clear" w:color="auto" w:fill="auto"/>
            <w:noWrap/>
            <w:vAlign w:val="center"/>
          </w:tcPr>
          <w:p w14:paraId="59109F2B" w14:textId="77777777" w:rsidR="009E466F" w:rsidRPr="00A82E3D" w:rsidRDefault="009E466F" w:rsidP="00552F3E">
            <w:pPr>
              <w:spacing w:line="240" w:lineRule="exact"/>
              <w:jc w:val="center"/>
              <w:rPr>
                <w:rFonts w:ascii="Tahoma" w:hAnsi="Tahoma" w:cs="Tahoma"/>
                <w:b/>
                <w:color w:val="000000"/>
              </w:rPr>
            </w:pPr>
          </w:p>
        </w:tc>
      </w:tr>
      <w:tr w:rsidR="009E466F" w:rsidRPr="00A82E3D" w14:paraId="3E8EBD1C" w14:textId="77777777" w:rsidTr="00552F3E">
        <w:trPr>
          <w:trHeight w:val="1350"/>
          <w:jc w:val="center"/>
        </w:trPr>
        <w:tc>
          <w:tcPr>
            <w:tcW w:w="7100" w:type="dxa"/>
            <w:gridSpan w:val="2"/>
            <w:tcBorders>
              <w:top w:val="single" w:sz="4" w:space="0" w:color="auto"/>
              <w:left w:val="single" w:sz="4" w:space="0" w:color="auto"/>
              <w:bottom w:val="single" w:sz="4" w:space="0" w:color="auto"/>
              <w:right w:val="single" w:sz="4" w:space="0" w:color="auto"/>
            </w:tcBorders>
          </w:tcPr>
          <w:p w14:paraId="26530CC5" w14:textId="77777777" w:rsidR="009E466F" w:rsidRPr="00A82E3D" w:rsidRDefault="009E466F" w:rsidP="00552F3E">
            <w:pPr>
              <w:spacing w:line="240" w:lineRule="exact"/>
              <w:jc w:val="both"/>
              <w:rPr>
                <w:rFonts w:ascii="Tahoma" w:hAnsi="Tahoma" w:cs="Tahoma"/>
              </w:rPr>
            </w:pPr>
            <w:r w:rsidRPr="00A82E3D">
              <w:rPr>
                <w:rFonts w:ascii="Tahoma" w:hAnsi="Tahoma" w:cs="Tahoma"/>
              </w:rPr>
              <w:t>Cotas de fundos de investimento da classe Renda Fixa Curto Prazo, Renda Fixa Referenciado, desde que o seu indicador de desempenho seja a variação do CDI ou SELIC e Renda Fixa Simples (“Fundos Investidos”)</w:t>
            </w:r>
          </w:p>
        </w:tc>
        <w:tc>
          <w:tcPr>
            <w:tcW w:w="1578" w:type="dxa"/>
            <w:vMerge/>
            <w:tcBorders>
              <w:left w:val="nil"/>
              <w:bottom w:val="single" w:sz="4" w:space="0" w:color="auto"/>
              <w:right w:val="single" w:sz="4" w:space="0" w:color="auto"/>
            </w:tcBorders>
            <w:shd w:val="clear" w:color="auto" w:fill="auto"/>
            <w:noWrap/>
            <w:vAlign w:val="center"/>
          </w:tcPr>
          <w:p w14:paraId="5B1DA048" w14:textId="77777777" w:rsidR="009E466F" w:rsidRPr="00A82E3D" w:rsidRDefault="009E466F" w:rsidP="00552F3E">
            <w:pPr>
              <w:spacing w:line="240" w:lineRule="exact"/>
              <w:jc w:val="center"/>
              <w:rPr>
                <w:rFonts w:ascii="Tahoma" w:hAnsi="Tahoma" w:cs="Tahoma"/>
                <w:b/>
                <w:color w:val="000000"/>
              </w:rPr>
            </w:pPr>
          </w:p>
        </w:tc>
        <w:tc>
          <w:tcPr>
            <w:tcW w:w="1754" w:type="dxa"/>
            <w:vMerge/>
            <w:tcBorders>
              <w:left w:val="single" w:sz="4" w:space="0" w:color="auto"/>
              <w:bottom w:val="single" w:sz="4" w:space="0" w:color="auto"/>
              <w:right w:val="single" w:sz="4" w:space="0" w:color="auto"/>
            </w:tcBorders>
            <w:shd w:val="clear" w:color="auto" w:fill="auto"/>
            <w:noWrap/>
            <w:vAlign w:val="center"/>
          </w:tcPr>
          <w:p w14:paraId="1A9AC546" w14:textId="77777777" w:rsidR="009E466F" w:rsidRPr="00A82E3D" w:rsidRDefault="009E466F" w:rsidP="00552F3E">
            <w:pPr>
              <w:spacing w:line="240" w:lineRule="exact"/>
              <w:jc w:val="center"/>
              <w:rPr>
                <w:rFonts w:ascii="Tahoma" w:hAnsi="Tahoma" w:cs="Tahoma"/>
                <w:b/>
                <w:color w:val="000000"/>
              </w:rPr>
            </w:pPr>
          </w:p>
        </w:tc>
      </w:tr>
      <w:tr w:rsidR="009E466F" w:rsidRPr="00A82E3D" w14:paraId="380B1ED9" w14:textId="77777777" w:rsidTr="00552F3E">
        <w:trPr>
          <w:trHeight w:val="712"/>
          <w:jc w:val="center"/>
        </w:trPr>
        <w:tc>
          <w:tcPr>
            <w:tcW w:w="710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4F9BB3C"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CRÉDITO PRIVADO</w:t>
            </w:r>
          </w:p>
        </w:tc>
        <w:tc>
          <w:tcPr>
            <w:tcW w:w="157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909B06"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Permitido / Vedado</w:t>
            </w:r>
          </w:p>
        </w:tc>
        <w:tc>
          <w:tcPr>
            <w:tcW w:w="17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983827"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Limite aplicável</w:t>
            </w:r>
          </w:p>
          <w:p w14:paraId="6BAF1D7C"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 do PL)</w:t>
            </w:r>
          </w:p>
        </w:tc>
      </w:tr>
      <w:tr w:rsidR="009E466F" w:rsidRPr="00A82E3D" w14:paraId="7AE6CC19" w14:textId="77777777" w:rsidTr="00552F3E">
        <w:trPr>
          <w:trHeight w:val="546"/>
          <w:jc w:val="center"/>
        </w:trPr>
        <w:tc>
          <w:tcPr>
            <w:tcW w:w="7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AB4DF7"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Ativos de crédito privado e/ou títulos públicos que não da União, considerando-se a consolidação dos investimentos do FUNDO e dos Fundos Investidos</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4FDABC1F" w14:textId="77777777" w:rsidR="009E466F" w:rsidRPr="00A82E3D" w:rsidRDefault="009E466F" w:rsidP="00552F3E">
            <w:pPr>
              <w:spacing w:line="240" w:lineRule="exact"/>
              <w:jc w:val="center"/>
              <w:rPr>
                <w:rFonts w:ascii="Tahoma" w:hAnsi="Tahoma" w:cs="Tahoma"/>
                <w:color w:val="000000"/>
              </w:rPr>
            </w:pPr>
            <w:r w:rsidRPr="00A82E3D">
              <w:rPr>
                <w:rFonts w:ascii="Tahoma" w:hAnsi="Tahoma" w:cs="Tahoma"/>
                <w:color w:val="000000"/>
              </w:rPr>
              <w:t>Permitido</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156FBE5E"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Até 33%</w:t>
            </w:r>
          </w:p>
        </w:tc>
      </w:tr>
      <w:tr w:rsidR="009E466F" w:rsidRPr="00A82E3D" w14:paraId="203BD00E" w14:textId="77777777" w:rsidTr="00552F3E">
        <w:trPr>
          <w:trHeight w:val="287"/>
          <w:jc w:val="center"/>
        </w:trPr>
        <w:tc>
          <w:tcPr>
            <w:tcW w:w="710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330E4E1"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INVESTIMENTO NO EXTERIOR</w:t>
            </w:r>
          </w:p>
        </w:tc>
        <w:tc>
          <w:tcPr>
            <w:tcW w:w="157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C940B7"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Permitido / Vedado</w:t>
            </w:r>
          </w:p>
        </w:tc>
        <w:tc>
          <w:tcPr>
            <w:tcW w:w="17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C47012"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Limite aplicável</w:t>
            </w:r>
          </w:p>
          <w:p w14:paraId="4F0C26DD"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 do PL)</w:t>
            </w:r>
          </w:p>
        </w:tc>
      </w:tr>
      <w:tr w:rsidR="009E466F" w:rsidRPr="00A82E3D" w14:paraId="7E713F1C" w14:textId="77777777" w:rsidTr="00552F3E">
        <w:trPr>
          <w:trHeight w:val="287"/>
          <w:jc w:val="center"/>
        </w:trPr>
        <w:tc>
          <w:tcPr>
            <w:tcW w:w="7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A96A20"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 xml:space="preserve">Ativos financeiros negociados no exterior que tenham a mesma </w:t>
            </w:r>
            <w:r w:rsidRPr="00A82E3D">
              <w:rPr>
                <w:rFonts w:ascii="Tahoma" w:hAnsi="Tahoma" w:cs="Tahoma"/>
              </w:rPr>
              <w:t>natureza econômica dos ativos financeiros no Brasil</w:t>
            </w:r>
            <w:r w:rsidRPr="00A82E3D">
              <w:rPr>
                <w:rFonts w:ascii="Tahoma" w:hAnsi="Tahoma" w:cs="Tahoma"/>
                <w:color w:val="000000"/>
              </w:rPr>
              <w:t xml:space="preserve"> e/ou incluindo </w:t>
            </w:r>
            <w:proofErr w:type="spellStart"/>
            <w:r w:rsidRPr="00A82E3D">
              <w:rPr>
                <w:rFonts w:ascii="Tahoma" w:hAnsi="Tahoma" w:cs="Tahoma"/>
                <w:color w:val="000000"/>
              </w:rPr>
              <w:t>Brazilian</w:t>
            </w:r>
            <w:proofErr w:type="spellEnd"/>
            <w:r w:rsidRPr="00A82E3D">
              <w:rPr>
                <w:rFonts w:ascii="Tahoma" w:hAnsi="Tahoma" w:cs="Tahoma"/>
                <w:color w:val="000000"/>
              </w:rPr>
              <w:t xml:space="preserve"> Depositary </w:t>
            </w:r>
            <w:proofErr w:type="spellStart"/>
            <w:r w:rsidRPr="00A82E3D">
              <w:rPr>
                <w:rFonts w:ascii="Tahoma" w:hAnsi="Tahoma" w:cs="Tahoma"/>
                <w:color w:val="000000"/>
              </w:rPr>
              <w:t>Receipt</w:t>
            </w:r>
            <w:proofErr w:type="spellEnd"/>
            <w:r w:rsidRPr="00A82E3D">
              <w:rPr>
                <w:rFonts w:ascii="Tahoma" w:hAnsi="Tahoma" w:cs="Tahoma"/>
                <w:color w:val="000000"/>
              </w:rPr>
              <w:t xml:space="preserve"> - Nível I</w:t>
            </w:r>
            <w:r w:rsidRPr="00A82E3D">
              <w:rPr>
                <w:rFonts w:ascii="Tahoma" w:hAnsi="Tahoma" w:cs="Tahoma"/>
              </w:rPr>
              <w:t xml:space="preserve"> (exceto no caso de fundos de investimento que adotem o sufixo Ações – BDR Nível I), considerando-se a consolidação dos investimentos dos Fundos Investidos</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4B591A93" w14:textId="77777777" w:rsidR="009E466F" w:rsidRPr="00A82E3D" w:rsidRDefault="009E466F" w:rsidP="00552F3E">
            <w:pPr>
              <w:spacing w:line="240" w:lineRule="exact"/>
              <w:jc w:val="center"/>
              <w:rPr>
                <w:rFonts w:ascii="Tahoma" w:hAnsi="Tahoma" w:cs="Tahoma"/>
                <w:color w:val="000000"/>
              </w:rPr>
            </w:pPr>
            <w:r w:rsidRPr="00A82E3D">
              <w:rPr>
                <w:rFonts w:ascii="Tahoma" w:hAnsi="Tahoma" w:cs="Tahoma"/>
                <w:color w:val="000000"/>
              </w:rPr>
              <w:t>Permitido</w:t>
            </w:r>
          </w:p>
        </w:tc>
        <w:tc>
          <w:tcPr>
            <w:tcW w:w="1754" w:type="dxa"/>
            <w:tcBorders>
              <w:top w:val="single" w:sz="4" w:space="0" w:color="auto"/>
              <w:left w:val="nil"/>
              <w:bottom w:val="single" w:sz="4" w:space="0" w:color="auto"/>
              <w:right w:val="single" w:sz="4" w:space="0" w:color="auto"/>
            </w:tcBorders>
            <w:shd w:val="clear" w:color="auto" w:fill="auto"/>
            <w:noWrap/>
            <w:vAlign w:val="center"/>
            <w:hideMark/>
          </w:tcPr>
          <w:p w14:paraId="345D6826"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Até 20%</w:t>
            </w:r>
          </w:p>
        </w:tc>
      </w:tr>
      <w:tr w:rsidR="009E466F" w:rsidRPr="00A82E3D" w14:paraId="614DB462" w14:textId="77777777" w:rsidTr="00552F3E">
        <w:trPr>
          <w:trHeight w:val="287"/>
          <w:jc w:val="center"/>
        </w:trPr>
        <w:tc>
          <w:tcPr>
            <w:tcW w:w="104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98F160C" w14:textId="77777777" w:rsidR="009E466F" w:rsidRPr="00A82E3D" w:rsidRDefault="009E466F" w:rsidP="00552F3E">
            <w:pPr>
              <w:spacing w:line="240" w:lineRule="exact"/>
              <w:jc w:val="both"/>
              <w:rPr>
                <w:rFonts w:ascii="Tahoma" w:hAnsi="Tahoma" w:cs="Tahoma"/>
                <w:b/>
                <w:color w:val="000000"/>
              </w:rPr>
            </w:pPr>
            <w:r w:rsidRPr="00A82E3D">
              <w:rPr>
                <w:rFonts w:ascii="Tahoma" w:hAnsi="Tahoma" w:cs="Tahoma"/>
                <w:b/>
                <w:color w:val="000000"/>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7D0DEE43" w14:textId="77777777" w:rsidR="009E466F" w:rsidRPr="00A82E3D" w:rsidRDefault="009E466F" w:rsidP="009E466F">
      <w:pPr>
        <w:tabs>
          <w:tab w:val="left" w:pos="426"/>
          <w:tab w:val="left" w:pos="1843"/>
        </w:tabs>
        <w:spacing w:line="240" w:lineRule="exact"/>
        <w:jc w:val="both"/>
        <w:rPr>
          <w:rFonts w:ascii="Tahoma" w:hAnsi="Tahoma" w:cs="Tahoma"/>
        </w:rPr>
      </w:pPr>
    </w:p>
    <w:p w14:paraId="1A7A784D" w14:textId="77777777" w:rsidR="009E466F" w:rsidRPr="00A82E3D" w:rsidRDefault="009E466F" w:rsidP="009E466F">
      <w:pPr>
        <w:tabs>
          <w:tab w:val="left" w:pos="426"/>
          <w:tab w:val="left" w:pos="1843"/>
        </w:tabs>
        <w:spacing w:line="240" w:lineRule="exact"/>
        <w:jc w:val="center"/>
        <w:rPr>
          <w:rFonts w:ascii="Tahoma" w:hAnsi="Tahoma" w:cs="Tahoma"/>
        </w:rPr>
      </w:pPr>
      <w:r w:rsidRPr="00A82E3D">
        <w:rPr>
          <w:rFonts w:ascii="Tahoma" w:hAnsi="Tahoma" w:cs="Tahoma"/>
          <w:b/>
        </w:rPr>
        <w:t>DOS FUNDOS INVESTIDOS</w:t>
      </w:r>
    </w:p>
    <w:p w14:paraId="6765F477" w14:textId="77777777" w:rsidR="009E466F" w:rsidRPr="00A82E3D" w:rsidRDefault="009E466F" w:rsidP="009E466F">
      <w:pPr>
        <w:tabs>
          <w:tab w:val="left" w:pos="426"/>
          <w:tab w:val="left" w:pos="1843"/>
        </w:tabs>
        <w:spacing w:line="240" w:lineRule="exact"/>
        <w:jc w:val="both"/>
        <w:rPr>
          <w:rFonts w:ascii="Tahoma" w:hAnsi="Tahoma" w:cs="Tahoma"/>
        </w:rPr>
      </w:pPr>
    </w:p>
    <w:tbl>
      <w:tblPr>
        <w:tblW w:w="10477" w:type="dxa"/>
        <w:jc w:val="center"/>
        <w:tblCellMar>
          <w:left w:w="70" w:type="dxa"/>
          <w:right w:w="70" w:type="dxa"/>
        </w:tblCellMar>
        <w:tblLook w:val="04A0" w:firstRow="1" w:lastRow="0" w:firstColumn="1" w:lastColumn="0" w:noHBand="0" w:noVBand="1"/>
      </w:tblPr>
      <w:tblGrid>
        <w:gridCol w:w="7131"/>
        <w:gridCol w:w="1585"/>
        <w:gridCol w:w="1761"/>
      </w:tblGrid>
      <w:tr w:rsidR="009E466F" w:rsidRPr="00A82E3D" w14:paraId="111EF2CB" w14:textId="77777777" w:rsidTr="00552F3E">
        <w:trPr>
          <w:trHeight w:val="298"/>
          <w:jc w:val="center"/>
        </w:trPr>
        <w:tc>
          <w:tcPr>
            <w:tcW w:w="7131" w:type="dxa"/>
            <w:vMerge w:val="restart"/>
            <w:tcBorders>
              <w:top w:val="single" w:sz="4" w:space="0" w:color="auto"/>
              <w:left w:val="single" w:sz="4" w:space="0" w:color="auto"/>
              <w:right w:val="single" w:sz="4" w:space="0" w:color="auto"/>
            </w:tcBorders>
            <w:shd w:val="clear" w:color="auto" w:fill="D9D9D9"/>
            <w:noWrap/>
            <w:vAlign w:val="center"/>
            <w:hideMark/>
          </w:tcPr>
          <w:p w14:paraId="4D6078E8"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 xml:space="preserve">COMPOSIÇÃO DA CARTEIRA </w:t>
            </w:r>
          </w:p>
        </w:tc>
        <w:tc>
          <w:tcPr>
            <w:tcW w:w="3346"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090B49E8"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 do PL</w:t>
            </w:r>
          </w:p>
        </w:tc>
      </w:tr>
      <w:tr w:rsidR="009E466F" w:rsidRPr="00A82E3D" w14:paraId="4A02D301" w14:textId="77777777" w:rsidTr="00552F3E">
        <w:trPr>
          <w:trHeight w:val="298"/>
          <w:jc w:val="center"/>
        </w:trPr>
        <w:tc>
          <w:tcPr>
            <w:tcW w:w="7131" w:type="dxa"/>
            <w:vMerge/>
            <w:tcBorders>
              <w:left w:val="single" w:sz="4" w:space="0" w:color="auto"/>
              <w:bottom w:val="single" w:sz="4" w:space="0" w:color="auto"/>
              <w:right w:val="single" w:sz="4" w:space="0" w:color="auto"/>
            </w:tcBorders>
            <w:shd w:val="clear" w:color="auto" w:fill="D9D9D9"/>
            <w:noWrap/>
            <w:vAlign w:val="center"/>
            <w:hideMark/>
          </w:tcPr>
          <w:p w14:paraId="6B552159" w14:textId="77777777" w:rsidR="009E466F" w:rsidRPr="00A82E3D" w:rsidRDefault="009E466F" w:rsidP="00552F3E">
            <w:pPr>
              <w:spacing w:line="240" w:lineRule="exact"/>
              <w:rPr>
                <w:rFonts w:ascii="Tahoma" w:hAnsi="Tahoma" w:cs="Tahoma"/>
                <w:b/>
                <w:bCs/>
                <w:color w:val="000000"/>
              </w:rPr>
            </w:pPr>
          </w:p>
        </w:tc>
        <w:tc>
          <w:tcPr>
            <w:tcW w:w="1585" w:type="dxa"/>
            <w:tcBorders>
              <w:top w:val="nil"/>
              <w:left w:val="nil"/>
              <w:bottom w:val="single" w:sz="4" w:space="0" w:color="auto"/>
              <w:right w:val="single" w:sz="4" w:space="0" w:color="auto"/>
            </w:tcBorders>
            <w:shd w:val="clear" w:color="auto" w:fill="D9D9D9"/>
            <w:noWrap/>
            <w:vAlign w:val="center"/>
            <w:hideMark/>
          </w:tcPr>
          <w:p w14:paraId="3BED37BD"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Mín.</w:t>
            </w:r>
          </w:p>
        </w:tc>
        <w:tc>
          <w:tcPr>
            <w:tcW w:w="1761" w:type="dxa"/>
            <w:tcBorders>
              <w:top w:val="nil"/>
              <w:left w:val="nil"/>
              <w:bottom w:val="single" w:sz="4" w:space="0" w:color="auto"/>
              <w:right w:val="single" w:sz="4" w:space="0" w:color="auto"/>
            </w:tcBorders>
            <w:shd w:val="clear" w:color="auto" w:fill="D9D9D9"/>
            <w:noWrap/>
            <w:vAlign w:val="center"/>
            <w:hideMark/>
          </w:tcPr>
          <w:p w14:paraId="1680106D"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Máx.</w:t>
            </w:r>
          </w:p>
        </w:tc>
      </w:tr>
      <w:tr w:rsidR="009E466F" w:rsidRPr="00A82E3D" w14:paraId="0CFA0766" w14:textId="77777777" w:rsidTr="00552F3E">
        <w:trPr>
          <w:trHeight w:val="298"/>
          <w:jc w:val="center"/>
        </w:trPr>
        <w:tc>
          <w:tcPr>
            <w:tcW w:w="7131" w:type="dxa"/>
            <w:tcBorders>
              <w:top w:val="nil"/>
              <w:left w:val="single" w:sz="4" w:space="0" w:color="auto"/>
              <w:bottom w:val="single" w:sz="4" w:space="0" w:color="auto"/>
              <w:right w:val="single" w:sz="4" w:space="0" w:color="auto"/>
            </w:tcBorders>
            <w:shd w:val="clear" w:color="auto" w:fill="auto"/>
            <w:vAlign w:val="center"/>
          </w:tcPr>
          <w:p w14:paraId="6965AA0C"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Ações admitidas à negociação em mercado organizado</w:t>
            </w:r>
          </w:p>
        </w:tc>
        <w:tc>
          <w:tcPr>
            <w:tcW w:w="1585" w:type="dxa"/>
            <w:vMerge w:val="restart"/>
            <w:tcBorders>
              <w:top w:val="nil"/>
              <w:left w:val="nil"/>
              <w:right w:val="single" w:sz="4" w:space="0" w:color="auto"/>
            </w:tcBorders>
            <w:shd w:val="clear" w:color="auto" w:fill="auto"/>
            <w:noWrap/>
            <w:vAlign w:val="center"/>
          </w:tcPr>
          <w:p w14:paraId="7C3982A5"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67%</w:t>
            </w:r>
          </w:p>
        </w:tc>
        <w:tc>
          <w:tcPr>
            <w:tcW w:w="1761" w:type="dxa"/>
            <w:vMerge w:val="restart"/>
            <w:tcBorders>
              <w:top w:val="nil"/>
              <w:left w:val="nil"/>
              <w:right w:val="single" w:sz="4" w:space="0" w:color="auto"/>
            </w:tcBorders>
            <w:shd w:val="clear" w:color="auto" w:fill="auto"/>
            <w:noWrap/>
            <w:vAlign w:val="center"/>
          </w:tcPr>
          <w:p w14:paraId="4555F08C"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100%</w:t>
            </w:r>
          </w:p>
        </w:tc>
      </w:tr>
      <w:tr w:rsidR="009E466F" w:rsidRPr="00A82E3D" w14:paraId="76D752FC" w14:textId="77777777" w:rsidTr="00552F3E">
        <w:trPr>
          <w:trHeight w:val="298"/>
          <w:jc w:val="center"/>
        </w:trPr>
        <w:tc>
          <w:tcPr>
            <w:tcW w:w="7131" w:type="dxa"/>
            <w:tcBorders>
              <w:top w:val="nil"/>
              <w:left w:val="single" w:sz="4" w:space="0" w:color="auto"/>
              <w:bottom w:val="single" w:sz="4" w:space="0" w:color="auto"/>
              <w:right w:val="single" w:sz="4" w:space="0" w:color="auto"/>
            </w:tcBorders>
            <w:shd w:val="clear" w:color="auto" w:fill="auto"/>
            <w:vAlign w:val="center"/>
          </w:tcPr>
          <w:p w14:paraId="6EFA940A"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Bônus ou recibos de subscrição e certificados de depósito de ações admitidas à negociação em mercado organizado</w:t>
            </w:r>
          </w:p>
        </w:tc>
        <w:tc>
          <w:tcPr>
            <w:tcW w:w="1585" w:type="dxa"/>
            <w:vMerge/>
            <w:tcBorders>
              <w:left w:val="nil"/>
              <w:right w:val="single" w:sz="4" w:space="0" w:color="auto"/>
            </w:tcBorders>
            <w:shd w:val="clear" w:color="auto" w:fill="auto"/>
            <w:noWrap/>
            <w:vAlign w:val="center"/>
          </w:tcPr>
          <w:p w14:paraId="1E0E487C" w14:textId="77777777" w:rsidR="009E466F" w:rsidRPr="00A82E3D" w:rsidRDefault="009E466F" w:rsidP="00552F3E">
            <w:pPr>
              <w:spacing w:line="240" w:lineRule="exact"/>
              <w:jc w:val="center"/>
              <w:rPr>
                <w:rFonts w:ascii="Tahoma" w:hAnsi="Tahoma" w:cs="Tahoma"/>
                <w:b/>
                <w:color w:val="000000"/>
              </w:rPr>
            </w:pPr>
          </w:p>
        </w:tc>
        <w:tc>
          <w:tcPr>
            <w:tcW w:w="1761" w:type="dxa"/>
            <w:vMerge/>
            <w:tcBorders>
              <w:left w:val="nil"/>
              <w:right w:val="single" w:sz="4" w:space="0" w:color="auto"/>
            </w:tcBorders>
            <w:shd w:val="clear" w:color="auto" w:fill="auto"/>
            <w:noWrap/>
            <w:vAlign w:val="center"/>
          </w:tcPr>
          <w:p w14:paraId="24FF7279" w14:textId="77777777" w:rsidR="009E466F" w:rsidRPr="00A82E3D" w:rsidRDefault="009E466F" w:rsidP="00552F3E">
            <w:pPr>
              <w:spacing w:line="240" w:lineRule="exact"/>
              <w:jc w:val="center"/>
              <w:rPr>
                <w:rFonts w:ascii="Tahoma" w:hAnsi="Tahoma" w:cs="Tahoma"/>
                <w:b/>
                <w:color w:val="000000"/>
              </w:rPr>
            </w:pPr>
          </w:p>
        </w:tc>
      </w:tr>
      <w:tr w:rsidR="009E466F" w:rsidRPr="00A82E3D" w14:paraId="7E36BEAA" w14:textId="77777777" w:rsidTr="00552F3E">
        <w:trPr>
          <w:trHeight w:val="298"/>
          <w:jc w:val="center"/>
        </w:trPr>
        <w:tc>
          <w:tcPr>
            <w:tcW w:w="7131" w:type="dxa"/>
            <w:tcBorders>
              <w:top w:val="nil"/>
              <w:left w:val="single" w:sz="4" w:space="0" w:color="auto"/>
              <w:bottom w:val="single" w:sz="4" w:space="0" w:color="auto"/>
              <w:right w:val="single" w:sz="4" w:space="0" w:color="auto"/>
            </w:tcBorders>
            <w:shd w:val="clear" w:color="auto" w:fill="auto"/>
            <w:vAlign w:val="center"/>
          </w:tcPr>
          <w:p w14:paraId="3D97953E"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 xml:space="preserve">Cotas de fundos de investimento e cotas de fundos de investimento em cotas da classe Ações e cotas dos fundos de índice de ações </w:t>
            </w:r>
            <w:r w:rsidRPr="00A82E3D">
              <w:rPr>
                <w:rFonts w:ascii="Tahoma" w:hAnsi="Tahoma" w:cs="Tahoma"/>
              </w:rPr>
              <w:t>negociáveis em bolsa de valores no Brasil, compostos por, no mínimo, cinquenta ações, correspondentes bônus ou recibos de subscrição e de certificados de depósitos de tais ações</w:t>
            </w:r>
          </w:p>
        </w:tc>
        <w:tc>
          <w:tcPr>
            <w:tcW w:w="1585" w:type="dxa"/>
            <w:vMerge/>
            <w:tcBorders>
              <w:left w:val="nil"/>
              <w:right w:val="single" w:sz="4" w:space="0" w:color="auto"/>
            </w:tcBorders>
            <w:shd w:val="clear" w:color="auto" w:fill="auto"/>
            <w:noWrap/>
            <w:vAlign w:val="center"/>
          </w:tcPr>
          <w:p w14:paraId="7B454390" w14:textId="77777777" w:rsidR="009E466F" w:rsidRPr="00A82E3D" w:rsidRDefault="009E466F" w:rsidP="00552F3E">
            <w:pPr>
              <w:spacing w:line="240" w:lineRule="exact"/>
              <w:jc w:val="center"/>
              <w:rPr>
                <w:rFonts w:ascii="Tahoma" w:hAnsi="Tahoma" w:cs="Tahoma"/>
                <w:b/>
                <w:color w:val="000000"/>
              </w:rPr>
            </w:pPr>
          </w:p>
        </w:tc>
        <w:tc>
          <w:tcPr>
            <w:tcW w:w="1761" w:type="dxa"/>
            <w:vMerge/>
            <w:tcBorders>
              <w:left w:val="nil"/>
              <w:right w:val="single" w:sz="4" w:space="0" w:color="auto"/>
            </w:tcBorders>
            <w:shd w:val="clear" w:color="auto" w:fill="auto"/>
            <w:noWrap/>
            <w:vAlign w:val="center"/>
          </w:tcPr>
          <w:p w14:paraId="2B3DD590" w14:textId="77777777" w:rsidR="009E466F" w:rsidRPr="00A82E3D" w:rsidRDefault="009E466F" w:rsidP="00552F3E">
            <w:pPr>
              <w:spacing w:line="240" w:lineRule="exact"/>
              <w:jc w:val="center"/>
              <w:rPr>
                <w:rFonts w:ascii="Tahoma" w:hAnsi="Tahoma" w:cs="Tahoma"/>
                <w:b/>
                <w:color w:val="000000"/>
              </w:rPr>
            </w:pPr>
          </w:p>
        </w:tc>
      </w:tr>
      <w:tr w:rsidR="009E466F" w:rsidRPr="00A82E3D" w14:paraId="031FDD4B" w14:textId="77777777" w:rsidTr="00552F3E">
        <w:trPr>
          <w:trHeight w:val="53"/>
          <w:jc w:val="center"/>
        </w:trPr>
        <w:tc>
          <w:tcPr>
            <w:tcW w:w="7131" w:type="dxa"/>
            <w:tcBorders>
              <w:top w:val="nil"/>
              <w:left w:val="single" w:sz="4" w:space="0" w:color="auto"/>
              <w:bottom w:val="single" w:sz="4" w:space="0" w:color="auto"/>
              <w:right w:val="single" w:sz="4" w:space="0" w:color="auto"/>
            </w:tcBorders>
            <w:shd w:val="clear" w:color="auto" w:fill="auto"/>
            <w:vAlign w:val="center"/>
          </w:tcPr>
          <w:p w14:paraId="153D794B"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Brazilian Depositary Receipts (“BDR”) classificados como nível II e III</w:t>
            </w:r>
          </w:p>
        </w:tc>
        <w:tc>
          <w:tcPr>
            <w:tcW w:w="1585" w:type="dxa"/>
            <w:vMerge/>
            <w:tcBorders>
              <w:left w:val="nil"/>
              <w:bottom w:val="single" w:sz="4" w:space="0" w:color="auto"/>
              <w:right w:val="single" w:sz="4" w:space="0" w:color="auto"/>
            </w:tcBorders>
            <w:shd w:val="clear" w:color="auto" w:fill="auto"/>
            <w:noWrap/>
            <w:vAlign w:val="center"/>
          </w:tcPr>
          <w:p w14:paraId="7262FDB2" w14:textId="77777777" w:rsidR="009E466F" w:rsidRPr="00A82E3D" w:rsidRDefault="009E466F" w:rsidP="00552F3E">
            <w:pPr>
              <w:spacing w:line="240" w:lineRule="exact"/>
              <w:jc w:val="center"/>
              <w:rPr>
                <w:rFonts w:ascii="Tahoma" w:hAnsi="Tahoma" w:cs="Tahoma"/>
                <w:b/>
                <w:color w:val="000000"/>
              </w:rPr>
            </w:pPr>
          </w:p>
        </w:tc>
        <w:tc>
          <w:tcPr>
            <w:tcW w:w="1761" w:type="dxa"/>
            <w:vMerge/>
            <w:tcBorders>
              <w:left w:val="nil"/>
              <w:bottom w:val="single" w:sz="4" w:space="0" w:color="auto"/>
              <w:right w:val="single" w:sz="4" w:space="0" w:color="auto"/>
            </w:tcBorders>
            <w:shd w:val="clear" w:color="auto" w:fill="auto"/>
            <w:noWrap/>
            <w:vAlign w:val="center"/>
          </w:tcPr>
          <w:p w14:paraId="5AAB927E" w14:textId="77777777" w:rsidR="009E466F" w:rsidRPr="00A82E3D" w:rsidRDefault="009E466F" w:rsidP="00552F3E">
            <w:pPr>
              <w:spacing w:line="240" w:lineRule="exact"/>
              <w:jc w:val="center"/>
              <w:rPr>
                <w:rFonts w:ascii="Tahoma" w:hAnsi="Tahoma" w:cs="Tahoma"/>
                <w:b/>
                <w:color w:val="000000"/>
              </w:rPr>
            </w:pPr>
          </w:p>
        </w:tc>
      </w:tr>
      <w:tr w:rsidR="009E466F" w:rsidRPr="00A82E3D" w14:paraId="61E31FC5" w14:textId="77777777" w:rsidTr="00552F3E">
        <w:trPr>
          <w:trHeight w:val="169"/>
          <w:jc w:val="center"/>
        </w:trPr>
        <w:tc>
          <w:tcPr>
            <w:tcW w:w="7131" w:type="dxa"/>
            <w:tcBorders>
              <w:top w:val="nil"/>
              <w:left w:val="single" w:sz="4" w:space="0" w:color="auto"/>
              <w:bottom w:val="single" w:sz="4" w:space="0" w:color="auto"/>
              <w:right w:val="single" w:sz="4" w:space="0" w:color="auto"/>
            </w:tcBorders>
            <w:shd w:val="clear" w:color="auto" w:fill="auto"/>
            <w:vAlign w:val="center"/>
            <w:hideMark/>
          </w:tcPr>
          <w:p w14:paraId="787940D6"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 xml:space="preserve">Outros ativos financeiros e/ou modalidades operacionais </w:t>
            </w:r>
          </w:p>
        </w:tc>
        <w:tc>
          <w:tcPr>
            <w:tcW w:w="1585" w:type="dxa"/>
            <w:tcBorders>
              <w:top w:val="nil"/>
              <w:left w:val="nil"/>
              <w:bottom w:val="single" w:sz="4" w:space="0" w:color="auto"/>
              <w:right w:val="single" w:sz="4" w:space="0" w:color="auto"/>
            </w:tcBorders>
            <w:shd w:val="clear" w:color="auto" w:fill="auto"/>
            <w:noWrap/>
            <w:vAlign w:val="center"/>
            <w:hideMark/>
          </w:tcPr>
          <w:p w14:paraId="5EB95398"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0%</w:t>
            </w:r>
          </w:p>
        </w:tc>
        <w:tc>
          <w:tcPr>
            <w:tcW w:w="1761" w:type="dxa"/>
            <w:tcBorders>
              <w:top w:val="nil"/>
              <w:left w:val="nil"/>
              <w:bottom w:val="single" w:sz="4" w:space="0" w:color="auto"/>
              <w:right w:val="single" w:sz="4" w:space="0" w:color="auto"/>
            </w:tcBorders>
            <w:shd w:val="clear" w:color="auto" w:fill="auto"/>
            <w:noWrap/>
            <w:vAlign w:val="center"/>
            <w:hideMark/>
          </w:tcPr>
          <w:p w14:paraId="06C8D6BF"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33%</w:t>
            </w:r>
          </w:p>
        </w:tc>
      </w:tr>
      <w:tr w:rsidR="009E466F" w:rsidRPr="00A82E3D" w14:paraId="4FA568A1" w14:textId="77777777" w:rsidTr="00552F3E">
        <w:trPr>
          <w:trHeight w:val="346"/>
          <w:jc w:val="center"/>
        </w:trPr>
        <w:tc>
          <w:tcPr>
            <w:tcW w:w="7131" w:type="dxa"/>
            <w:tcBorders>
              <w:top w:val="nil"/>
              <w:left w:val="single" w:sz="4" w:space="0" w:color="auto"/>
              <w:bottom w:val="single" w:sz="4" w:space="0" w:color="auto"/>
              <w:right w:val="single" w:sz="4" w:space="0" w:color="auto"/>
            </w:tcBorders>
            <w:shd w:val="clear" w:color="auto" w:fill="auto"/>
            <w:vAlign w:val="center"/>
          </w:tcPr>
          <w:p w14:paraId="6146C638"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Títulos Públicos Federais e operações compromissadas lastreadas nestes títulos</w:t>
            </w:r>
          </w:p>
        </w:tc>
        <w:tc>
          <w:tcPr>
            <w:tcW w:w="1585" w:type="dxa"/>
            <w:tcBorders>
              <w:top w:val="nil"/>
              <w:left w:val="nil"/>
              <w:bottom w:val="single" w:sz="4" w:space="0" w:color="auto"/>
              <w:right w:val="single" w:sz="4" w:space="0" w:color="auto"/>
            </w:tcBorders>
            <w:shd w:val="clear" w:color="auto" w:fill="auto"/>
            <w:noWrap/>
            <w:vAlign w:val="center"/>
          </w:tcPr>
          <w:p w14:paraId="732F43A2"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Sem Limite</w:t>
            </w:r>
          </w:p>
        </w:tc>
        <w:tc>
          <w:tcPr>
            <w:tcW w:w="1761" w:type="dxa"/>
            <w:tcBorders>
              <w:top w:val="nil"/>
              <w:left w:val="nil"/>
              <w:bottom w:val="single" w:sz="4" w:space="0" w:color="auto"/>
              <w:right w:val="single" w:sz="4" w:space="0" w:color="auto"/>
            </w:tcBorders>
            <w:shd w:val="clear" w:color="auto" w:fill="auto"/>
            <w:noWrap/>
            <w:vAlign w:val="center"/>
          </w:tcPr>
          <w:p w14:paraId="77429044"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Sem Limite</w:t>
            </w:r>
          </w:p>
        </w:tc>
      </w:tr>
      <w:tr w:rsidR="009E466F" w:rsidRPr="00A82E3D" w14:paraId="0F22D579" w14:textId="77777777" w:rsidTr="00552F3E">
        <w:trPr>
          <w:trHeight w:val="298"/>
          <w:jc w:val="center"/>
        </w:trPr>
        <w:tc>
          <w:tcPr>
            <w:tcW w:w="71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ABBFEF"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DERIVATIVOS</w:t>
            </w:r>
          </w:p>
        </w:tc>
        <w:tc>
          <w:tcPr>
            <w:tcW w:w="15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EEE654"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 xml:space="preserve">Permitido / Vedado </w:t>
            </w:r>
          </w:p>
        </w:tc>
        <w:tc>
          <w:tcPr>
            <w:tcW w:w="17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06E854"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Limite aplicável</w:t>
            </w:r>
          </w:p>
          <w:p w14:paraId="2E0BA0C1"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(%do PL)</w:t>
            </w:r>
          </w:p>
        </w:tc>
      </w:tr>
      <w:tr w:rsidR="009E466F" w:rsidRPr="00A82E3D" w14:paraId="6C9E21B8" w14:textId="77777777" w:rsidTr="00552F3E">
        <w:trPr>
          <w:trHeight w:val="298"/>
          <w:jc w:val="center"/>
        </w:trPr>
        <w:tc>
          <w:tcPr>
            <w:tcW w:w="7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42FC4" w14:textId="77777777" w:rsidR="009E466F" w:rsidRPr="00A82E3D" w:rsidRDefault="009E466F" w:rsidP="00552F3E">
            <w:pPr>
              <w:spacing w:line="240" w:lineRule="exact"/>
              <w:rPr>
                <w:rFonts w:ascii="Tahoma" w:hAnsi="Tahoma" w:cs="Tahoma"/>
                <w:color w:val="000000"/>
              </w:rPr>
            </w:pPr>
            <w:r w:rsidRPr="00A82E3D">
              <w:rPr>
                <w:rFonts w:ascii="Tahoma" w:hAnsi="Tahoma" w:cs="Tahoma"/>
                <w:color w:val="000000"/>
              </w:rPr>
              <w:t>Proteção da carteira (</w:t>
            </w:r>
            <w:r w:rsidRPr="00A82E3D">
              <w:rPr>
                <w:rFonts w:ascii="Tahoma" w:hAnsi="Tahoma" w:cs="Tahoma"/>
                <w:i/>
                <w:color w:val="000000"/>
              </w:rPr>
              <w:t>hedge</w:t>
            </w:r>
            <w:r w:rsidRPr="00A82E3D">
              <w:rPr>
                <w:rFonts w:ascii="Tahoma" w:hAnsi="Tahoma" w:cs="Tahoma"/>
                <w:color w:val="000000"/>
              </w:rPr>
              <w:t>)</w:t>
            </w:r>
          </w:p>
        </w:tc>
        <w:tc>
          <w:tcPr>
            <w:tcW w:w="1585" w:type="dxa"/>
            <w:tcBorders>
              <w:top w:val="single" w:sz="4" w:space="0" w:color="auto"/>
              <w:left w:val="nil"/>
              <w:bottom w:val="single" w:sz="4" w:space="0" w:color="auto"/>
              <w:right w:val="single" w:sz="4" w:space="0" w:color="auto"/>
            </w:tcBorders>
            <w:shd w:val="clear" w:color="auto" w:fill="auto"/>
            <w:vAlign w:val="center"/>
            <w:hideMark/>
          </w:tcPr>
          <w:p w14:paraId="0C893D82" w14:textId="77777777" w:rsidR="009E466F" w:rsidRPr="00A82E3D" w:rsidRDefault="009E466F" w:rsidP="00552F3E">
            <w:pPr>
              <w:spacing w:line="240" w:lineRule="exact"/>
              <w:jc w:val="center"/>
              <w:rPr>
                <w:rFonts w:ascii="Tahoma" w:hAnsi="Tahoma" w:cs="Tahoma"/>
                <w:color w:val="000000"/>
              </w:rPr>
            </w:pPr>
            <w:r w:rsidRPr="00A82E3D">
              <w:rPr>
                <w:rFonts w:ascii="Tahoma" w:hAnsi="Tahoma" w:cs="Tahoma"/>
                <w:color w:val="000000"/>
              </w:rPr>
              <w:t>Permitido</w:t>
            </w:r>
          </w:p>
        </w:tc>
        <w:tc>
          <w:tcPr>
            <w:tcW w:w="1761" w:type="dxa"/>
            <w:tcBorders>
              <w:top w:val="single" w:sz="4" w:space="0" w:color="auto"/>
              <w:left w:val="nil"/>
              <w:bottom w:val="single" w:sz="4" w:space="0" w:color="auto"/>
              <w:right w:val="single" w:sz="4" w:space="0" w:color="auto"/>
            </w:tcBorders>
            <w:shd w:val="clear" w:color="auto" w:fill="auto"/>
            <w:noWrap/>
            <w:vAlign w:val="center"/>
            <w:hideMark/>
          </w:tcPr>
          <w:p w14:paraId="08096CC3"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Até 100%</w:t>
            </w:r>
          </w:p>
        </w:tc>
      </w:tr>
      <w:tr w:rsidR="009E466F" w:rsidRPr="00A82E3D" w14:paraId="4F8E9B23" w14:textId="77777777" w:rsidTr="00552F3E">
        <w:trPr>
          <w:trHeight w:val="298"/>
          <w:jc w:val="center"/>
        </w:trPr>
        <w:tc>
          <w:tcPr>
            <w:tcW w:w="7131" w:type="dxa"/>
            <w:tcBorders>
              <w:top w:val="nil"/>
              <w:left w:val="single" w:sz="4" w:space="0" w:color="auto"/>
              <w:bottom w:val="single" w:sz="4" w:space="0" w:color="auto"/>
              <w:right w:val="single" w:sz="4" w:space="0" w:color="auto"/>
            </w:tcBorders>
            <w:shd w:val="clear" w:color="auto" w:fill="auto"/>
            <w:noWrap/>
            <w:vAlign w:val="center"/>
            <w:hideMark/>
          </w:tcPr>
          <w:p w14:paraId="0980887B" w14:textId="77777777" w:rsidR="009E466F" w:rsidRPr="00A82E3D" w:rsidRDefault="009E466F" w:rsidP="00552F3E">
            <w:pPr>
              <w:spacing w:line="240" w:lineRule="exact"/>
              <w:rPr>
                <w:rFonts w:ascii="Tahoma" w:hAnsi="Tahoma" w:cs="Tahoma"/>
                <w:color w:val="000000"/>
              </w:rPr>
            </w:pPr>
            <w:r w:rsidRPr="00A82E3D">
              <w:rPr>
                <w:rFonts w:ascii="Tahoma" w:hAnsi="Tahoma" w:cs="Tahoma"/>
                <w:color w:val="000000"/>
              </w:rPr>
              <w:t>Assunção de risco</w:t>
            </w:r>
          </w:p>
        </w:tc>
        <w:tc>
          <w:tcPr>
            <w:tcW w:w="1585" w:type="dxa"/>
            <w:tcBorders>
              <w:top w:val="nil"/>
              <w:left w:val="nil"/>
              <w:bottom w:val="single" w:sz="4" w:space="0" w:color="auto"/>
              <w:right w:val="single" w:sz="4" w:space="0" w:color="auto"/>
            </w:tcBorders>
            <w:shd w:val="clear" w:color="auto" w:fill="auto"/>
            <w:vAlign w:val="center"/>
            <w:hideMark/>
          </w:tcPr>
          <w:p w14:paraId="23009B3F" w14:textId="77777777" w:rsidR="009E466F" w:rsidRPr="00A82E3D" w:rsidRDefault="009E466F" w:rsidP="00552F3E">
            <w:pPr>
              <w:spacing w:line="240" w:lineRule="exact"/>
              <w:jc w:val="center"/>
              <w:rPr>
                <w:rFonts w:ascii="Tahoma" w:hAnsi="Tahoma" w:cs="Tahoma"/>
                <w:color w:val="000000"/>
              </w:rPr>
            </w:pPr>
            <w:r w:rsidRPr="00A82E3D">
              <w:rPr>
                <w:rFonts w:ascii="Tahoma" w:hAnsi="Tahoma" w:cs="Tahoma"/>
                <w:color w:val="000000"/>
              </w:rPr>
              <w:t>Permitido</w:t>
            </w:r>
          </w:p>
        </w:tc>
        <w:tc>
          <w:tcPr>
            <w:tcW w:w="1761" w:type="dxa"/>
            <w:tcBorders>
              <w:top w:val="nil"/>
              <w:left w:val="nil"/>
              <w:bottom w:val="single" w:sz="4" w:space="0" w:color="auto"/>
              <w:right w:val="single" w:sz="4" w:space="0" w:color="auto"/>
            </w:tcBorders>
            <w:shd w:val="clear" w:color="auto" w:fill="auto"/>
            <w:noWrap/>
            <w:vAlign w:val="center"/>
            <w:hideMark/>
          </w:tcPr>
          <w:p w14:paraId="69507B14"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Até 100%</w:t>
            </w:r>
          </w:p>
        </w:tc>
      </w:tr>
      <w:tr w:rsidR="009E466F" w:rsidRPr="00A82E3D" w14:paraId="18E9F978" w14:textId="77777777" w:rsidTr="00552F3E">
        <w:trPr>
          <w:trHeight w:val="298"/>
          <w:jc w:val="center"/>
        </w:trPr>
        <w:tc>
          <w:tcPr>
            <w:tcW w:w="7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264A2" w14:textId="77777777" w:rsidR="009E466F" w:rsidRPr="00A82E3D" w:rsidRDefault="009E466F" w:rsidP="00552F3E">
            <w:pPr>
              <w:spacing w:line="240" w:lineRule="exact"/>
              <w:rPr>
                <w:rFonts w:ascii="Tahoma" w:hAnsi="Tahoma" w:cs="Tahoma"/>
              </w:rPr>
            </w:pPr>
            <w:r w:rsidRPr="00A82E3D">
              <w:rPr>
                <w:rFonts w:ascii="Tahoma" w:hAnsi="Tahoma" w:cs="Tahoma"/>
              </w:rPr>
              <w:t>Alavancagem</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B694E" w14:textId="77777777" w:rsidR="009E466F" w:rsidRPr="00A82E3D" w:rsidRDefault="009E466F" w:rsidP="00552F3E">
            <w:pPr>
              <w:spacing w:line="240" w:lineRule="exact"/>
              <w:jc w:val="center"/>
              <w:rPr>
                <w:rFonts w:ascii="Tahoma" w:hAnsi="Tahoma" w:cs="Tahoma"/>
              </w:rPr>
            </w:pPr>
            <w:r w:rsidRPr="00A82E3D">
              <w:rPr>
                <w:rFonts w:ascii="Tahoma" w:hAnsi="Tahoma" w:cs="Tahoma"/>
              </w:rPr>
              <w:t xml:space="preserve">Vedado </w:t>
            </w:r>
          </w:p>
        </w:tc>
        <w:tc>
          <w:tcPr>
            <w:tcW w:w="1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38FA1" w14:textId="77777777" w:rsidR="009E466F" w:rsidRPr="00A82E3D" w:rsidRDefault="009E466F" w:rsidP="00552F3E">
            <w:pPr>
              <w:spacing w:line="240" w:lineRule="exact"/>
              <w:jc w:val="center"/>
              <w:rPr>
                <w:rFonts w:ascii="Tahoma" w:hAnsi="Tahoma" w:cs="Tahoma"/>
                <w:b/>
              </w:rPr>
            </w:pPr>
            <w:r w:rsidRPr="00A82E3D">
              <w:rPr>
                <w:rFonts w:ascii="Tahoma" w:hAnsi="Tahoma" w:cs="Tahoma"/>
                <w:b/>
              </w:rPr>
              <w:t>0%</w:t>
            </w:r>
          </w:p>
        </w:tc>
      </w:tr>
    </w:tbl>
    <w:p w14:paraId="63142C4F" w14:textId="77777777" w:rsidR="009E466F" w:rsidRPr="00A82E3D" w:rsidRDefault="009E466F" w:rsidP="009E466F">
      <w:pPr>
        <w:spacing w:line="240" w:lineRule="exact"/>
        <w:jc w:val="both"/>
        <w:rPr>
          <w:rFonts w:ascii="Tahoma" w:hAnsi="Tahoma" w:cs="Tahoma"/>
        </w:rPr>
      </w:pPr>
    </w:p>
    <w:p w14:paraId="17F4C9FD" w14:textId="77777777" w:rsidR="009E466F" w:rsidRPr="00A82E3D" w:rsidRDefault="009E466F" w:rsidP="009E466F">
      <w:pPr>
        <w:spacing w:line="240" w:lineRule="exact"/>
        <w:jc w:val="both"/>
        <w:rPr>
          <w:rFonts w:ascii="Tahoma" w:hAnsi="Tahoma" w:cs="Tahoma"/>
        </w:rPr>
      </w:pPr>
    </w:p>
    <w:p w14:paraId="24F5A8FB" w14:textId="77777777" w:rsidR="009E466F" w:rsidRPr="00A82E3D" w:rsidRDefault="009E466F" w:rsidP="009E466F">
      <w:pPr>
        <w:spacing w:line="240" w:lineRule="exact"/>
        <w:ind w:left="426"/>
        <w:jc w:val="center"/>
        <w:rPr>
          <w:rFonts w:ascii="Tahoma" w:hAnsi="Tahoma" w:cs="Tahoma"/>
          <w:b/>
        </w:rPr>
      </w:pPr>
      <w:r w:rsidRPr="00A82E3D">
        <w:rPr>
          <w:rFonts w:ascii="Tahoma" w:hAnsi="Tahoma" w:cs="Tahoma"/>
          <w:b/>
        </w:rPr>
        <w:t>DAS OPERAÇÕES COM O ADMINISTRADOR, GESTOR E LIGADAS PELO FUNDO E/OU PELOS FUNDOS INVESTIDOS</w:t>
      </w:r>
    </w:p>
    <w:p w14:paraId="7F607641" w14:textId="77777777" w:rsidR="009E466F" w:rsidRPr="00A82E3D" w:rsidRDefault="009E466F" w:rsidP="009E466F">
      <w:pPr>
        <w:tabs>
          <w:tab w:val="left" w:pos="426"/>
          <w:tab w:val="left" w:pos="1843"/>
        </w:tabs>
        <w:spacing w:line="240" w:lineRule="exact"/>
        <w:jc w:val="both"/>
        <w:rPr>
          <w:rFonts w:ascii="Tahoma" w:hAnsi="Tahoma" w:cs="Tahoma"/>
        </w:rPr>
      </w:pPr>
    </w:p>
    <w:tbl>
      <w:tblPr>
        <w:tblW w:w="10462" w:type="dxa"/>
        <w:jc w:val="center"/>
        <w:tblCellMar>
          <w:left w:w="70" w:type="dxa"/>
          <w:right w:w="70" w:type="dxa"/>
        </w:tblCellMar>
        <w:tblLook w:val="04A0" w:firstRow="1" w:lastRow="0" w:firstColumn="1" w:lastColumn="0" w:noHBand="0" w:noVBand="1"/>
      </w:tblPr>
      <w:tblGrid>
        <w:gridCol w:w="7070"/>
        <w:gridCol w:w="1634"/>
        <w:gridCol w:w="1758"/>
      </w:tblGrid>
      <w:tr w:rsidR="009E466F" w:rsidRPr="00A82E3D" w14:paraId="6F9DB1B5" w14:textId="77777777" w:rsidTr="00552F3E">
        <w:trPr>
          <w:trHeight w:val="301"/>
          <w:jc w:val="center"/>
        </w:trPr>
        <w:tc>
          <w:tcPr>
            <w:tcW w:w="70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A589FC"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 xml:space="preserve">OPERAÇÕES COM O ADMINISTRADOR, GESTOR E LIGADAS </w:t>
            </w:r>
          </w:p>
        </w:tc>
        <w:tc>
          <w:tcPr>
            <w:tcW w:w="163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AB5175"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Permitido / Vedado</w:t>
            </w:r>
          </w:p>
        </w:tc>
        <w:tc>
          <w:tcPr>
            <w:tcW w:w="17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609EDE"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Limite aplicável</w:t>
            </w:r>
          </w:p>
          <w:p w14:paraId="4BBB6850" w14:textId="77777777" w:rsidR="009E466F" w:rsidRPr="00A82E3D" w:rsidRDefault="009E466F" w:rsidP="00552F3E">
            <w:pPr>
              <w:spacing w:line="240" w:lineRule="exact"/>
              <w:jc w:val="center"/>
              <w:rPr>
                <w:rFonts w:ascii="Tahoma" w:hAnsi="Tahoma" w:cs="Tahoma"/>
                <w:b/>
                <w:bCs/>
                <w:color w:val="000000"/>
              </w:rPr>
            </w:pPr>
            <w:r w:rsidRPr="00A82E3D">
              <w:rPr>
                <w:rFonts w:ascii="Tahoma" w:hAnsi="Tahoma" w:cs="Tahoma"/>
                <w:b/>
                <w:bCs/>
                <w:color w:val="000000"/>
              </w:rPr>
              <w:t>(% do PL)</w:t>
            </w:r>
          </w:p>
        </w:tc>
      </w:tr>
      <w:tr w:rsidR="009E466F" w:rsidRPr="00A82E3D" w14:paraId="1A8B9E95" w14:textId="77777777" w:rsidTr="00552F3E">
        <w:trPr>
          <w:trHeight w:val="301"/>
          <w:jc w:val="center"/>
        </w:trPr>
        <w:tc>
          <w:tcPr>
            <w:tcW w:w="7070" w:type="dxa"/>
            <w:tcBorders>
              <w:top w:val="single" w:sz="4" w:space="0" w:color="auto"/>
              <w:left w:val="single" w:sz="4" w:space="0" w:color="auto"/>
              <w:bottom w:val="single" w:sz="4" w:space="0" w:color="auto"/>
              <w:right w:val="single" w:sz="4" w:space="0" w:color="auto"/>
            </w:tcBorders>
            <w:vAlign w:val="center"/>
            <w:hideMark/>
          </w:tcPr>
          <w:p w14:paraId="0FB75522"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Títulos ou valores mobiliários de emissão do ADMINISTRADOR, do GESTOR ou de empresas a eles ligadas</w:t>
            </w:r>
            <w:r w:rsidRPr="00A82E3D">
              <w:rPr>
                <w:rFonts w:ascii="Tahoma" w:hAnsi="Tahoma" w:cs="Tahoma"/>
              </w:rPr>
              <w:t>, sendo vedada a aquisição de ações do ADMINISTRADOR,</w:t>
            </w:r>
            <w:r w:rsidRPr="00A82E3D">
              <w:rPr>
                <w:rFonts w:ascii="Tahoma" w:hAnsi="Tahoma" w:cs="Tahoma"/>
                <w:color w:val="000000"/>
              </w:rPr>
              <w:t xml:space="preserve"> </w:t>
            </w:r>
            <w:r w:rsidRPr="00A82E3D">
              <w:rPr>
                <w:rFonts w:ascii="Tahoma" w:hAnsi="Tahoma" w:cs="Tahoma"/>
              </w:rPr>
              <w:t>exceto nas hipóteses em que o Fundo Investido busque reproduzir índice de mercado do qual estas ações façam parte, exclusivamente na proporção desta participação</w:t>
            </w:r>
          </w:p>
        </w:tc>
        <w:tc>
          <w:tcPr>
            <w:tcW w:w="1634" w:type="dxa"/>
            <w:tcBorders>
              <w:top w:val="single" w:sz="4" w:space="0" w:color="auto"/>
              <w:left w:val="nil"/>
              <w:bottom w:val="single" w:sz="4" w:space="0" w:color="auto"/>
              <w:right w:val="single" w:sz="4" w:space="0" w:color="auto"/>
            </w:tcBorders>
            <w:vAlign w:val="center"/>
            <w:hideMark/>
          </w:tcPr>
          <w:p w14:paraId="0749ADE1" w14:textId="77777777" w:rsidR="009E466F" w:rsidRPr="00A82E3D" w:rsidRDefault="009E466F" w:rsidP="00552F3E">
            <w:pPr>
              <w:spacing w:line="240" w:lineRule="exact"/>
              <w:jc w:val="center"/>
              <w:rPr>
                <w:rFonts w:ascii="Tahoma" w:hAnsi="Tahoma" w:cs="Tahoma"/>
                <w:color w:val="000000"/>
              </w:rPr>
            </w:pPr>
            <w:r w:rsidRPr="00A82E3D">
              <w:rPr>
                <w:rFonts w:ascii="Tahoma" w:hAnsi="Tahoma" w:cs="Tahoma"/>
                <w:color w:val="000000"/>
              </w:rPr>
              <w:t>Permitido</w:t>
            </w:r>
          </w:p>
        </w:tc>
        <w:tc>
          <w:tcPr>
            <w:tcW w:w="1758" w:type="dxa"/>
            <w:tcBorders>
              <w:top w:val="single" w:sz="4" w:space="0" w:color="auto"/>
              <w:left w:val="nil"/>
              <w:bottom w:val="single" w:sz="4" w:space="0" w:color="auto"/>
              <w:right w:val="single" w:sz="4" w:space="0" w:color="auto"/>
            </w:tcBorders>
            <w:noWrap/>
            <w:vAlign w:val="center"/>
            <w:hideMark/>
          </w:tcPr>
          <w:p w14:paraId="30A050E1"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FUNDO: Até 5%</w:t>
            </w:r>
          </w:p>
          <w:p w14:paraId="114B8DCD"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Fundos Investidos: Até 20%</w:t>
            </w:r>
          </w:p>
        </w:tc>
      </w:tr>
      <w:tr w:rsidR="009E466F" w:rsidRPr="00A82E3D" w14:paraId="282C3BCC" w14:textId="77777777" w:rsidTr="00552F3E">
        <w:trPr>
          <w:trHeight w:val="301"/>
          <w:jc w:val="center"/>
        </w:trPr>
        <w:tc>
          <w:tcPr>
            <w:tcW w:w="7070" w:type="dxa"/>
            <w:tcBorders>
              <w:top w:val="nil"/>
              <w:left w:val="single" w:sz="4" w:space="0" w:color="auto"/>
              <w:bottom w:val="single" w:sz="4" w:space="0" w:color="auto"/>
              <w:right w:val="single" w:sz="4" w:space="0" w:color="auto"/>
            </w:tcBorders>
            <w:vAlign w:val="center"/>
            <w:hideMark/>
          </w:tcPr>
          <w:p w14:paraId="794F7AF0"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Cotas de fundos de investimento administrados pelo ADMINISTRADOR, GESTOR ou empresas a eles ligadas</w:t>
            </w:r>
          </w:p>
        </w:tc>
        <w:tc>
          <w:tcPr>
            <w:tcW w:w="1634" w:type="dxa"/>
            <w:tcBorders>
              <w:top w:val="nil"/>
              <w:left w:val="nil"/>
              <w:bottom w:val="single" w:sz="4" w:space="0" w:color="auto"/>
              <w:right w:val="single" w:sz="4" w:space="0" w:color="auto"/>
            </w:tcBorders>
            <w:vAlign w:val="center"/>
            <w:hideMark/>
          </w:tcPr>
          <w:p w14:paraId="792C4DF5" w14:textId="77777777" w:rsidR="009E466F" w:rsidRPr="00A82E3D" w:rsidRDefault="009E466F" w:rsidP="00552F3E">
            <w:pPr>
              <w:spacing w:line="240" w:lineRule="exact"/>
              <w:jc w:val="center"/>
              <w:rPr>
                <w:rFonts w:ascii="Tahoma" w:hAnsi="Tahoma" w:cs="Tahoma"/>
                <w:color w:val="000000"/>
              </w:rPr>
            </w:pPr>
            <w:r w:rsidRPr="00A82E3D">
              <w:rPr>
                <w:rFonts w:ascii="Tahoma" w:hAnsi="Tahoma" w:cs="Tahoma"/>
                <w:color w:val="000000"/>
              </w:rPr>
              <w:t>Permitido</w:t>
            </w:r>
          </w:p>
        </w:tc>
        <w:tc>
          <w:tcPr>
            <w:tcW w:w="1758" w:type="dxa"/>
            <w:tcBorders>
              <w:top w:val="nil"/>
              <w:left w:val="nil"/>
              <w:bottom w:val="single" w:sz="4" w:space="0" w:color="auto"/>
              <w:right w:val="single" w:sz="4" w:space="0" w:color="auto"/>
            </w:tcBorders>
            <w:noWrap/>
            <w:vAlign w:val="center"/>
            <w:hideMark/>
          </w:tcPr>
          <w:p w14:paraId="33B7AB1D"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Até 100%</w:t>
            </w:r>
          </w:p>
        </w:tc>
      </w:tr>
      <w:tr w:rsidR="009E466F" w:rsidRPr="00A82E3D" w14:paraId="284E13CE" w14:textId="77777777" w:rsidTr="00552F3E">
        <w:trPr>
          <w:trHeight w:val="301"/>
          <w:jc w:val="center"/>
        </w:trPr>
        <w:tc>
          <w:tcPr>
            <w:tcW w:w="7070" w:type="dxa"/>
            <w:tcBorders>
              <w:top w:val="nil"/>
              <w:left w:val="single" w:sz="4" w:space="0" w:color="auto"/>
              <w:bottom w:val="single" w:sz="4" w:space="0" w:color="auto"/>
              <w:right w:val="single" w:sz="4" w:space="0" w:color="auto"/>
            </w:tcBorders>
            <w:vAlign w:val="center"/>
            <w:hideMark/>
          </w:tcPr>
          <w:p w14:paraId="43FEC6CB" w14:textId="77777777" w:rsidR="009E466F" w:rsidRPr="00A82E3D" w:rsidRDefault="009E466F" w:rsidP="00552F3E">
            <w:pPr>
              <w:spacing w:line="240" w:lineRule="exact"/>
              <w:jc w:val="both"/>
              <w:rPr>
                <w:rFonts w:ascii="Tahoma" w:hAnsi="Tahoma" w:cs="Tahoma"/>
                <w:color w:val="000000"/>
              </w:rPr>
            </w:pPr>
            <w:r w:rsidRPr="00A82E3D">
              <w:rPr>
                <w:rFonts w:ascii="Tahoma" w:hAnsi="Tahoma" w:cs="Tahoma"/>
                <w:color w:val="000000"/>
              </w:rPr>
              <w:t>Operações tendo como contraparte o ADMINISTRADOR, o GESTOR e empresas a eles ligadas, bem como fundos de investimento, clubes de investimento e/ou carteiras administradas pelo ADMINISTRADOR, pelo GESTOR ou por empresas a eles ligadas</w:t>
            </w:r>
          </w:p>
        </w:tc>
        <w:tc>
          <w:tcPr>
            <w:tcW w:w="1634" w:type="dxa"/>
            <w:tcBorders>
              <w:top w:val="nil"/>
              <w:left w:val="nil"/>
              <w:bottom w:val="single" w:sz="4" w:space="0" w:color="auto"/>
              <w:right w:val="single" w:sz="4" w:space="0" w:color="auto"/>
            </w:tcBorders>
            <w:vAlign w:val="center"/>
            <w:hideMark/>
          </w:tcPr>
          <w:p w14:paraId="201D30BD" w14:textId="77777777" w:rsidR="009E466F" w:rsidRPr="00A82E3D" w:rsidRDefault="009E466F" w:rsidP="00552F3E">
            <w:pPr>
              <w:spacing w:line="240" w:lineRule="exact"/>
              <w:jc w:val="center"/>
              <w:rPr>
                <w:rFonts w:ascii="Tahoma" w:hAnsi="Tahoma" w:cs="Tahoma"/>
                <w:color w:val="000000"/>
              </w:rPr>
            </w:pPr>
            <w:r w:rsidRPr="00A82E3D">
              <w:rPr>
                <w:rFonts w:ascii="Tahoma" w:hAnsi="Tahoma" w:cs="Tahoma"/>
                <w:color w:val="000000"/>
              </w:rPr>
              <w:t>Permitido</w:t>
            </w:r>
          </w:p>
        </w:tc>
        <w:tc>
          <w:tcPr>
            <w:tcW w:w="1758" w:type="dxa"/>
            <w:tcBorders>
              <w:top w:val="nil"/>
              <w:left w:val="nil"/>
              <w:bottom w:val="single" w:sz="4" w:space="0" w:color="auto"/>
              <w:right w:val="single" w:sz="4" w:space="0" w:color="auto"/>
            </w:tcBorders>
            <w:noWrap/>
            <w:vAlign w:val="center"/>
            <w:hideMark/>
          </w:tcPr>
          <w:p w14:paraId="1AE39815" w14:textId="77777777" w:rsidR="009E466F" w:rsidRPr="00A82E3D" w:rsidRDefault="009E466F" w:rsidP="00552F3E">
            <w:pPr>
              <w:spacing w:line="240" w:lineRule="exact"/>
              <w:jc w:val="center"/>
              <w:rPr>
                <w:rFonts w:ascii="Tahoma" w:hAnsi="Tahoma" w:cs="Tahoma"/>
                <w:b/>
                <w:color w:val="000000"/>
              </w:rPr>
            </w:pPr>
            <w:r w:rsidRPr="00A82E3D">
              <w:rPr>
                <w:rFonts w:ascii="Tahoma" w:hAnsi="Tahoma" w:cs="Tahoma"/>
                <w:b/>
                <w:color w:val="000000"/>
              </w:rPr>
              <w:t>Até 100%</w:t>
            </w:r>
          </w:p>
        </w:tc>
      </w:tr>
    </w:tbl>
    <w:p w14:paraId="565A85D3" w14:textId="77777777" w:rsidR="009E466F" w:rsidRPr="00A82E3D" w:rsidRDefault="009E466F" w:rsidP="009E466F">
      <w:pPr>
        <w:tabs>
          <w:tab w:val="left" w:pos="426"/>
          <w:tab w:val="left" w:pos="1843"/>
        </w:tabs>
        <w:spacing w:line="240" w:lineRule="exact"/>
        <w:jc w:val="both"/>
        <w:rPr>
          <w:rFonts w:ascii="Tahoma" w:hAnsi="Tahoma" w:cs="Tahoma"/>
        </w:rPr>
      </w:pPr>
    </w:p>
    <w:p w14:paraId="69CCCE22" w14:textId="77777777" w:rsidR="009E466F" w:rsidRPr="00A82E3D" w:rsidRDefault="009E466F" w:rsidP="009E466F">
      <w:pPr>
        <w:spacing w:line="240" w:lineRule="exact"/>
        <w:jc w:val="both"/>
        <w:rPr>
          <w:rFonts w:ascii="Tahoma" w:hAnsi="Tahoma" w:cs="Tahoma"/>
        </w:rPr>
      </w:pPr>
      <w:r w:rsidRPr="00A82E3D">
        <w:rPr>
          <w:rFonts w:ascii="Tahoma" w:hAnsi="Tahoma" w:cs="Tahoma"/>
        </w:rPr>
        <w:t>3.3. O FUNDO poderá concentrar a totalidade de suas aplicações em cotas de um mesmo fundo de investimento, inclusive em fundos de investimento administrados pelo ADMINISTRADOR ou empresas a ele ligadas.</w:t>
      </w:r>
    </w:p>
    <w:p w14:paraId="710CF06D" w14:textId="77777777" w:rsidR="009E466F" w:rsidRPr="00A82E3D" w:rsidRDefault="009E466F" w:rsidP="009E466F">
      <w:pPr>
        <w:spacing w:line="240" w:lineRule="exact"/>
        <w:jc w:val="both"/>
        <w:rPr>
          <w:rFonts w:ascii="Tahoma" w:hAnsi="Tahoma" w:cs="Tahoma"/>
        </w:rPr>
      </w:pPr>
      <w:r w:rsidRPr="00A82E3D">
        <w:rPr>
          <w:rFonts w:ascii="Tahoma" w:hAnsi="Tahoma" w:cs="Tahoma"/>
        </w:rPr>
        <w:t>3.4. Os limites indicados nos quadros acima serão considerados em conjunto e cumulativamente.</w:t>
      </w:r>
    </w:p>
    <w:p w14:paraId="18706C07" w14:textId="77777777" w:rsidR="009E466F" w:rsidRPr="00A82E3D" w:rsidRDefault="009E466F" w:rsidP="009E466F">
      <w:pPr>
        <w:spacing w:line="240" w:lineRule="exact"/>
        <w:jc w:val="both"/>
        <w:rPr>
          <w:rFonts w:ascii="Tahoma" w:hAnsi="Tahoma" w:cs="Tahoma"/>
        </w:rPr>
      </w:pPr>
      <w:r w:rsidRPr="00A82E3D">
        <w:rPr>
          <w:rFonts w:ascii="Tahoma" w:hAnsi="Tahoma" w:cs="Tahoma"/>
        </w:rPr>
        <w:t>3.5. Observado o disposto nos quadros acima, cada Fundo Investido observará os limites por emissor e por modalidade de ativo previstos na regulamentação aplicável.</w:t>
      </w:r>
    </w:p>
    <w:p w14:paraId="2BED07B6"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3F4D8950" w14:textId="77777777" w:rsidR="009E466F" w:rsidRPr="00A82E3D" w:rsidRDefault="009E466F" w:rsidP="009E466F">
      <w:pPr>
        <w:spacing w:line="240" w:lineRule="exact"/>
        <w:jc w:val="both"/>
        <w:rPr>
          <w:rFonts w:ascii="Tahoma" w:hAnsi="Tahoma" w:cs="Tahoma"/>
        </w:rPr>
      </w:pPr>
      <w:r w:rsidRPr="00A82E3D">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1C99A4BF" w14:textId="77777777" w:rsidR="009E466F" w:rsidRPr="00A82E3D" w:rsidRDefault="009E466F" w:rsidP="009E466F">
      <w:pPr>
        <w:spacing w:line="240" w:lineRule="exact"/>
        <w:jc w:val="both"/>
        <w:rPr>
          <w:rFonts w:ascii="Tahoma" w:hAnsi="Tahoma" w:cs="Tahoma"/>
        </w:rPr>
      </w:pPr>
      <w:r w:rsidRPr="00A82E3D">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4D51EF54" w14:textId="77777777" w:rsidR="009E466F" w:rsidRPr="00A82E3D" w:rsidRDefault="009E466F" w:rsidP="009E466F">
      <w:pPr>
        <w:spacing w:line="240" w:lineRule="exact"/>
        <w:jc w:val="both"/>
        <w:rPr>
          <w:rFonts w:ascii="Tahoma" w:hAnsi="Tahoma" w:cs="Tahoma"/>
        </w:rPr>
      </w:pPr>
      <w:r w:rsidRPr="00A82E3D">
        <w:rPr>
          <w:rFonts w:ascii="Tahoma" w:hAnsi="Tahoma" w:cs="Tahoma"/>
        </w:rPr>
        <w:t>3.9. Ficam vedadas as aplicações pelo FUNDO em cotas de fundos de investimento que invistam diretamente no FUNDO.</w:t>
      </w:r>
    </w:p>
    <w:p w14:paraId="5B574F58" w14:textId="77777777" w:rsidR="009E466F" w:rsidRPr="00A82E3D" w:rsidRDefault="009E466F" w:rsidP="009E466F">
      <w:pPr>
        <w:spacing w:line="240" w:lineRule="exact"/>
        <w:jc w:val="both"/>
        <w:rPr>
          <w:rFonts w:ascii="Tahoma" w:hAnsi="Tahoma" w:cs="Tahoma"/>
        </w:rPr>
      </w:pPr>
      <w:r w:rsidRPr="00A82E3D">
        <w:rPr>
          <w:rFonts w:ascii="Tahoma" w:hAnsi="Tahoma" w:cs="Tahoma"/>
        </w:rPr>
        <w:t>3.10. Fica, ainda, vedado ao FUNDO e aos Fundos Investidos:</w:t>
      </w:r>
    </w:p>
    <w:p w14:paraId="3F8BB70A" w14:textId="77777777" w:rsidR="009E466F" w:rsidRPr="00A82E3D" w:rsidRDefault="009E466F" w:rsidP="009E466F">
      <w:pPr>
        <w:spacing w:line="240" w:lineRule="exact"/>
        <w:jc w:val="both"/>
        <w:rPr>
          <w:rFonts w:ascii="Tahoma" w:hAnsi="Tahoma" w:cs="Tahoma"/>
        </w:rPr>
      </w:pPr>
      <w:r w:rsidRPr="00A82E3D">
        <w:rPr>
          <w:rFonts w:ascii="Tahoma" w:hAnsi="Tahoma" w:cs="Tahoma"/>
        </w:rPr>
        <w:t>I – aplicar recursos em títulos ou valores mobiliários de companhias sem registro na CVM, ressalvados os casos previstos expressamente na regulamentação aplicável;</w:t>
      </w:r>
    </w:p>
    <w:p w14:paraId="6DF9CCD4"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II – aplicar recursos na aquisição de ações de companhias que não estejam admitidas à negociação em segmento especial nos moldes do Novo Mercado ou Bovespa Mais nem classificadas nos moldes do Nível 2 da Bovespa, salvo se tiverem realizado sua primeira distribuição pública de ações anteriormente à 29 de maio de 2001; </w:t>
      </w:r>
    </w:p>
    <w:p w14:paraId="2333C4D2"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III – realizar, no mercado de derivativos, operações à descoberto ou que gerem possibilidade de perda superior ao valor do seu patrimônio. Serão observados, ainda, no que diz respeito às operações de derivativos, os seguintes limites com relação à posição do FUNDO em títulos da dívida pública mobiliária federal e ativos financeiros de emissão de instituição financeira autorizada a funcionar pelo BACEN: (i) no máximo 15% como depósito de margem; e (ii) no máximo 5% para pagamento de prêmios de opções; </w:t>
      </w:r>
    </w:p>
    <w:p w14:paraId="14128408" w14:textId="77777777" w:rsidR="009E466F" w:rsidRPr="00A82E3D" w:rsidRDefault="009E466F" w:rsidP="009E466F">
      <w:pPr>
        <w:spacing w:line="240" w:lineRule="exact"/>
        <w:jc w:val="both"/>
        <w:rPr>
          <w:rFonts w:ascii="Tahoma" w:hAnsi="Tahoma" w:cs="Tahoma"/>
        </w:rPr>
      </w:pPr>
      <w:r w:rsidRPr="00A82E3D">
        <w:rPr>
          <w:rFonts w:ascii="Tahoma" w:hAnsi="Tahoma" w:cs="Tahoma"/>
        </w:rPr>
        <w:t>IV – realizar operações de compra e venda de um mesmo título, valor mobiliário ou contrato derivativo em um mesmo dia (operações “</w:t>
      </w:r>
      <w:proofErr w:type="spellStart"/>
      <w:r w:rsidRPr="00A82E3D">
        <w:rPr>
          <w:rFonts w:ascii="Tahoma" w:hAnsi="Tahoma" w:cs="Tahoma"/>
          <w:i/>
        </w:rPr>
        <w:t>day</w:t>
      </w:r>
      <w:proofErr w:type="spellEnd"/>
      <w:r w:rsidRPr="00A82E3D">
        <w:rPr>
          <w:rFonts w:ascii="Tahoma" w:hAnsi="Tahoma" w:cs="Tahoma"/>
          <w:i/>
        </w:rPr>
        <w:t>-trade</w:t>
      </w:r>
      <w:r w:rsidRPr="00A82E3D">
        <w:rPr>
          <w:rFonts w:ascii="Tahoma" w:hAnsi="Tahoma" w:cs="Tahoma"/>
        </w:rPr>
        <w:t xml:space="preserve">”), excetuadas as hipóteses previstas na regulamentação aplicável; </w:t>
      </w:r>
    </w:p>
    <w:p w14:paraId="255FF548" w14:textId="77777777" w:rsidR="009E466F" w:rsidRPr="00A82E3D" w:rsidRDefault="009E466F" w:rsidP="009E466F">
      <w:pPr>
        <w:spacing w:line="240" w:lineRule="exact"/>
        <w:jc w:val="both"/>
        <w:rPr>
          <w:rFonts w:ascii="Tahoma" w:hAnsi="Tahoma" w:cs="Tahoma"/>
        </w:rPr>
      </w:pPr>
      <w:r w:rsidRPr="00A82E3D">
        <w:rPr>
          <w:rFonts w:ascii="Tahoma" w:hAnsi="Tahoma" w:cs="Tahoma"/>
        </w:rPr>
        <w:t>V - aplicar em títulos emitidos por Estados e Municípios;</w:t>
      </w:r>
    </w:p>
    <w:p w14:paraId="6D51A4D8" w14:textId="77777777" w:rsidR="009E466F" w:rsidRPr="00A82E3D" w:rsidRDefault="009E466F" w:rsidP="009E466F">
      <w:pPr>
        <w:spacing w:line="240" w:lineRule="exact"/>
        <w:jc w:val="both"/>
        <w:rPr>
          <w:rFonts w:ascii="Tahoma" w:hAnsi="Tahoma" w:cs="Tahoma"/>
        </w:rPr>
      </w:pPr>
      <w:r w:rsidRPr="00A82E3D">
        <w:rPr>
          <w:rFonts w:ascii="Tahoma" w:hAnsi="Tahoma" w:cs="Tahoma"/>
        </w:rPr>
        <w:t>VI - aplicar em ativos financeiros emitidos por securitizadoras; e</w:t>
      </w:r>
    </w:p>
    <w:p w14:paraId="702DDC91" w14:textId="77777777" w:rsidR="009E466F" w:rsidRPr="00A82E3D" w:rsidRDefault="009E466F" w:rsidP="009E466F">
      <w:pPr>
        <w:spacing w:line="240" w:lineRule="exact"/>
        <w:jc w:val="both"/>
        <w:rPr>
          <w:rFonts w:ascii="Tahoma" w:hAnsi="Tahoma" w:cs="Tahoma"/>
        </w:rPr>
      </w:pPr>
      <w:r w:rsidRPr="00A82E3D">
        <w:rPr>
          <w:rFonts w:ascii="Tahoma" w:hAnsi="Tahoma" w:cs="Tahoma"/>
        </w:rPr>
        <w:t>VII – aplicar em ativos ou modalidades que não os previstos neste Regulamento e na legislação aplicável.</w:t>
      </w:r>
    </w:p>
    <w:p w14:paraId="2A73884F" w14:textId="77777777" w:rsidR="009E466F" w:rsidRPr="00A82E3D" w:rsidRDefault="009E466F" w:rsidP="009E466F">
      <w:pPr>
        <w:spacing w:line="240" w:lineRule="exact"/>
        <w:jc w:val="both"/>
        <w:rPr>
          <w:rFonts w:ascii="Tahoma" w:hAnsi="Tahoma" w:cs="Tahoma"/>
        </w:rPr>
      </w:pPr>
      <w:r w:rsidRPr="00A82E3D">
        <w:rPr>
          <w:rFonts w:ascii="Tahoma" w:hAnsi="Tahoma" w:cs="Tahoma"/>
        </w:rPr>
        <w:t>3.11. O ADMINISTRADOR, o GESTOR e qualquer empresa pertencente ao mesmo conglomerado financeiro, bem como diretores, gerentes e funcionários dessas empresas poderão ter posições em, subscrever ou operar com ativos financeiros que integrem ou venham a integrar a CARTEIRA do FUNDO e/ou a carteira dos Fundos Investidos.</w:t>
      </w:r>
    </w:p>
    <w:p w14:paraId="2D410C40" w14:textId="77777777" w:rsidR="009E466F" w:rsidRPr="00A82E3D" w:rsidRDefault="009E466F" w:rsidP="009E466F">
      <w:pPr>
        <w:spacing w:line="240" w:lineRule="exact"/>
        <w:jc w:val="both"/>
        <w:rPr>
          <w:rFonts w:ascii="Tahoma" w:hAnsi="Tahoma" w:cs="Tahoma"/>
        </w:rPr>
      </w:pPr>
      <w:r w:rsidRPr="00A82E3D">
        <w:rPr>
          <w:rFonts w:ascii="Tahoma" w:hAnsi="Tahoma" w:cs="Tahoma"/>
        </w:rPr>
        <w:t>3.12.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337FCD04" w14:textId="77777777" w:rsidR="009E466F" w:rsidRPr="00A82E3D" w:rsidRDefault="009E466F" w:rsidP="009E466F">
      <w:pPr>
        <w:tabs>
          <w:tab w:val="left" w:pos="426"/>
          <w:tab w:val="left" w:pos="1843"/>
        </w:tabs>
        <w:spacing w:line="240" w:lineRule="exact"/>
        <w:jc w:val="both"/>
        <w:rPr>
          <w:rFonts w:ascii="Tahoma" w:hAnsi="Tahoma" w:cs="Tahoma"/>
        </w:rPr>
      </w:pPr>
    </w:p>
    <w:p w14:paraId="48E8DD28"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 xml:space="preserve">CLÁUSULA QUARTA – DOS RISCOS </w:t>
      </w:r>
    </w:p>
    <w:p w14:paraId="2879250B" w14:textId="77777777" w:rsidR="009E466F" w:rsidRPr="00A82E3D" w:rsidRDefault="009E466F" w:rsidP="009E466F">
      <w:pPr>
        <w:spacing w:line="240" w:lineRule="exact"/>
        <w:jc w:val="both"/>
        <w:rPr>
          <w:rFonts w:ascii="Tahoma" w:hAnsi="Tahoma" w:cs="Tahoma"/>
        </w:rPr>
      </w:pPr>
    </w:p>
    <w:p w14:paraId="4A8EE4D9" w14:textId="77777777" w:rsidR="009E466F" w:rsidRPr="00A82E3D" w:rsidRDefault="009E466F" w:rsidP="009E466F">
      <w:pPr>
        <w:spacing w:line="240" w:lineRule="exact"/>
        <w:jc w:val="both"/>
        <w:rPr>
          <w:rFonts w:ascii="Tahoma" w:hAnsi="Tahoma" w:cs="Tahoma"/>
          <w:color w:val="000000"/>
        </w:rPr>
      </w:pPr>
      <w:r w:rsidRPr="00A82E3D">
        <w:rPr>
          <w:rFonts w:ascii="Tahoma" w:hAnsi="Tahoma" w:cs="Tahoma"/>
        </w:rPr>
        <w:t xml:space="preserve">4.1. </w:t>
      </w:r>
      <w:r w:rsidRPr="00A82E3D">
        <w:rPr>
          <w:rFonts w:ascii="Tahoma" w:hAnsi="Tahoma" w:cs="Tahoma"/>
          <w:color w:val="000000"/>
        </w:rPr>
        <w:t>O FUNDO e seus Cotistas estão sujeitos, principalmente, aos seguintes riscos:</w:t>
      </w:r>
    </w:p>
    <w:p w14:paraId="66EE281B" w14:textId="77777777" w:rsidR="009E466F" w:rsidRPr="00A82E3D" w:rsidRDefault="009E466F" w:rsidP="009E466F">
      <w:pPr>
        <w:spacing w:line="240" w:lineRule="exact"/>
        <w:jc w:val="both"/>
        <w:rPr>
          <w:rFonts w:ascii="Tahoma" w:hAnsi="Tahoma" w:cs="Tahoma"/>
        </w:rPr>
      </w:pPr>
      <w:r w:rsidRPr="00A82E3D">
        <w:rPr>
          <w:rFonts w:ascii="Tahoma" w:hAnsi="Tahoma" w:cs="Tahoma"/>
          <w:b/>
        </w:rPr>
        <w:t>Risco de Mercado:</w:t>
      </w:r>
      <w:r w:rsidRPr="00A82E3D">
        <w:rPr>
          <w:rFonts w:ascii="Tahoma" w:hAnsi="Tahoma" w:cs="Tahoma"/>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59857464" w14:textId="77777777" w:rsidR="009E466F" w:rsidRPr="00A82E3D" w:rsidRDefault="009E466F" w:rsidP="009E466F">
      <w:pPr>
        <w:spacing w:line="240" w:lineRule="exact"/>
        <w:jc w:val="both"/>
        <w:rPr>
          <w:rFonts w:ascii="Tahoma" w:hAnsi="Tahoma" w:cs="Tahoma"/>
        </w:rPr>
      </w:pPr>
      <w:r w:rsidRPr="00A82E3D">
        <w:rPr>
          <w:rFonts w:ascii="Tahoma" w:hAnsi="Tahoma" w:cs="Tahoma"/>
          <w:b/>
        </w:rPr>
        <w:t>Risco de Liquidez:</w:t>
      </w:r>
      <w:r w:rsidRPr="00A82E3D">
        <w:rPr>
          <w:rFonts w:ascii="Tahoma" w:hAnsi="Tahoma" w:cs="Tahoma"/>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6FCEFF56" w14:textId="77777777" w:rsidR="009E466F" w:rsidRPr="00A82E3D" w:rsidRDefault="009E466F" w:rsidP="009E466F">
      <w:pPr>
        <w:spacing w:line="240" w:lineRule="exact"/>
        <w:jc w:val="both"/>
        <w:rPr>
          <w:rFonts w:ascii="Tahoma" w:hAnsi="Tahoma" w:cs="Tahoma"/>
        </w:rPr>
      </w:pPr>
      <w:r w:rsidRPr="00A82E3D">
        <w:rPr>
          <w:rFonts w:ascii="Tahoma" w:hAnsi="Tahoma" w:cs="Tahoma"/>
          <w:b/>
        </w:rPr>
        <w:t>Risco de Concentração:</w:t>
      </w:r>
      <w:r w:rsidRPr="00A82E3D">
        <w:rPr>
          <w:rFonts w:ascii="Tahoma" w:hAnsi="Tahoma" w:cs="Tahoma"/>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73266C5E" w14:textId="77777777" w:rsidR="009E466F" w:rsidRPr="00A82E3D" w:rsidRDefault="009E466F" w:rsidP="009E466F">
      <w:pPr>
        <w:spacing w:line="240" w:lineRule="exact"/>
        <w:jc w:val="both"/>
        <w:rPr>
          <w:rFonts w:ascii="Tahoma" w:hAnsi="Tahoma" w:cs="Tahoma"/>
        </w:rPr>
      </w:pPr>
      <w:r w:rsidRPr="00A82E3D">
        <w:rPr>
          <w:rFonts w:ascii="Tahoma" w:hAnsi="Tahoma" w:cs="Tahoma"/>
          <w:b/>
        </w:rPr>
        <w:t>Risco de Perdas Patrimoniais:</w:t>
      </w:r>
      <w:r w:rsidRPr="00A82E3D">
        <w:rPr>
          <w:rFonts w:ascii="Tahoma" w:hAnsi="Tahoma" w:cs="Tahoma"/>
        </w:rPr>
        <w:t xml:space="preserve"> Este FUNDO e/ou os Fundos Investidos utilizam estratégias, inclusive com derivativos, que podem resultar em significativas perdas patrimoniais para seus cotistas.</w:t>
      </w:r>
    </w:p>
    <w:p w14:paraId="2418422B" w14:textId="77777777" w:rsidR="009E466F" w:rsidRPr="00A82E3D" w:rsidRDefault="009E466F" w:rsidP="009E466F">
      <w:pPr>
        <w:spacing w:line="240" w:lineRule="exact"/>
        <w:jc w:val="both"/>
        <w:rPr>
          <w:rFonts w:ascii="Tahoma" w:hAnsi="Tahoma" w:cs="Tahoma"/>
        </w:rPr>
      </w:pPr>
      <w:r w:rsidRPr="00A82E3D">
        <w:rPr>
          <w:rFonts w:ascii="Tahoma" w:hAnsi="Tahoma" w:cs="Tahoma"/>
          <w:b/>
        </w:rPr>
        <w:t>Risco de Mercado Externo:</w:t>
      </w:r>
      <w:r w:rsidRPr="00A82E3D">
        <w:rPr>
          <w:rFonts w:ascii="Tahoma" w:hAnsi="Tahoma" w:cs="Tahoma"/>
        </w:rPr>
        <w:t xml:space="preserve">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51AF3460" w14:textId="77777777" w:rsidR="009E466F" w:rsidRPr="00A82E3D" w:rsidRDefault="009E466F" w:rsidP="009E466F">
      <w:pPr>
        <w:spacing w:line="240" w:lineRule="exact"/>
        <w:jc w:val="both"/>
        <w:rPr>
          <w:rFonts w:ascii="Tahoma" w:hAnsi="Tahoma" w:cs="Tahoma"/>
        </w:rPr>
      </w:pPr>
      <w:r w:rsidRPr="00A82E3D">
        <w:rPr>
          <w:rFonts w:ascii="Tahoma" w:hAnsi="Tahoma" w:cs="Tahoma"/>
          <w:b/>
        </w:rPr>
        <w:t>Risco Decorrente da Precificação dos Ativos Financeiros:</w:t>
      </w:r>
      <w:r w:rsidRPr="00A82E3D">
        <w:rPr>
          <w:rFonts w:ascii="Tahoma" w:hAnsi="Tahoma" w:cs="Tahoma"/>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49792F06" w14:textId="77777777" w:rsidR="009E466F" w:rsidRPr="00A82E3D" w:rsidRDefault="009E466F" w:rsidP="009E466F">
      <w:pPr>
        <w:spacing w:line="240" w:lineRule="exact"/>
        <w:jc w:val="both"/>
        <w:rPr>
          <w:rFonts w:ascii="Tahoma" w:hAnsi="Tahoma" w:cs="Tahoma"/>
        </w:rPr>
      </w:pPr>
      <w:r w:rsidRPr="00A82E3D">
        <w:rPr>
          <w:rFonts w:ascii="Tahoma" w:hAnsi="Tahoma" w:cs="Tahoma"/>
          <w:b/>
        </w:rPr>
        <w:t>Risco de Crédito:</w:t>
      </w:r>
      <w:r w:rsidRPr="00A82E3D">
        <w:rPr>
          <w:rFonts w:ascii="Tahoma" w:hAnsi="Tahoma" w:cs="Tahoma"/>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490DE573" w14:textId="77777777" w:rsidR="009E466F" w:rsidRPr="00A82E3D" w:rsidRDefault="009E466F" w:rsidP="009E466F">
      <w:pPr>
        <w:spacing w:line="240" w:lineRule="exact"/>
        <w:jc w:val="both"/>
        <w:rPr>
          <w:rFonts w:ascii="Tahoma" w:hAnsi="Tahoma" w:cs="Tahoma"/>
        </w:rPr>
      </w:pPr>
      <w:r w:rsidRPr="00A82E3D">
        <w:rPr>
          <w:rFonts w:ascii="Tahoma" w:hAnsi="Tahoma" w:cs="Tahoma"/>
          <w:b/>
        </w:rPr>
        <w:t>Risco de Concentração em Créditos Privados:</w:t>
      </w:r>
      <w:r w:rsidRPr="00A82E3D">
        <w:rPr>
          <w:rFonts w:ascii="Tahoma" w:hAnsi="Tahoma" w:cs="Tahoma"/>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352858AD" w14:textId="77777777" w:rsidR="009E466F" w:rsidRPr="00A82E3D" w:rsidRDefault="009E466F" w:rsidP="009E466F">
      <w:pPr>
        <w:spacing w:line="240" w:lineRule="exact"/>
        <w:jc w:val="both"/>
        <w:rPr>
          <w:rFonts w:ascii="Tahoma" w:hAnsi="Tahoma" w:cs="Tahoma"/>
        </w:rPr>
      </w:pPr>
      <w:r w:rsidRPr="00A82E3D">
        <w:rPr>
          <w:rFonts w:ascii="Tahoma" w:hAnsi="Tahoma" w:cs="Tahoma"/>
          <w:b/>
        </w:rPr>
        <w:t>Risco Regulatório:</w:t>
      </w:r>
      <w:r w:rsidRPr="00A82E3D">
        <w:rPr>
          <w:rFonts w:ascii="Tahoma" w:hAnsi="Tahoma" w:cs="Tahoma"/>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67DEADE7" w14:textId="77777777" w:rsidR="009E466F" w:rsidRPr="00A82E3D" w:rsidRDefault="009E466F" w:rsidP="009E466F">
      <w:pPr>
        <w:spacing w:line="240" w:lineRule="exact"/>
        <w:jc w:val="both"/>
        <w:rPr>
          <w:rFonts w:ascii="Tahoma" w:hAnsi="Tahoma" w:cs="Tahoma"/>
        </w:rPr>
      </w:pPr>
      <w:r w:rsidRPr="00A82E3D">
        <w:rPr>
          <w:rFonts w:ascii="Tahoma"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64C25494" w14:textId="77777777" w:rsidR="009E466F" w:rsidRPr="00A82E3D" w:rsidRDefault="009E466F" w:rsidP="009E466F">
      <w:pPr>
        <w:spacing w:line="240" w:lineRule="exact"/>
        <w:jc w:val="both"/>
        <w:rPr>
          <w:rFonts w:ascii="Tahoma" w:hAnsi="Tahoma" w:cs="Tahoma"/>
        </w:rPr>
      </w:pPr>
      <w:r w:rsidRPr="00A82E3D">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0E338D8E" w14:textId="77777777" w:rsidR="009E466F" w:rsidRPr="00A82E3D" w:rsidRDefault="009E466F" w:rsidP="009E466F">
      <w:pPr>
        <w:spacing w:line="240" w:lineRule="exact"/>
        <w:jc w:val="both"/>
        <w:rPr>
          <w:rFonts w:ascii="Tahoma" w:hAnsi="Tahoma" w:cs="Tahoma"/>
        </w:rPr>
      </w:pPr>
      <w:r w:rsidRPr="00A82E3D">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6ACA479E" w14:textId="77777777" w:rsidR="009E466F" w:rsidRPr="00A82E3D" w:rsidRDefault="009E466F" w:rsidP="009E466F">
      <w:pPr>
        <w:spacing w:line="240" w:lineRule="exact"/>
        <w:jc w:val="both"/>
        <w:rPr>
          <w:rFonts w:ascii="Tahoma" w:hAnsi="Tahoma" w:cs="Tahoma"/>
        </w:rPr>
      </w:pPr>
    </w:p>
    <w:p w14:paraId="6D2A59BA"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CLÁUSULA QUINTA – DA ADMINISTRAÇÃO E DOS PRESTADORES DE SERVIÇOS</w:t>
      </w:r>
    </w:p>
    <w:p w14:paraId="0CC132FA" w14:textId="77777777" w:rsidR="009E466F" w:rsidRPr="00A82E3D" w:rsidRDefault="009E466F" w:rsidP="009E466F">
      <w:pPr>
        <w:spacing w:line="240" w:lineRule="exact"/>
        <w:jc w:val="both"/>
        <w:rPr>
          <w:rFonts w:ascii="Tahoma" w:hAnsi="Tahoma" w:cs="Tahoma"/>
        </w:rPr>
      </w:pPr>
    </w:p>
    <w:p w14:paraId="6ACD64C7"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5.1. O FUNDO é administrado </w:t>
      </w:r>
      <w:r w:rsidRPr="00552F3E">
        <w:rPr>
          <w:rFonts w:ascii="Tahoma" w:eastAsia="Calibri" w:hAnsi="Tahoma" w:cs="Tahoma"/>
        </w:rPr>
        <w:t xml:space="preserve">pela </w:t>
      </w:r>
      <w:r w:rsidRPr="00552F3E">
        <w:rPr>
          <w:rFonts w:ascii="Tahoma" w:eastAsia="Calibri" w:hAnsi="Tahoma" w:cs="Tahoma"/>
          <w:b/>
          <w:bCs/>
        </w:rPr>
        <w:t>SANTANDER DISTRIBUIDORA DE TÍTULOS E VALORES MOBILIÁRIOS S.A.</w:t>
      </w:r>
      <w:r w:rsidRPr="00552F3E">
        <w:rPr>
          <w:rFonts w:ascii="Tahoma" w:eastAsia="Calibri" w:hAnsi="Tahoma" w:cs="Tahoma"/>
        </w:rPr>
        <w:t>, com sede na Rua João Brícola, 24 – 16º e 17º andares – Centro Histórico, São Paulo/SP, inscrita no CNPJ sob nº 03.502.968/0001-04 e credenciada na CVM para a administração de carteiras conforme Ato Declaratório CVM nº 20006, de 28/07/2022 (“ADMINISTRADOR”).</w:t>
      </w:r>
    </w:p>
    <w:p w14:paraId="64A01CD4"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5.2. O FUNDO é gerido pela </w:t>
      </w:r>
      <w:r w:rsidRPr="00A82E3D">
        <w:rPr>
          <w:rFonts w:ascii="Tahoma" w:hAnsi="Tahoma" w:cs="Tahoma"/>
          <w:b/>
        </w:rPr>
        <w:t>SANTANDER BRASIL GESTÃO DE RECURSOS LTDA.</w:t>
      </w:r>
      <w:r w:rsidRPr="00A82E3D">
        <w:rPr>
          <w:rFonts w:ascii="Tahoma" w:hAnsi="Tahoma" w:cs="Tahoma"/>
        </w:rPr>
        <w:t>, com sede na Avenida Presidente Juscelino Kubitscheck, 2.041 e 2.235 – Bloco A, 18º Andar, CEP: 04543-011 – Vila Olímpia – São Paulo – SP, inscrita no CNPJ/ME sob nº 10.231.177/0001-52 e credenciada na CVM para a administração de carteiras conforme Ato Declaratório CVM nº 10.161, de 11/12/2008 (“GESTOR”).</w:t>
      </w:r>
    </w:p>
    <w:p w14:paraId="6D7ED8A4" w14:textId="77777777" w:rsidR="009E466F" w:rsidRPr="00A82E3D" w:rsidRDefault="009E466F" w:rsidP="009E466F">
      <w:pPr>
        <w:spacing w:line="240" w:lineRule="exact"/>
        <w:jc w:val="both"/>
        <w:rPr>
          <w:rFonts w:ascii="Tahoma" w:hAnsi="Tahoma" w:cs="Tahoma"/>
        </w:rPr>
      </w:pPr>
      <w:r w:rsidRPr="00A82E3D">
        <w:rPr>
          <w:rFonts w:ascii="Tahoma" w:hAnsi="Tahoma" w:cs="Tahoma"/>
        </w:rPr>
        <w:t>5.3. Os serviços de custódia, tesouraria, controladoria e processamento dos Ativos Financeiros</w:t>
      </w:r>
      <w:r w:rsidRPr="00A82E3D" w:rsidDel="00FA248C">
        <w:rPr>
          <w:rFonts w:ascii="Tahoma" w:hAnsi="Tahoma" w:cs="Tahoma"/>
        </w:rPr>
        <w:t xml:space="preserve"> </w:t>
      </w:r>
      <w:r w:rsidRPr="00A82E3D">
        <w:rPr>
          <w:rFonts w:ascii="Tahoma" w:hAnsi="Tahoma" w:cs="Tahoma"/>
        </w:rPr>
        <w:t xml:space="preserve">integrantes da Carteira do FUNDO serão realizados pela </w:t>
      </w:r>
      <w:r w:rsidRPr="00A82E3D">
        <w:rPr>
          <w:rFonts w:ascii="Tahoma" w:hAnsi="Tahoma" w:cs="Tahoma"/>
          <w:b/>
        </w:rPr>
        <w:t>S3 CACEIS BRASIL DISTRIBUIDORA DE TÍTULOS E VALORES MOBILIÁRIOS S.A.</w:t>
      </w:r>
      <w:r w:rsidRPr="00A82E3D">
        <w:rPr>
          <w:rFonts w:ascii="Tahoma" w:hAnsi="Tahoma" w:cs="Tahoma"/>
        </w:rPr>
        <w:t>, localizado na Rua Amador Bueno, nº 474, 1º andar, Bloco D, Santo Amaro, São Paulo/SP, inscrita no CNPJ/ME nº 62.318.407/0001-19, e credenciado na CVM para exercer a custódia de valores mobiliários conforme Ato Declaratório CVM nº 12.676, de 07/11/2012 (“CUSTODIANTE”).</w:t>
      </w:r>
    </w:p>
    <w:p w14:paraId="3649ED6F"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5.4. </w:t>
      </w:r>
      <w:r w:rsidRPr="000C3EED">
        <w:rPr>
          <w:rFonts w:ascii="Tahoma" w:hAnsi="Tahoma" w:cs="Tahoma"/>
        </w:rPr>
        <w:t>As informações sobre os prestadores de serviços de distribuição das cotas do FUNDO e de controladoria e processamento do passivo do FUNDO (escrituração de cotas) ficarão disponíveis para consulta, no site da CVM.</w:t>
      </w:r>
    </w:p>
    <w:p w14:paraId="4D269DDB" w14:textId="77777777" w:rsidR="009E466F" w:rsidRPr="00A82E3D" w:rsidRDefault="009E466F" w:rsidP="009E466F">
      <w:pPr>
        <w:spacing w:line="240" w:lineRule="exact"/>
        <w:jc w:val="both"/>
        <w:rPr>
          <w:rFonts w:ascii="Tahoma" w:hAnsi="Tahoma" w:cs="Tahoma"/>
        </w:rPr>
      </w:pPr>
      <w:r w:rsidRPr="00A82E3D">
        <w:rPr>
          <w:rFonts w:ascii="Tahoma" w:hAnsi="Tahoma" w:cs="Tahoma"/>
        </w:rPr>
        <w:t>5.5. O ADMINISTRADOR poderá contratar terceiros, em nome do FUNDO, para prestação de demais serviços, tais como consultoria e classificação de risco</w:t>
      </w:r>
      <w:r>
        <w:rPr>
          <w:rFonts w:ascii="Tahoma" w:hAnsi="Tahoma" w:cs="Tahoma"/>
        </w:rPr>
        <w:t>.</w:t>
      </w:r>
    </w:p>
    <w:p w14:paraId="5D82AEED" w14:textId="77777777" w:rsidR="009E466F" w:rsidRPr="00A82E3D" w:rsidRDefault="009E466F" w:rsidP="009E466F">
      <w:pPr>
        <w:spacing w:line="240" w:lineRule="exact"/>
        <w:jc w:val="both"/>
        <w:rPr>
          <w:rFonts w:ascii="Tahoma" w:hAnsi="Tahoma" w:cs="Tahoma"/>
        </w:rPr>
      </w:pPr>
    </w:p>
    <w:p w14:paraId="797DA82A"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CLÁUSULA SEXTA – DA REMUNERAÇÃO E DEMAIS ENCARGOS</w:t>
      </w:r>
    </w:p>
    <w:p w14:paraId="64A94CF0" w14:textId="77777777" w:rsidR="009E466F" w:rsidRPr="00A82E3D" w:rsidRDefault="009E466F" w:rsidP="009E466F">
      <w:pPr>
        <w:spacing w:line="240" w:lineRule="exact"/>
        <w:jc w:val="both"/>
        <w:rPr>
          <w:rFonts w:ascii="Tahoma" w:hAnsi="Tahoma" w:cs="Tahoma"/>
        </w:rPr>
      </w:pPr>
    </w:p>
    <w:p w14:paraId="4DF992CA" w14:textId="77777777" w:rsidR="009E466F" w:rsidRPr="00A82E3D" w:rsidRDefault="009E466F" w:rsidP="009E466F">
      <w:pPr>
        <w:spacing w:line="240" w:lineRule="exact"/>
        <w:jc w:val="both"/>
        <w:rPr>
          <w:rFonts w:ascii="Tahoma" w:hAnsi="Tahoma" w:cs="Tahoma"/>
        </w:rPr>
      </w:pPr>
      <w:r w:rsidRPr="00A82E3D">
        <w:rPr>
          <w:rFonts w:ascii="Tahoma" w:hAnsi="Tahoma" w:cs="Tahoma"/>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7A813608" w14:textId="77777777" w:rsidR="009E466F" w:rsidRPr="00A82E3D" w:rsidRDefault="009E466F" w:rsidP="009E466F">
      <w:pPr>
        <w:spacing w:line="240" w:lineRule="exact"/>
        <w:jc w:val="both"/>
        <w:rPr>
          <w:rFonts w:ascii="Tahoma" w:hAnsi="Tahoma" w:cs="Tahoma"/>
        </w:rPr>
      </w:pPr>
      <w:r w:rsidRPr="00A82E3D">
        <w:rPr>
          <w:rFonts w:ascii="Tahoma" w:hAnsi="Tahoma" w:cs="Tahoma"/>
          <w:b/>
        </w:rPr>
        <w:t>Taxa de Administração Mínima</w:t>
      </w:r>
      <w:r w:rsidRPr="00A82E3D">
        <w:rPr>
          <w:rFonts w:ascii="Tahoma" w:hAnsi="Tahoma" w:cs="Tahoma"/>
        </w:rPr>
        <w:t>: 2% ao ano sobre o valor do patrimônio líquido do FUNDO.</w:t>
      </w:r>
    </w:p>
    <w:p w14:paraId="4A02CB44" w14:textId="77777777" w:rsidR="009E466F" w:rsidRPr="00A82E3D" w:rsidRDefault="009E466F" w:rsidP="009E466F">
      <w:pPr>
        <w:spacing w:line="240" w:lineRule="exact"/>
        <w:jc w:val="both"/>
        <w:rPr>
          <w:rFonts w:ascii="Tahoma" w:hAnsi="Tahoma" w:cs="Tahoma"/>
        </w:rPr>
      </w:pPr>
    </w:p>
    <w:p w14:paraId="683CBB01" w14:textId="77777777" w:rsidR="009E466F" w:rsidRPr="00A82E3D" w:rsidRDefault="009E466F" w:rsidP="009E466F">
      <w:pPr>
        <w:spacing w:line="240" w:lineRule="exact"/>
        <w:jc w:val="both"/>
        <w:rPr>
          <w:rFonts w:ascii="Tahoma" w:hAnsi="Tahoma" w:cs="Tahoma"/>
        </w:rPr>
      </w:pPr>
      <w:r w:rsidRPr="00A82E3D">
        <w:rPr>
          <w:rFonts w:ascii="Tahoma" w:hAnsi="Tahoma" w:cs="Tahoma"/>
          <w:b/>
          <w:bCs/>
        </w:rPr>
        <w:t>Taxa de Administração Máxima</w:t>
      </w:r>
      <w:r w:rsidRPr="00A82E3D">
        <w:rPr>
          <w:rFonts w:ascii="Tahoma" w:hAnsi="Tahoma" w:cs="Tahoma"/>
        </w:rPr>
        <w:t>:</w:t>
      </w:r>
      <w:r w:rsidRPr="00A82E3D" w:rsidDel="00B03ECA">
        <w:rPr>
          <w:rFonts w:ascii="Tahoma" w:hAnsi="Tahoma" w:cs="Tahoma"/>
        </w:rPr>
        <w:t xml:space="preserve"> </w:t>
      </w:r>
      <w:r w:rsidRPr="00A82E3D">
        <w:rPr>
          <w:rFonts w:ascii="Tahoma" w:hAnsi="Tahoma" w:cs="Tahoma"/>
        </w:rPr>
        <w:t xml:space="preserve">O FUNDO poderá aplicar seus recursos em fundos de investimento que cobram taxa de administração. Nesse caso, a Taxa de Administração Máxima será de 2,60% </w:t>
      </w:r>
      <w:r w:rsidRPr="00A82E3D">
        <w:rPr>
          <w:rFonts w:ascii="Tahoma" w:eastAsia="Arial Unicode MS" w:hAnsi="Tahoma" w:cs="Tahoma"/>
        </w:rPr>
        <w:t xml:space="preserve">ao ano sobre o valor do patrimônio líquido do FUNDO, compreendendo as taxas de administração dos fundos de investimento nos quais o FUNDO aplica, </w:t>
      </w:r>
      <w:r w:rsidRPr="00A82E3D">
        <w:rPr>
          <w:rFonts w:ascii="Tahoma" w:hAnsi="Tahoma" w:cs="Tahoma"/>
        </w:rPr>
        <w:t>observado o disposto no item 6.1.1. abaixo.</w:t>
      </w:r>
    </w:p>
    <w:p w14:paraId="7CDF0441"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6.1.1. Na hipótese do FUNDO aplicar nos fundos indicados abaixo, a taxa de administração de referidos fundos de investimento não será considerada para os efeitos de Taxa de Administração Máxima acima mencionada: </w:t>
      </w:r>
    </w:p>
    <w:p w14:paraId="12B32B3A" w14:textId="77777777" w:rsidR="009E466F" w:rsidRPr="00A82E3D" w:rsidRDefault="009E466F" w:rsidP="009E466F">
      <w:pPr>
        <w:spacing w:line="240" w:lineRule="exact"/>
        <w:jc w:val="both"/>
        <w:rPr>
          <w:rFonts w:ascii="Tahoma" w:hAnsi="Tahoma" w:cs="Tahoma"/>
        </w:rPr>
      </w:pPr>
      <w:r w:rsidRPr="00A82E3D">
        <w:rPr>
          <w:rFonts w:ascii="Tahoma" w:hAnsi="Tahoma" w:cs="Tahoma"/>
        </w:rPr>
        <w:t>I – fundos de índice e fundos de investimento imobiliário cujas cotas sejam admitidas à negociação em mercados organizados; ou</w:t>
      </w:r>
    </w:p>
    <w:p w14:paraId="7E8DFC0D" w14:textId="77777777" w:rsidR="009E466F" w:rsidRPr="00A82E3D" w:rsidRDefault="009E466F" w:rsidP="009E466F">
      <w:pPr>
        <w:spacing w:line="240" w:lineRule="exact"/>
        <w:jc w:val="both"/>
        <w:rPr>
          <w:rFonts w:ascii="Tahoma" w:hAnsi="Tahoma" w:cs="Tahoma"/>
        </w:rPr>
      </w:pPr>
      <w:r w:rsidRPr="00A82E3D">
        <w:rPr>
          <w:rFonts w:ascii="Tahoma" w:hAnsi="Tahoma" w:cs="Tahoma"/>
        </w:rPr>
        <w:t>II – fundos de investimento geridos por terceiros que não o GESTOR.</w:t>
      </w:r>
    </w:p>
    <w:p w14:paraId="280B7077" w14:textId="77777777" w:rsidR="009E466F" w:rsidRPr="00A82E3D" w:rsidRDefault="009E466F" w:rsidP="009E466F">
      <w:pPr>
        <w:spacing w:line="240" w:lineRule="exact"/>
        <w:jc w:val="both"/>
        <w:rPr>
          <w:rFonts w:ascii="Tahoma" w:hAnsi="Tahoma" w:cs="Tahoma"/>
        </w:rPr>
      </w:pPr>
      <w:r w:rsidRPr="00A82E3D">
        <w:rPr>
          <w:rFonts w:ascii="Tahoma" w:hAnsi="Tahoma" w:cs="Tahoma"/>
        </w:rPr>
        <w:t>6.1.2.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59E654E1" w14:textId="77777777" w:rsidR="009E466F" w:rsidRPr="00A82E3D" w:rsidRDefault="009E466F" w:rsidP="009E466F">
      <w:pPr>
        <w:spacing w:line="240" w:lineRule="exact"/>
        <w:jc w:val="both"/>
        <w:rPr>
          <w:rFonts w:ascii="Tahoma" w:hAnsi="Tahoma" w:cs="Tahoma"/>
        </w:rPr>
      </w:pPr>
      <w:r w:rsidRPr="00A82E3D">
        <w:rPr>
          <w:rFonts w:ascii="Tahoma" w:hAnsi="Tahoma" w:cs="Tahoma"/>
        </w:rPr>
        <w:t>6.1.3. O FUNDO poderá também aplicar seus recursos em fundos de investimento que cobrem taxa de performance, ingresso e saída.</w:t>
      </w:r>
    </w:p>
    <w:p w14:paraId="745318CC" w14:textId="77777777" w:rsidR="009E466F" w:rsidRPr="00A82E3D" w:rsidRDefault="009E466F" w:rsidP="009E466F">
      <w:pPr>
        <w:spacing w:line="240" w:lineRule="exact"/>
        <w:jc w:val="both"/>
        <w:rPr>
          <w:rFonts w:ascii="Tahoma" w:hAnsi="Tahoma" w:cs="Tahoma"/>
        </w:rPr>
      </w:pPr>
      <w:r w:rsidRPr="00A82E3D">
        <w:rPr>
          <w:rFonts w:ascii="Tahoma" w:hAnsi="Tahoma" w:cs="Tahoma"/>
        </w:rPr>
        <w:t>6.2. Não haverá cobrança de taxa de performance e taxa de custódia no FUNDO.</w:t>
      </w:r>
    </w:p>
    <w:p w14:paraId="32EB3AE1" w14:textId="77777777" w:rsidR="009E466F" w:rsidRPr="00A82E3D" w:rsidRDefault="009E466F" w:rsidP="009E466F">
      <w:pPr>
        <w:spacing w:line="240" w:lineRule="exact"/>
        <w:jc w:val="both"/>
        <w:rPr>
          <w:rFonts w:ascii="Tahoma" w:hAnsi="Tahoma" w:cs="Tahoma"/>
          <w:highlight w:val="yellow"/>
        </w:rPr>
      </w:pPr>
      <w:r w:rsidRPr="00A82E3D">
        <w:rPr>
          <w:rFonts w:ascii="Tahoma" w:hAnsi="Tahoma" w:cs="Tahoma"/>
        </w:rPr>
        <w:t xml:space="preserve">6.3. Não será cobrada dos Cotistas taxa de ingresso e de saída quando da realização de aplicação e resgate no FUNDO, respectivamente. </w:t>
      </w:r>
    </w:p>
    <w:p w14:paraId="053E8B74" w14:textId="77777777" w:rsidR="009E466F" w:rsidRPr="00A82E3D" w:rsidRDefault="009E466F" w:rsidP="009E466F">
      <w:pPr>
        <w:spacing w:line="240" w:lineRule="exact"/>
        <w:jc w:val="both"/>
        <w:rPr>
          <w:rFonts w:ascii="Tahoma" w:hAnsi="Tahoma" w:cs="Tahoma"/>
        </w:rPr>
      </w:pPr>
      <w:r w:rsidRPr="00A82E3D">
        <w:rPr>
          <w:rFonts w:ascii="Tahoma" w:hAnsi="Tahoma" w:cs="Tahoma"/>
        </w:rPr>
        <w:t>6.4.</w:t>
      </w:r>
      <w:r w:rsidRPr="00A82E3D">
        <w:rPr>
          <w:rFonts w:ascii="Tahoma" w:hAnsi="Tahoma" w:cs="Tahoma"/>
        </w:rPr>
        <w:tab/>
        <w:t>Além das Taxas de Administração e da Taxa de Performance, se houver, constituirão encargos que poderão ser debitados diretamente do FUNDO as seguintes despesas:</w:t>
      </w:r>
    </w:p>
    <w:p w14:paraId="4B78A014"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 xml:space="preserve">(i) taxas, impostos ou contribuições federais, estaduais, municipais ou autárquicas, que recaiam ou venham a recair sobre os bens, direitos e obrigações do FUNDO; </w:t>
      </w:r>
    </w:p>
    <w:p w14:paraId="6DA20F48" w14:textId="77777777" w:rsidR="009E466F" w:rsidRPr="00A82E3D" w:rsidRDefault="009E466F" w:rsidP="009E466F">
      <w:pPr>
        <w:pStyle w:val="NormalWeb"/>
        <w:spacing w:before="0" w:after="0" w:line="240" w:lineRule="exact"/>
        <w:jc w:val="both"/>
        <w:rPr>
          <w:rFonts w:ascii="Tahoma" w:hAnsi="Tahoma" w:cs="Tahoma"/>
          <w:sz w:val="22"/>
          <w:szCs w:val="22"/>
          <w:highlight w:val="yellow"/>
        </w:rPr>
      </w:pPr>
    </w:p>
    <w:p w14:paraId="7D312C32"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 xml:space="preserve">(ii) despesas com o registro de documentos em cartório, impressão, expedição e publicação de relatórios e informações periódicas previstas na regulamentação em vigor; </w:t>
      </w:r>
    </w:p>
    <w:p w14:paraId="627981DC" w14:textId="77777777" w:rsidR="009E466F" w:rsidRPr="00A82E3D" w:rsidRDefault="009E466F" w:rsidP="009E466F">
      <w:pPr>
        <w:pStyle w:val="NormalWeb"/>
        <w:spacing w:before="0" w:after="0" w:line="240" w:lineRule="exact"/>
        <w:jc w:val="both"/>
        <w:rPr>
          <w:rFonts w:ascii="Tahoma" w:hAnsi="Tahoma" w:cs="Tahoma"/>
          <w:sz w:val="22"/>
          <w:szCs w:val="22"/>
          <w:highlight w:val="yellow"/>
        </w:rPr>
      </w:pPr>
    </w:p>
    <w:p w14:paraId="6A77ACF6"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 xml:space="preserve">(iii) despesas com correspondência de interesse do FUNDO, inclusive comunicações aos Cotistas; </w:t>
      </w:r>
    </w:p>
    <w:p w14:paraId="0C33439E" w14:textId="77777777" w:rsidR="009E466F" w:rsidRPr="00A82E3D" w:rsidRDefault="009E466F" w:rsidP="009E466F">
      <w:pPr>
        <w:pStyle w:val="NormalWeb"/>
        <w:spacing w:before="0" w:after="0" w:line="240" w:lineRule="exact"/>
        <w:jc w:val="both"/>
        <w:rPr>
          <w:rFonts w:ascii="Tahoma" w:hAnsi="Tahoma" w:cs="Tahoma"/>
          <w:sz w:val="22"/>
          <w:szCs w:val="22"/>
          <w:highlight w:val="yellow"/>
        </w:rPr>
      </w:pPr>
    </w:p>
    <w:p w14:paraId="25B5CD9B"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w:t>
      </w:r>
      <w:proofErr w:type="spellStart"/>
      <w:r w:rsidRPr="00A82E3D">
        <w:rPr>
          <w:rFonts w:ascii="Tahoma" w:hAnsi="Tahoma" w:cs="Tahoma"/>
          <w:sz w:val="22"/>
          <w:szCs w:val="22"/>
        </w:rPr>
        <w:t>iv</w:t>
      </w:r>
      <w:proofErr w:type="spellEnd"/>
      <w:r w:rsidRPr="00A82E3D">
        <w:rPr>
          <w:rFonts w:ascii="Tahoma" w:hAnsi="Tahoma" w:cs="Tahoma"/>
          <w:sz w:val="22"/>
          <w:szCs w:val="22"/>
        </w:rPr>
        <w:t>) honorários e despesas do auditor independente;</w:t>
      </w:r>
    </w:p>
    <w:p w14:paraId="4A9D788B" w14:textId="77777777" w:rsidR="009E466F" w:rsidRPr="00A82E3D" w:rsidRDefault="009E466F" w:rsidP="009E466F">
      <w:pPr>
        <w:pStyle w:val="NormalWeb"/>
        <w:spacing w:before="0" w:after="0" w:line="240" w:lineRule="exact"/>
        <w:jc w:val="both"/>
        <w:rPr>
          <w:rFonts w:ascii="Tahoma" w:hAnsi="Tahoma" w:cs="Tahoma"/>
          <w:sz w:val="22"/>
          <w:szCs w:val="22"/>
          <w:highlight w:val="yellow"/>
        </w:rPr>
      </w:pPr>
    </w:p>
    <w:p w14:paraId="1626400B"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 xml:space="preserve">(v) emolumentos e comissões pagas por operações do FUNDO; </w:t>
      </w:r>
    </w:p>
    <w:p w14:paraId="5473ADC7" w14:textId="77777777" w:rsidR="009E466F" w:rsidRPr="00A82E3D" w:rsidRDefault="009E466F" w:rsidP="009E466F">
      <w:pPr>
        <w:pStyle w:val="NormalWeb"/>
        <w:spacing w:before="0" w:after="0" w:line="240" w:lineRule="exact"/>
        <w:jc w:val="both"/>
        <w:rPr>
          <w:rFonts w:ascii="Tahoma" w:hAnsi="Tahoma" w:cs="Tahoma"/>
          <w:sz w:val="22"/>
          <w:szCs w:val="22"/>
        </w:rPr>
      </w:pPr>
    </w:p>
    <w:p w14:paraId="74DE8594"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17B77A40" w14:textId="77777777" w:rsidR="009E466F" w:rsidRPr="00A82E3D" w:rsidRDefault="009E466F" w:rsidP="009E466F">
      <w:pPr>
        <w:pStyle w:val="NormalWeb"/>
        <w:spacing w:before="0" w:after="0" w:line="240" w:lineRule="exact"/>
        <w:jc w:val="both"/>
        <w:rPr>
          <w:rFonts w:ascii="Tahoma" w:hAnsi="Tahoma" w:cs="Tahoma"/>
          <w:sz w:val="22"/>
          <w:szCs w:val="22"/>
          <w:highlight w:val="yellow"/>
        </w:rPr>
      </w:pPr>
    </w:p>
    <w:p w14:paraId="74D9A9E9"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w:t>
      </w:r>
      <w:proofErr w:type="spellStart"/>
      <w:r w:rsidRPr="00A82E3D">
        <w:rPr>
          <w:rFonts w:ascii="Tahoma" w:hAnsi="Tahoma" w:cs="Tahoma"/>
          <w:sz w:val="22"/>
          <w:szCs w:val="22"/>
        </w:rPr>
        <w:t>vii</w:t>
      </w:r>
      <w:proofErr w:type="spellEnd"/>
      <w:r w:rsidRPr="00A82E3D">
        <w:rPr>
          <w:rFonts w:ascii="Tahoma"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5D58467B" w14:textId="77777777" w:rsidR="009E466F" w:rsidRPr="00A82E3D" w:rsidRDefault="009E466F" w:rsidP="009E466F">
      <w:pPr>
        <w:pStyle w:val="NormalWeb"/>
        <w:spacing w:before="0" w:after="0" w:line="240" w:lineRule="exact"/>
        <w:jc w:val="both"/>
        <w:rPr>
          <w:rFonts w:ascii="Tahoma" w:hAnsi="Tahoma" w:cs="Tahoma"/>
          <w:sz w:val="22"/>
          <w:szCs w:val="22"/>
          <w:highlight w:val="yellow"/>
        </w:rPr>
      </w:pPr>
    </w:p>
    <w:p w14:paraId="1E94B9D2"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w:t>
      </w:r>
      <w:proofErr w:type="spellStart"/>
      <w:r w:rsidRPr="00A82E3D">
        <w:rPr>
          <w:rFonts w:ascii="Tahoma" w:hAnsi="Tahoma" w:cs="Tahoma"/>
          <w:sz w:val="22"/>
          <w:szCs w:val="22"/>
        </w:rPr>
        <w:t>viii</w:t>
      </w:r>
      <w:proofErr w:type="spellEnd"/>
      <w:r w:rsidRPr="00A82E3D">
        <w:rPr>
          <w:rFonts w:ascii="Tahoma" w:hAnsi="Tahoma" w:cs="Tahoma"/>
          <w:sz w:val="22"/>
          <w:szCs w:val="22"/>
        </w:rPr>
        <w:t xml:space="preserve">) despesas relacionadas, direta ou indiretamente, ao exercício de direito de voto decorrente de Ativos Financeiros do FUNDO; </w:t>
      </w:r>
    </w:p>
    <w:p w14:paraId="4AA97EA9" w14:textId="77777777" w:rsidR="009E466F" w:rsidRPr="00A82E3D" w:rsidRDefault="009E466F" w:rsidP="009E466F">
      <w:pPr>
        <w:pStyle w:val="NormalWeb"/>
        <w:spacing w:before="0" w:after="0" w:line="240" w:lineRule="exact"/>
        <w:jc w:val="both"/>
        <w:rPr>
          <w:rFonts w:ascii="Tahoma" w:hAnsi="Tahoma" w:cs="Tahoma"/>
          <w:sz w:val="22"/>
          <w:szCs w:val="22"/>
        </w:rPr>
      </w:pPr>
    </w:p>
    <w:p w14:paraId="636CFD46"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w:t>
      </w:r>
      <w:proofErr w:type="spellStart"/>
      <w:r w:rsidRPr="00A82E3D">
        <w:rPr>
          <w:rFonts w:ascii="Tahoma" w:hAnsi="Tahoma" w:cs="Tahoma"/>
          <w:sz w:val="22"/>
          <w:szCs w:val="22"/>
        </w:rPr>
        <w:t>ix</w:t>
      </w:r>
      <w:proofErr w:type="spellEnd"/>
      <w:r w:rsidRPr="00A82E3D">
        <w:rPr>
          <w:rFonts w:ascii="Tahoma" w:hAnsi="Tahoma" w:cs="Tahoma"/>
          <w:sz w:val="22"/>
          <w:szCs w:val="22"/>
        </w:rPr>
        <w:t xml:space="preserve">) despesas com liquidação, registro e custódia de operações com títulos e valores mobiliários, Ativos Financeiros e modalidades operacionais; </w:t>
      </w:r>
    </w:p>
    <w:p w14:paraId="673D4523" w14:textId="77777777" w:rsidR="009E466F" w:rsidRPr="00A82E3D" w:rsidRDefault="009E466F" w:rsidP="009E466F">
      <w:pPr>
        <w:pStyle w:val="NormalWeb"/>
        <w:spacing w:before="0" w:after="0" w:line="240" w:lineRule="exact"/>
        <w:jc w:val="both"/>
        <w:rPr>
          <w:rFonts w:ascii="Tahoma" w:hAnsi="Tahoma" w:cs="Tahoma"/>
          <w:sz w:val="22"/>
          <w:szCs w:val="22"/>
        </w:rPr>
      </w:pPr>
    </w:p>
    <w:p w14:paraId="34924055"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(x) despesas com fechamento de câmbio, vinculadas às suas operações ou com certificados ou recibos de depósito de valores mobiliários; e</w:t>
      </w:r>
    </w:p>
    <w:p w14:paraId="69BAD6F1" w14:textId="77777777" w:rsidR="009E466F" w:rsidRPr="00A82E3D" w:rsidRDefault="009E466F" w:rsidP="009E466F">
      <w:pPr>
        <w:pStyle w:val="NormalWeb"/>
        <w:spacing w:before="0" w:after="0" w:line="240" w:lineRule="exact"/>
        <w:jc w:val="both"/>
        <w:rPr>
          <w:rFonts w:ascii="Tahoma" w:hAnsi="Tahoma" w:cs="Tahoma"/>
          <w:sz w:val="22"/>
          <w:szCs w:val="22"/>
        </w:rPr>
      </w:pPr>
    </w:p>
    <w:p w14:paraId="3FD4C221" w14:textId="77777777" w:rsidR="009E466F" w:rsidRPr="00A82E3D" w:rsidRDefault="009E466F" w:rsidP="009E466F">
      <w:pPr>
        <w:pStyle w:val="NormalWeb"/>
        <w:spacing w:before="0" w:after="0" w:line="240" w:lineRule="exact"/>
        <w:jc w:val="both"/>
        <w:rPr>
          <w:rFonts w:ascii="Tahoma" w:hAnsi="Tahoma" w:cs="Tahoma"/>
          <w:sz w:val="22"/>
          <w:szCs w:val="22"/>
        </w:rPr>
      </w:pPr>
      <w:r w:rsidRPr="00A82E3D">
        <w:rPr>
          <w:rFonts w:ascii="Tahoma" w:hAnsi="Tahoma" w:cs="Tahoma"/>
          <w:sz w:val="22"/>
          <w:szCs w:val="22"/>
        </w:rPr>
        <w:t xml:space="preserve">(xi) os montantes devidos a fundos investidores na hipótese de acordo de remuneração com base na taxa de administração e/ou performance, observado o disposto na regulamentação vigente. </w:t>
      </w:r>
    </w:p>
    <w:p w14:paraId="60283903" w14:textId="77777777" w:rsidR="009E466F" w:rsidRPr="00A82E3D" w:rsidRDefault="009E466F" w:rsidP="009E466F">
      <w:pPr>
        <w:pStyle w:val="NormalWeb"/>
        <w:spacing w:before="0" w:after="0" w:line="240" w:lineRule="exact"/>
        <w:jc w:val="both"/>
        <w:rPr>
          <w:rFonts w:ascii="Tahoma" w:hAnsi="Tahoma" w:cs="Tahoma"/>
          <w:sz w:val="22"/>
          <w:szCs w:val="22"/>
        </w:rPr>
      </w:pPr>
    </w:p>
    <w:p w14:paraId="02201DCE"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6.5.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25242907" w14:textId="77777777" w:rsidR="009E466F" w:rsidRPr="00A82E3D" w:rsidRDefault="009E466F" w:rsidP="009E466F">
      <w:pPr>
        <w:spacing w:line="240" w:lineRule="exact"/>
        <w:jc w:val="both"/>
        <w:rPr>
          <w:rFonts w:ascii="Tahoma" w:hAnsi="Tahoma" w:cs="Tahoma"/>
        </w:rPr>
      </w:pPr>
    </w:p>
    <w:p w14:paraId="7746A611"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 xml:space="preserve">CLÁUSULA SÉTIMA – DAS COTAS: DISTRIBUIÇÃO, EMISSÃO, NEGOCIAÇÃO E RESGATE </w:t>
      </w:r>
    </w:p>
    <w:p w14:paraId="6C5DD7AE" w14:textId="77777777" w:rsidR="009E466F" w:rsidRPr="00A82E3D" w:rsidRDefault="009E466F" w:rsidP="009E466F">
      <w:pPr>
        <w:spacing w:line="240" w:lineRule="exact"/>
        <w:jc w:val="both"/>
        <w:rPr>
          <w:rFonts w:ascii="Tahoma" w:hAnsi="Tahoma" w:cs="Tahoma"/>
        </w:rPr>
      </w:pPr>
    </w:p>
    <w:p w14:paraId="672811A4" w14:textId="77777777" w:rsidR="009E466F" w:rsidRPr="00A82E3D" w:rsidRDefault="009E466F" w:rsidP="009E466F">
      <w:pPr>
        <w:spacing w:line="240" w:lineRule="exact"/>
        <w:jc w:val="both"/>
        <w:rPr>
          <w:rFonts w:ascii="Tahoma" w:hAnsi="Tahoma" w:cs="Tahoma"/>
        </w:rPr>
      </w:pPr>
      <w:r w:rsidRPr="00A82E3D">
        <w:rPr>
          <w:rFonts w:ascii="Tahoma" w:hAnsi="Tahoma" w:cs="Tahoma"/>
        </w:rPr>
        <w:t>7.1. As cotas do FUNDO correspondem a frações ideais do seu patrimônio e são nominativas e escriturais.</w:t>
      </w:r>
    </w:p>
    <w:p w14:paraId="07399BEB" w14:textId="77777777" w:rsidR="009E466F" w:rsidRPr="00A82E3D" w:rsidRDefault="009E466F" w:rsidP="009E466F">
      <w:pPr>
        <w:spacing w:line="240" w:lineRule="exact"/>
        <w:jc w:val="both"/>
        <w:rPr>
          <w:rFonts w:ascii="Tahoma" w:hAnsi="Tahoma" w:cs="Tahoma"/>
        </w:rPr>
      </w:pPr>
      <w:r w:rsidRPr="00A82E3D">
        <w:rPr>
          <w:rFonts w:ascii="Tahoma" w:hAnsi="Tahoma" w:cs="Tahoma"/>
        </w:rPr>
        <w:t>7.1.1. As cotas do FUNDO terão seu valor calculado a cada dia útil, com base em avaliação patrimonial que considere os critérios de avaliação previstos na regulamentação em vigor.</w:t>
      </w:r>
    </w:p>
    <w:p w14:paraId="481F49F5" w14:textId="77777777" w:rsidR="009E466F" w:rsidRPr="00A82E3D" w:rsidRDefault="009E466F" w:rsidP="009E466F">
      <w:pPr>
        <w:spacing w:line="240" w:lineRule="exact"/>
        <w:jc w:val="both"/>
        <w:rPr>
          <w:rFonts w:ascii="Tahoma" w:hAnsi="Tahoma" w:cs="Tahoma"/>
        </w:rPr>
      </w:pPr>
      <w:r w:rsidRPr="00A82E3D">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A82E3D">
        <w:rPr>
          <w:rStyle w:val="Refdenotaderodap"/>
          <w:rFonts w:ascii="Tahoma" w:hAnsi="Tahoma" w:cs="Tahoma"/>
        </w:rPr>
        <w:t xml:space="preserve"> </w:t>
      </w:r>
    </w:p>
    <w:p w14:paraId="73650FB2" w14:textId="77777777" w:rsidR="009E466F" w:rsidRPr="00A82E3D" w:rsidRDefault="009E466F" w:rsidP="009E466F">
      <w:pPr>
        <w:spacing w:line="240" w:lineRule="exact"/>
        <w:jc w:val="both"/>
        <w:rPr>
          <w:rFonts w:ascii="Tahoma" w:hAnsi="Tahoma" w:cs="Tahoma"/>
        </w:rPr>
      </w:pPr>
      <w:r w:rsidRPr="00A82E3D">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A82E3D">
        <w:rPr>
          <w:rStyle w:val="Refdenotaderodap"/>
          <w:rFonts w:ascii="Tahoma" w:hAnsi="Tahoma" w:cs="Tahoma"/>
        </w:rPr>
        <w:t xml:space="preserve"> </w:t>
      </w:r>
    </w:p>
    <w:p w14:paraId="07181BC0" w14:textId="77777777" w:rsidR="009E466F" w:rsidRPr="00A82E3D" w:rsidRDefault="009E466F" w:rsidP="009E466F">
      <w:pPr>
        <w:spacing w:line="240" w:lineRule="exact"/>
        <w:jc w:val="both"/>
        <w:rPr>
          <w:rFonts w:ascii="Tahoma" w:hAnsi="Tahoma" w:cs="Tahoma"/>
        </w:rPr>
      </w:pPr>
      <w:r w:rsidRPr="00A82E3D">
        <w:rPr>
          <w:rFonts w:ascii="Tahoma" w:hAnsi="Tahoma" w:cs="Tahoma"/>
        </w:rPr>
        <w:t>7.3.1. Considerando a atuação do dos fundos de investimento em que o FUNDO aplica em mercados no exterior, o encerramento do dia poderá ser considerado como o horário de fechamento dos respectivos mercados nos quais os fundos de investimento em que o FUNDO aplica atuem.</w:t>
      </w:r>
    </w:p>
    <w:p w14:paraId="42ED406F" w14:textId="77777777" w:rsidR="009E466F" w:rsidRPr="00A82E3D" w:rsidRDefault="009E466F" w:rsidP="009E466F">
      <w:pPr>
        <w:spacing w:line="240" w:lineRule="exact"/>
        <w:jc w:val="both"/>
        <w:rPr>
          <w:rFonts w:ascii="Tahoma" w:hAnsi="Tahoma" w:cs="Tahoma"/>
        </w:rPr>
      </w:pPr>
      <w:r w:rsidRPr="00A82E3D">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22CDB832" w14:textId="77777777" w:rsidR="009E466F" w:rsidRPr="00A82E3D" w:rsidRDefault="009E466F" w:rsidP="009E466F">
      <w:pPr>
        <w:spacing w:line="240" w:lineRule="exact"/>
        <w:jc w:val="both"/>
        <w:rPr>
          <w:rFonts w:ascii="Tahoma" w:hAnsi="Tahoma" w:cs="Tahoma"/>
        </w:rPr>
      </w:pPr>
      <w:r w:rsidRPr="00A82E3D">
        <w:rPr>
          <w:rFonts w:ascii="Tahoma" w:hAnsi="Tahoma" w:cs="Tahoma"/>
        </w:rPr>
        <w:t>7.5. A qualidade dos Cotistas caracteriza-se pela inscrição do nome do titular no registro de Cotistas do FUNDO.</w:t>
      </w:r>
    </w:p>
    <w:p w14:paraId="49200FC9" w14:textId="77777777" w:rsidR="009E466F" w:rsidRPr="00A82E3D" w:rsidRDefault="009E466F" w:rsidP="009E466F">
      <w:pPr>
        <w:spacing w:line="240" w:lineRule="exact"/>
        <w:jc w:val="both"/>
        <w:rPr>
          <w:rFonts w:ascii="Tahoma" w:hAnsi="Tahoma" w:cs="Tahoma"/>
        </w:rPr>
      </w:pPr>
      <w:r w:rsidRPr="00A82E3D">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6E0A5FA5" w14:textId="77777777" w:rsidR="009E466F" w:rsidRPr="00A82E3D" w:rsidRDefault="009E466F" w:rsidP="009E466F">
      <w:pPr>
        <w:spacing w:line="240" w:lineRule="exact"/>
        <w:jc w:val="both"/>
        <w:rPr>
          <w:rFonts w:ascii="Tahoma" w:hAnsi="Tahoma" w:cs="Tahoma"/>
        </w:rPr>
      </w:pPr>
      <w:r w:rsidRPr="00A82E3D">
        <w:rPr>
          <w:rFonts w:ascii="Tahoma" w:hAnsi="Tahoma" w:cs="Tahoma"/>
        </w:rPr>
        <w:t>7.6. A adesão dos Cotistas aos termos deste Regulamento dar-se-á pela assinatura do Termo de Adesão e Ciência de Risco ou mediante manifestação de aceite por meio eletrônico, através do qual atestam que (i) conhecem, entendem e aceitam os riscos descritos neste Regulamento, aos quais os investimentos do FUNDO estão expostos em razão dos mercados de sua atuação, bem como que (ii) tiveram acesso aos seguintes documentos atualizados: (a) Regulamento; (b) Formulário; e (c) Lâmina.</w:t>
      </w:r>
    </w:p>
    <w:p w14:paraId="1F041DAD"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7BF33C80"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3D6505B8"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7.7.1 A integralização e o resgate das cotas do FUNDO serão realizados em moeda corrente nacional. </w:t>
      </w:r>
    </w:p>
    <w:p w14:paraId="67992A33" w14:textId="77777777" w:rsidR="009E466F" w:rsidRPr="00A82E3D" w:rsidRDefault="009E466F" w:rsidP="009E466F">
      <w:pPr>
        <w:spacing w:line="240" w:lineRule="exact"/>
        <w:jc w:val="both"/>
        <w:rPr>
          <w:rFonts w:ascii="Tahoma" w:hAnsi="Tahoma" w:cs="Tahoma"/>
        </w:rPr>
      </w:pPr>
      <w:r w:rsidRPr="00A82E3D">
        <w:rPr>
          <w:rFonts w:ascii="Tahoma" w:hAnsi="Tahoma" w:cs="Tahoma"/>
        </w:rPr>
        <w:t>7.8. O ADMINISTRADOR poderá suspender, a qualquer momento, novas aplicações no FUNDO, aplicando-se tal suspensão tanto aos novos investidores como aos Cotistas atuais do FUNDO.</w:t>
      </w:r>
    </w:p>
    <w:p w14:paraId="79F4D5DE" w14:textId="77777777" w:rsidR="009E466F" w:rsidRPr="00A82E3D" w:rsidRDefault="009E466F" w:rsidP="009E466F">
      <w:pPr>
        <w:spacing w:line="240" w:lineRule="exact"/>
        <w:jc w:val="both"/>
        <w:rPr>
          <w:rFonts w:ascii="Tahoma" w:hAnsi="Tahoma" w:cs="Tahoma"/>
        </w:rPr>
      </w:pPr>
      <w:r w:rsidRPr="00A82E3D">
        <w:rPr>
          <w:rFonts w:ascii="Tahoma" w:hAnsi="Tahoma" w:cs="Tahoma"/>
        </w:rPr>
        <w:t>7.8.1 A suspensão do recebimento de novas aplicações em um dia não impede a reabertura posterior do FUNDO para aplicações.</w:t>
      </w:r>
    </w:p>
    <w:p w14:paraId="40BDA2B4" w14:textId="77777777" w:rsidR="009E466F" w:rsidRPr="00A82E3D" w:rsidRDefault="009E466F" w:rsidP="009E466F">
      <w:pPr>
        <w:spacing w:line="240" w:lineRule="exact"/>
        <w:jc w:val="both"/>
        <w:rPr>
          <w:rFonts w:ascii="Tahoma" w:hAnsi="Tahoma" w:cs="Tahoma"/>
        </w:rPr>
      </w:pPr>
      <w:r w:rsidRPr="00A82E3D">
        <w:rPr>
          <w:rFonts w:ascii="Tahoma" w:hAnsi="Tahoma" w:cs="Tahoma"/>
        </w:rPr>
        <w:t>7.9. Na emissão e no resgate de cotas do FUNDO deverá ser observado o disposto no quadro abaixo:</w:t>
      </w:r>
    </w:p>
    <w:p w14:paraId="4617B360" w14:textId="77777777" w:rsidR="009E466F" w:rsidRPr="00A82E3D" w:rsidRDefault="009E466F" w:rsidP="009E466F">
      <w:pPr>
        <w:spacing w:line="240" w:lineRule="exact"/>
        <w:jc w:val="both"/>
        <w:rPr>
          <w:rFonts w:ascii="Tahoma" w:hAnsi="Tahoma" w:cs="Tahoma"/>
        </w:rPr>
      </w:pP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4"/>
        <w:gridCol w:w="3456"/>
        <w:gridCol w:w="3883"/>
      </w:tblGrid>
      <w:tr w:rsidR="009E466F" w:rsidRPr="00A82E3D" w14:paraId="0E5A16F5" w14:textId="77777777" w:rsidTr="00552F3E">
        <w:trPr>
          <w:trHeight w:val="434"/>
          <w:jc w:val="center"/>
        </w:trPr>
        <w:tc>
          <w:tcPr>
            <w:tcW w:w="2404" w:type="dxa"/>
            <w:vMerge w:val="restart"/>
            <w:vAlign w:val="center"/>
          </w:tcPr>
          <w:p w14:paraId="16493781" w14:textId="77777777" w:rsidR="009E466F" w:rsidRPr="00A82E3D" w:rsidRDefault="009E466F" w:rsidP="00552F3E">
            <w:pPr>
              <w:spacing w:line="240" w:lineRule="exact"/>
              <w:jc w:val="center"/>
              <w:rPr>
                <w:rFonts w:ascii="Tahoma" w:hAnsi="Tahoma" w:cs="Tahoma"/>
              </w:rPr>
            </w:pPr>
          </w:p>
          <w:p w14:paraId="11E30A3C" w14:textId="77777777" w:rsidR="009E466F" w:rsidRPr="00A82E3D" w:rsidRDefault="009E466F" w:rsidP="00552F3E">
            <w:pPr>
              <w:spacing w:line="240" w:lineRule="exact"/>
              <w:jc w:val="center"/>
              <w:rPr>
                <w:rFonts w:ascii="Tahoma" w:hAnsi="Tahoma" w:cs="Tahoma"/>
              </w:rPr>
            </w:pPr>
            <w:r w:rsidRPr="00A82E3D">
              <w:rPr>
                <w:rFonts w:ascii="Tahoma" w:hAnsi="Tahoma" w:cs="Tahoma"/>
              </w:rPr>
              <w:t>Aplicação</w:t>
            </w:r>
          </w:p>
        </w:tc>
        <w:tc>
          <w:tcPr>
            <w:tcW w:w="3456" w:type="dxa"/>
            <w:shd w:val="clear" w:color="auto" w:fill="606060"/>
            <w:vAlign w:val="center"/>
          </w:tcPr>
          <w:p w14:paraId="4E0C6661" w14:textId="77777777" w:rsidR="009E466F" w:rsidRPr="00A82E3D" w:rsidRDefault="009E466F" w:rsidP="00552F3E">
            <w:pPr>
              <w:spacing w:line="240" w:lineRule="exact"/>
              <w:jc w:val="center"/>
              <w:rPr>
                <w:rFonts w:ascii="Tahoma" w:hAnsi="Tahoma" w:cs="Tahoma"/>
                <w:b/>
                <w:color w:val="FFFFFF"/>
              </w:rPr>
            </w:pPr>
            <w:r w:rsidRPr="00A82E3D">
              <w:rPr>
                <w:rFonts w:ascii="Tahoma" w:hAnsi="Tahoma" w:cs="Tahoma"/>
                <w:b/>
                <w:color w:val="FFFFFF"/>
              </w:rPr>
              <w:t>Disponibilidade dos Recursos</w:t>
            </w:r>
          </w:p>
        </w:tc>
        <w:tc>
          <w:tcPr>
            <w:tcW w:w="3883" w:type="dxa"/>
            <w:shd w:val="clear" w:color="auto" w:fill="606060"/>
            <w:vAlign w:val="center"/>
          </w:tcPr>
          <w:p w14:paraId="4CC0751F" w14:textId="77777777" w:rsidR="009E466F" w:rsidRPr="00A82E3D" w:rsidRDefault="009E466F" w:rsidP="00552F3E">
            <w:pPr>
              <w:spacing w:line="240" w:lineRule="exact"/>
              <w:jc w:val="center"/>
              <w:rPr>
                <w:rFonts w:ascii="Tahoma" w:hAnsi="Tahoma" w:cs="Tahoma"/>
                <w:b/>
                <w:color w:val="FFFFFF"/>
              </w:rPr>
            </w:pPr>
            <w:r w:rsidRPr="00A82E3D">
              <w:rPr>
                <w:rFonts w:ascii="Tahoma" w:hAnsi="Tahoma" w:cs="Tahoma"/>
                <w:b/>
                <w:color w:val="FFFFFF"/>
              </w:rPr>
              <w:t>Cota de conversão</w:t>
            </w:r>
          </w:p>
        </w:tc>
      </w:tr>
      <w:tr w:rsidR="009E466F" w:rsidRPr="00A82E3D" w14:paraId="1BED19F9" w14:textId="77777777" w:rsidTr="00552F3E">
        <w:trPr>
          <w:trHeight w:val="501"/>
          <w:jc w:val="center"/>
        </w:trPr>
        <w:tc>
          <w:tcPr>
            <w:tcW w:w="2404" w:type="dxa"/>
            <w:vMerge/>
            <w:vAlign w:val="center"/>
          </w:tcPr>
          <w:p w14:paraId="312F6FAD" w14:textId="77777777" w:rsidR="009E466F" w:rsidRPr="00A82E3D" w:rsidRDefault="009E466F" w:rsidP="00552F3E">
            <w:pPr>
              <w:spacing w:line="240" w:lineRule="exact"/>
              <w:jc w:val="center"/>
              <w:rPr>
                <w:rFonts w:ascii="Tahoma" w:hAnsi="Tahoma" w:cs="Tahoma"/>
              </w:rPr>
            </w:pPr>
          </w:p>
        </w:tc>
        <w:tc>
          <w:tcPr>
            <w:tcW w:w="3456" w:type="dxa"/>
            <w:vAlign w:val="center"/>
          </w:tcPr>
          <w:p w14:paraId="03DBFBF2" w14:textId="77777777" w:rsidR="009E466F" w:rsidRPr="00A82E3D" w:rsidRDefault="009E466F" w:rsidP="00552F3E">
            <w:pPr>
              <w:spacing w:line="240" w:lineRule="exact"/>
              <w:jc w:val="center"/>
              <w:rPr>
                <w:rFonts w:ascii="Tahoma" w:hAnsi="Tahoma" w:cs="Tahoma"/>
              </w:rPr>
            </w:pPr>
            <w:r w:rsidRPr="00A82E3D">
              <w:rPr>
                <w:rFonts w:ascii="Tahoma" w:hAnsi="Tahoma" w:cs="Tahoma"/>
              </w:rPr>
              <w:t>D+0</w:t>
            </w:r>
          </w:p>
          <w:p w14:paraId="295D19F4" w14:textId="77777777" w:rsidR="009E466F" w:rsidRPr="00A82E3D" w:rsidRDefault="009E466F" w:rsidP="00552F3E">
            <w:pPr>
              <w:spacing w:line="240" w:lineRule="exact"/>
              <w:jc w:val="center"/>
              <w:rPr>
                <w:rFonts w:ascii="Tahoma" w:hAnsi="Tahoma" w:cs="Tahoma"/>
              </w:rPr>
            </w:pPr>
            <w:r w:rsidRPr="00A82E3D">
              <w:rPr>
                <w:rFonts w:ascii="Tahoma" w:hAnsi="Tahoma" w:cs="Tahoma"/>
              </w:rPr>
              <w:t>No dia da solicitação</w:t>
            </w:r>
          </w:p>
        </w:tc>
        <w:tc>
          <w:tcPr>
            <w:tcW w:w="3883" w:type="dxa"/>
            <w:vAlign w:val="center"/>
          </w:tcPr>
          <w:p w14:paraId="73B97177" w14:textId="77777777" w:rsidR="009E466F" w:rsidRPr="00A82E3D" w:rsidRDefault="009E466F" w:rsidP="00552F3E">
            <w:pPr>
              <w:spacing w:line="240" w:lineRule="exact"/>
              <w:jc w:val="center"/>
              <w:rPr>
                <w:rFonts w:ascii="Tahoma" w:hAnsi="Tahoma" w:cs="Tahoma"/>
              </w:rPr>
            </w:pPr>
            <w:r w:rsidRPr="00A82E3D">
              <w:rPr>
                <w:rFonts w:ascii="Tahoma" w:hAnsi="Tahoma" w:cs="Tahoma"/>
              </w:rPr>
              <w:t xml:space="preserve">D+1 </w:t>
            </w:r>
          </w:p>
          <w:p w14:paraId="2C42DB8A" w14:textId="77777777" w:rsidR="009E466F" w:rsidRPr="00A82E3D" w:rsidRDefault="009E466F" w:rsidP="00552F3E">
            <w:pPr>
              <w:spacing w:line="240" w:lineRule="exact"/>
              <w:jc w:val="center"/>
              <w:rPr>
                <w:rFonts w:ascii="Tahoma" w:hAnsi="Tahoma" w:cs="Tahoma"/>
              </w:rPr>
            </w:pPr>
            <w:r w:rsidRPr="00A82E3D">
              <w:rPr>
                <w:rFonts w:ascii="Tahoma" w:hAnsi="Tahoma" w:cs="Tahoma"/>
              </w:rPr>
              <w:t xml:space="preserve">No 1º dia útil seguinte ao da solicitação </w:t>
            </w:r>
          </w:p>
        </w:tc>
      </w:tr>
      <w:tr w:rsidR="009E466F" w:rsidRPr="00A82E3D" w14:paraId="6937F3AC" w14:textId="77777777" w:rsidTr="00552F3E">
        <w:trPr>
          <w:trHeight w:val="379"/>
          <w:jc w:val="center"/>
        </w:trPr>
        <w:tc>
          <w:tcPr>
            <w:tcW w:w="2404" w:type="dxa"/>
            <w:vMerge w:val="restart"/>
            <w:vAlign w:val="center"/>
          </w:tcPr>
          <w:p w14:paraId="720A1AF4" w14:textId="77777777" w:rsidR="009E466F" w:rsidRPr="00A82E3D" w:rsidRDefault="009E466F" w:rsidP="00552F3E">
            <w:pPr>
              <w:spacing w:line="240" w:lineRule="exact"/>
              <w:jc w:val="center"/>
              <w:rPr>
                <w:rFonts w:ascii="Tahoma" w:hAnsi="Tahoma" w:cs="Tahoma"/>
              </w:rPr>
            </w:pPr>
          </w:p>
          <w:p w14:paraId="08B8F702" w14:textId="77777777" w:rsidR="009E466F" w:rsidRPr="00A82E3D" w:rsidRDefault="009E466F" w:rsidP="00552F3E">
            <w:pPr>
              <w:spacing w:line="240" w:lineRule="exact"/>
              <w:jc w:val="center"/>
              <w:rPr>
                <w:rFonts w:ascii="Tahoma" w:hAnsi="Tahoma" w:cs="Tahoma"/>
              </w:rPr>
            </w:pPr>
            <w:r w:rsidRPr="00A82E3D">
              <w:rPr>
                <w:rFonts w:ascii="Tahoma" w:hAnsi="Tahoma" w:cs="Tahoma"/>
              </w:rPr>
              <w:t>Resgate</w:t>
            </w:r>
          </w:p>
        </w:tc>
        <w:tc>
          <w:tcPr>
            <w:tcW w:w="3456" w:type="dxa"/>
            <w:shd w:val="clear" w:color="auto" w:fill="606060"/>
            <w:vAlign w:val="center"/>
          </w:tcPr>
          <w:p w14:paraId="3AE8BEA6" w14:textId="77777777" w:rsidR="009E466F" w:rsidRPr="00A82E3D" w:rsidRDefault="009E466F" w:rsidP="00552F3E">
            <w:pPr>
              <w:spacing w:line="240" w:lineRule="exact"/>
              <w:jc w:val="center"/>
              <w:rPr>
                <w:rFonts w:ascii="Tahoma" w:hAnsi="Tahoma" w:cs="Tahoma"/>
                <w:b/>
                <w:color w:val="FFFFFF"/>
              </w:rPr>
            </w:pPr>
            <w:r w:rsidRPr="00A82E3D">
              <w:rPr>
                <w:rFonts w:ascii="Tahoma" w:hAnsi="Tahoma" w:cs="Tahoma"/>
                <w:b/>
                <w:color w:val="FFFFFF"/>
              </w:rPr>
              <w:t>Cota de Conversão</w:t>
            </w:r>
          </w:p>
        </w:tc>
        <w:tc>
          <w:tcPr>
            <w:tcW w:w="3883" w:type="dxa"/>
            <w:shd w:val="clear" w:color="auto" w:fill="606060"/>
            <w:vAlign w:val="center"/>
          </w:tcPr>
          <w:p w14:paraId="0DE6C59E" w14:textId="77777777" w:rsidR="009E466F" w:rsidRPr="00A82E3D" w:rsidRDefault="009E466F" w:rsidP="00552F3E">
            <w:pPr>
              <w:spacing w:line="240" w:lineRule="exact"/>
              <w:jc w:val="center"/>
              <w:rPr>
                <w:rFonts w:ascii="Tahoma" w:hAnsi="Tahoma" w:cs="Tahoma"/>
                <w:b/>
                <w:color w:val="FFFFFF"/>
              </w:rPr>
            </w:pPr>
            <w:r w:rsidRPr="00A82E3D">
              <w:rPr>
                <w:rFonts w:ascii="Tahoma" w:hAnsi="Tahoma" w:cs="Tahoma"/>
                <w:b/>
                <w:color w:val="FFFFFF"/>
              </w:rPr>
              <w:t>Pagamento / Crédito em Conta</w:t>
            </w:r>
          </w:p>
        </w:tc>
      </w:tr>
      <w:tr w:rsidR="009E466F" w:rsidRPr="00A82E3D" w14:paraId="1A21AAD5" w14:textId="77777777" w:rsidTr="00552F3E">
        <w:trPr>
          <w:trHeight w:val="651"/>
          <w:jc w:val="center"/>
        </w:trPr>
        <w:tc>
          <w:tcPr>
            <w:tcW w:w="2404" w:type="dxa"/>
            <w:vMerge/>
            <w:vAlign w:val="center"/>
          </w:tcPr>
          <w:p w14:paraId="228BECF2" w14:textId="77777777" w:rsidR="009E466F" w:rsidRPr="00A82E3D" w:rsidRDefault="009E466F" w:rsidP="00552F3E">
            <w:pPr>
              <w:spacing w:line="240" w:lineRule="exact"/>
              <w:jc w:val="center"/>
              <w:rPr>
                <w:rFonts w:ascii="Tahoma" w:hAnsi="Tahoma" w:cs="Tahoma"/>
              </w:rPr>
            </w:pPr>
          </w:p>
        </w:tc>
        <w:tc>
          <w:tcPr>
            <w:tcW w:w="3456" w:type="dxa"/>
            <w:vAlign w:val="center"/>
          </w:tcPr>
          <w:p w14:paraId="6D0DC31F" w14:textId="77777777" w:rsidR="009E466F" w:rsidRPr="00A82E3D" w:rsidRDefault="009E466F" w:rsidP="00552F3E">
            <w:pPr>
              <w:spacing w:line="240" w:lineRule="exact"/>
              <w:jc w:val="center"/>
              <w:rPr>
                <w:rFonts w:ascii="Tahoma" w:hAnsi="Tahoma" w:cs="Tahoma"/>
              </w:rPr>
            </w:pPr>
            <w:r w:rsidRPr="00A82E3D">
              <w:rPr>
                <w:rFonts w:ascii="Tahoma" w:hAnsi="Tahoma" w:cs="Tahoma"/>
              </w:rPr>
              <w:t xml:space="preserve">D+1 </w:t>
            </w:r>
          </w:p>
          <w:p w14:paraId="440379D7" w14:textId="77777777" w:rsidR="009E466F" w:rsidRPr="00A82E3D" w:rsidRDefault="009E466F" w:rsidP="00552F3E">
            <w:pPr>
              <w:spacing w:line="240" w:lineRule="exact"/>
              <w:jc w:val="center"/>
              <w:rPr>
                <w:rFonts w:ascii="Tahoma" w:hAnsi="Tahoma" w:cs="Tahoma"/>
              </w:rPr>
            </w:pPr>
            <w:r w:rsidRPr="00A82E3D">
              <w:rPr>
                <w:rFonts w:ascii="Tahoma" w:hAnsi="Tahoma" w:cs="Tahoma"/>
              </w:rPr>
              <w:t>No 1º dia útil seguinte ao da solicitação</w:t>
            </w:r>
          </w:p>
        </w:tc>
        <w:tc>
          <w:tcPr>
            <w:tcW w:w="3883" w:type="dxa"/>
            <w:vAlign w:val="center"/>
          </w:tcPr>
          <w:p w14:paraId="5466176E" w14:textId="77777777" w:rsidR="009E466F" w:rsidRPr="00A82E3D" w:rsidRDefault="009E466F" w:rsidP="00552F3E">
            <w:pPr>
              <w:spacing w:line="240" w:lineRule="exact"/>
              <w:jc w:val="center"/>
              <w:rPr>
                <w:rFonts w:ascii="Tahoma" w:hAnsi="Tahoma" w:cs="Tahoma"/>
              </w:rPr>
            </w:pPr>
            <w:r w:rsidRPr="00A82E3D">
              <w:rPr>
                <w:rFonts w:ascii="Tahoma" w:hAnsi="Tahoma" w:cs="Tahoma"/>
              </w:rPr>
              <w:t xml:space="preserve">D+3 </w:t>
            </w:r>
          </w:p>
          <w:p w14:paraId="6B9DA722" w14:textId="77777777" w:rsidR="009E466F" w:rsidRPr="00A82E3D" w:rsidRDefault="009E466F" w:rsidP="00552F3E">
            <w:pPr>
              <w:spacing w:line="240" w:lineRule="exact"/>
              <w:jc w:val="center"/>
              <w:rPr>
                <w:rFonts w:ascii="Tahoma" w:hAnsi="Tahoma" w:cs="Tahoma"/>
              </w:rPr>
            </w:pPr>
            <w:r w:rsidRPr="00A82E3D">
              <w:rPr>
                <w:rFonts w:ascii="Tahoma" w:hAnsi="Tahoma" w:cs="Tahoma"/>
              </w:rPr>
              <w:t>No 2º dia útil seguinte ao da conversão de cotas</w:t>
            </w:r>
            <w:r w:rsidRPr="00A82E3D" w:rsidDel="00805EAE">
              <w:rPr>
                <w:rFonts w:ascii="Tahoma" w:hAnsi="Tahoma" w:cs="Tahoma"/>
              </w:rPr>
              <w:t xml:space="preserve"> </w:t>
            </w:r>
          </w:p>
        </w:tc>
      </w:tr>
    </w:tbl>
    <w:p w14:paraId="18A35B03" w14:textId="77777777" w:rsidR="009E466F" w:rsidRPr="00A82E3D" w:rsidRDefault="009E466F" w:rsidP="009E466F">
      <w:pPr>
        <w:spacing w:line="240" w:lineRule="exact"/>
        <w:jc w:val="both"/>
        <w:rPr>
          <w:rFonts w:ascii="Tahoma" w:hAnsi="Tahoma" w:cs="Tahoma"/>
        </w:rPr>
      </w:pPr>
    </w:p>
    <w:p w14:paraId="4DE74D51" w14:textId="77777777" w:rsidR="009E466F" w:rsidRPr="00A82E3D" w:rsidRDefault="009E466F" w:rsidP="009E466F">
      <w:pPr>
        <w:spacing w:line="240" w:lineRule="exact"/>
        <w:jc w:val="both"/>
        <w:rPr>
          <w:rFonts w:ascii="Tahoma" w:hAnsi="Tahoma" w:cs="Tahoma"/>
        </w:rPr>
      </w:pPr>
      <w:r w:rsidRPr="00A82E3D">
        <w:rPr>
          <w:rFonts w:ascii="Tahoma" w:hAnsi="Tahoma" w:cs="Tahoma"/>
        </w:rPr>
        <w:t>7.10.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 conforme consta no Formulário, sob pena de serem considerados como efetuados na próxima data disponível para solicitação de aplicação e/ou resgate.</w:t>
      </w:r>
    </w:p>
    <w:p w14:paraId="3D8E045A" w14:textId="77777777" w:rsidR="009E466F" w:rsidRPr="00A82E3D" w:rsidRDefault="009E466F" w:rsidP="009E466F">
      <w:pPr>
        <w:spacing w:line="240" w:lineRule="exact"/>
        <w:jc w:val="both"/>
        <w:rPr>
          <w:rFonts w:ascii="Tahoma" w:hAnsi="Tahoma" w:cs="Tahoma"/>
          <w:color w:val="000000"/>
        </w:rPr>
      </w:pPr>
      <w:r w:rsidRPr="00A82E3D">
        <w:rPr>
          <w:rFonts w:ascii="Tahoma" w:hAnsi="Tahoma" w:cs="Tahoma"/>
        </w:rPr>
        <w:t>7.11. Não há prazo de carência para resgate de cotas do FUNDO, podendo as cotas do FUNDO ser resgatadas com rendimento a qualquer momento.</w:t>
      </w:r>
    </w:p>
    <w:p w14:paraId="0C49C811" w14:textId="77777777" w:rsidR="009E466F" w:rsidRPr="00A82E3D" w:rsidRDefault="009E466F" w:rsidP="009E466F">
      <w:pPr>
        <w:spacing w:line="240" w:lineRule="exact"/>
        <w:jc w:val="both"/>
        <w:rPr>
          <w:rFonts w:ascii="Tahoma" w:hAnsi="Tahoma" w:cs="Tahoma"/>
        </w:rPr>
      </w:pPr>
      <w:r w:rsidRPr="00A82E3D">
        <w:rPr>
          <w:rFonts w:ascii="Tahoma" w:hAnsi="Tahoma" w:cs="Tahoma"/>
        </w:rPr>
        <w:t>7.12. Todo e qualquer feriado de âmbito estadual ou municipal na praça em que o ADMINISTRADOR estiver sediado, bem como o dia em que não houver expediente bancário, será considerado dia útil, para fins de aplicação e resgate de cotas.</w:t>
      </w:r>
    </w:p>
    <w:p w14:paraId="058CDFB7" w14:textId="77777777" w:rsidR="009E466F" w:rsidRPr="00A82E3D" w:rsidRDefault="009E466F" w:rsidP="009E466F">
      <w:pPr>
        <w:spacing w:line="240" w:lineRule="exact"/>
        <w:jc w:val="both"/>
        <w:rPr>
          <w:rFonts w:ascii="Tahoma" w:hAnsi="Tahoma" w:cs="Tahoma"/>
        </w:rPr>
      </w:pPr>
    </w:p>
    <w:p w14:paraId="086F110D"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CLÁUSULA OITAVA – DA DISTRIBUIÇÃO DE RESULTADOS</w:t>
      </w:r>
    </w:p>
    <w:p w14:paraId="27EDE196" w14:textId="77777777" w:rsidR="009E466F" w:rsidRPr="00A82E3D" w:rsidRDefault="009E466F" w:rsidP="009E466F">
      <w:pPr>
        <w:spacing w:line="240" w:lineRule="exact"/>
        <w:jc w:val="both"/>
        <w:rPr>
          <w:rFonts w:ascii="Tahoma" w:hAnsi="Tahoma" w:cs="Tahoma"/>
        </w:rPr>
      </w:pPr>
      <w:r w:rsidRPr="00A82E3D">
        <w:rPr>
          <w:rFonts w:ascii="Tahoma" w:hAnsi="Tahoma" w:cs="Tahoma"/>
        </w:rPr>
        <w:t>8.1. Os resultados oriundos dos Ativos Financeiros</w:t>
      </w:r>
      <w:r w:rsidRPr="00A82E3D" w:rsidDel="00FA248C">
        <w:rPr>
          <w:rFonts w:ascii="Tahoma" w:hAnsi="Tahoma" w:cs="Tahoma"/>
        </w:rPr>
        <w:t xml:space="preserve"> </w:t>
      </w:r>
      <w:r w:rsidRPr="00A82E3D">
        <w:rPr>
          <w:rFonts w:ascii="Tahoma" w:hAnsi="Tahoma" w:cs="Tahoma"/>
        </w:rPr>
        <w:t>integrantes da Carteira do FUNDO serão incorporados ao seu patrimônio.</w:t>
      </w:r>
    </w:p>
    <w:p w14:paraId="6BF4045E" w14:textId="77777777" w:rsidR="009E466F" w:rsidRPr="00A82E3D" w:rsidRDefault="009E466F" w:rsidP="009E466F">
      <w:pPr>
        <w:spacing w:line="240" w:lineRule="exact"/>
        <w:jc w:val="both"/>
        <w:rPr>
          <w:rFonts w:ascii="Tahoma" w:hAnsi="Tahoma" w:cs="Tahoma"/>
        </w:rPr>
      </w:pPr>
    </w:p>
    <w:p w14:paraId="0B5871ED"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CLÁUSULA NONA– DO EXERCÍCIO SOCIAL</w:t>
      </w:r>
    </w:p>
    <w:p w14:paraId="5B175A9A"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9.1. O exercício social do FUNDO terá início em 1º de abril de cada ano e término </w:t>
      </w:r>
      <w:r w:rsidRPr="00A82E3D">
        <w:rPr>
          <w:rFonts w:ascii="Tahoma" w:hAnsi="Tahoma" w:cs="Tahoma"/>
          <w:color w:val="000000"/>
        </w:rPr>
        <w:t xml:space="preserve">no último dia do mês de </w:t>
      </w:r>
      <w:r w:rsidRPr="00A82E3D">
        <w:rPr>
          <w:rFonts w:ascii="Tahoma" w:hAnsi="Tahoma" w:cs="Tahoma"/>
        </w:rPr>
        <w:t>março do ano subsequente.</w:t>
      </w:r>
    </w:p>
    <w:p w14:paraId="29FBA70E" w14:textId="77777777" w:rsidR="009E466F" w:rsidRPr="00A82E3D" w:rsidRDefault="009E466F" w:rsidP="009E466F">
      <w:pPr>
        <w:pBdr>
          <w:bottom w:val="single" w:sz="6" w:space="1" w:color="auto"/>
        </w:pBdr>
        <w:spacing w:line="240" w:lineRule="exact"/>
        <w:jc w:val="center"/>
        <w:rPr>
          <w:rFonts w:ascii="Tahoma" w:hAnsi="Tahoma" w:cs="Tahoma"/>
          <w:b/>
        </w:rPr>
      </w:pPr>
      <w:r w:rsidRPr="00A82E3D">
        <w:rPr>
          <w:rFonts w:ascii="Tahoma" w:hAnsi="Tahoma" w:cs="Tahoma"/>
          <w:b/>
        </w:rPr>
        <w:t>CLÁUSULA DÉCIMA – DAS DISPOSIÇÕES GERAIS</w:t>
      </w:r>
    </w:p>
    <w:p w14:paraId="36448726" w14:textId="6592DB7E" w:rsidR="009E466F" w:rsidRPr="00A82E3D" w:rsidRDefault="009E466F" w:rsidP="009E466F">
      <w:pPr>
        <w:spacing w:line="240" w:lineRule="exact"/>
        <w:jc w:val="both"/>
        <w:rPr>
          <w:rFonts w:ascii="Tahoma" w:hAnsi="Tahoma" w:cs="Tahoma"/>
          <w:iCs/>
        </w:rPr>
      </w:pPr>
      <w:r w:rsidRPr="00A82E3D">
        <w:rPr>
          <w:rFonts w:ascii="Tahoma" w:hAnsi="Tahoma" w:cs="Tahoma"/>
        </w:rPr>
        <w:t xml:space="preserve">10.1. </w:t>
      </w:r>
      <w:r w:rsidRPr="00A82E3D">
        <w:rPr>
          <w:rFonts w:ascii="Tahoma" w:hAnsi="Tahoma" w:cs="Tahoma"/>
          <w:iCs/>
        </w:rPr>
        <w:t xml:space="preserve">As informações gerais a respeito da assembleia geral de cotistas constam </w:t>
      </w:r>
      <w:r>
        <w:rPr>
          <w:rFonts w:ascii="Tahoma" w:hAnsi="Tahoma" w:cs="Tahoma"/>
          <w:iCs/>
        </w:rPr>
        <w:t xml:space="preserve">neste Regulamento e na </w:t>
      </w:r>
      <w:r w:rsidRPr="00A82E3D">
        <w:rPr>
          <w:rFonts w:ascii="Tahoma" w:hAnsi="Tahoma" w:cs="Tahoma"/>
          <w:iCs/>
        </w:rPr>
        <w:t xml:space="preserve"> 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w:t>
      </w:r>
      <w:r w:rsidR="005A03C7">
        <w:rPr>
          <w:rFonts w:ascii="Tahoma" w:hAnsi="Tahoma" w:cs="Tahoma"/>
          <w:iCs/>
        </w:rPr>
        <w:t>1</w:t>
      </w:r>
      <w:r w:rsidRPr="00A82E3D">
        <w:rPr>
          <w:rFonts w:ascii="Tahoma" w:hAnsi="Tahoma" w:cs="Tahoma"/>
          <w:iCs/>
        </w:rPr>
        <w:t xml:space="preserve">0 dias corridos a contar da data da emissão da consulta. </w:t>
      </w:r>
    </w:p>
    <w:p w14:paraId="7E018615" w14:textId="77777777" w:rsidR="009E466F" w:rsidRPr="00A82E3D" w:rsidRDefault="009E466F" w:rsidP="009E466F">
      <w:pPr>
        <w:spacing w:line="240" w:lineRule="exact"/>
        <w:jc w:val="both"/>
        <w:rPr>
          <w:rFonts w:ascii="Tahoma" w:hAnsi="Tahoma" w:cs="Tahoma"/>
        </w:rPr>
      </w:pPr>
      <w:r w:rsidRPr="00A82E3D">
        <w:rPr>
          <w:rFonts w:ascii="Tahoma" w:hAnsi="Tahoma" w:cs="Tahoma"/>
          <w:iCs/>
        </w:rPr>
        <w:t>10.1.1. A assembleia geral de Cotistas realizada mediante consulta formal poderá ser instalada com qualquer número de Cotistas, de modo que as deliberações serão tomadas por maioria de votos enviados ao ADMINISTRADOR, cabendo a cada cota 1 voto.</w:t>
      </w:r>
    </w:p>
    <w:p w14:paraId="1B81C632" w14:textId="77777777" w:rsidR="009E466F" w:rsidRPr="00A82E3D" w:rsidRDefault="009E466F" w:rsidP="009E466F">
      <w:pPr>
        <w:spacing w:line="240" w:lineRule="exact"/>
        <w:jc w:val="both"/>
        <w:rPr>
          <w:rFonts w:ascii="Tahoma" w:hAnsi="Tahoma" w:cs="Tahoma"/>
        </w:rPr>
      </w:pPr>
      <w:r w:rsidRPr="00A82E3D">
        <w:rPr>
          <w:rFonts w:ascii="Tahoma" w:hAnsi="Tahoma" w:cs="Tahoma"/>
        </w:rPr>
        <w:t>10.2. As informações ou documentos relacionados ao FUNDO serão comunicados, enviados, divulgados e/ou disponibilizados pelo ADMINISTRADOR aos Cotistas, ou por eles acessados, por meio físico ou por meio de canais eletrônicos, inclusive pela rede mundial de computadores.</w:t>
      </w:r>
    </w:p>
    <w:p w14:paraId="5C9D3BA9" w14:textId="77777777" w:rsidR="009E466F" w:rsidRPr="00A82E3D" w:rsidRDefault="009E466F" w:rsidP="009E466F">
      <w:pPr>
        <w:spacing w:line="240" w:lineRule="exact"/>
        <w:jc w:val="both"/>
        <w:rPr>
          <w:rFonts w:ascii="Tahoma" w:hAnsi="Tahoma" w:cs="Tahoma"/>
        </w:rPr>
      </w:pPr>
      <w:r w:rsidRPr="00A82E3D">
        <w:rPr>
          <w:rFonts w:ascii="Tahoma" w:hAnsi="Tahoma" w:cs="Tahoma"/>
        </w:rPr>
        <w:t>10.3.</w:t>
      </w:r>
      <w:r w:rsidRPr="00A82E3D">
        <w:rPr>
          <w:rFonts w:ascii="Tahoma" w:hAnsi="Tahoma" w:cs="Tahoma"/>
        </w:rPr>
        <w:tab/>
        <w:t>Admite-se, nas hipóteses em que este Regulamento exija a “ciência”, “atesto”, “manifestação de voto” ou “concordância” dos Cotistas, que estes se deem por meio eletrônico.</w:t>
      </w:r>
    </w:p>
    <w:p w14:paraId="1706B7E3" w14:textId="77777777" w:rsidR="009E466F" w:rsidRPr="00A82E3D" w:rsidRDefault="009E466F" w:rsidP="009E466F">
      <w:pPr>
        <w:spacing w:line="280" w:lineRule="atLeast"/>
        <w:jc w:val="both"/>
        <w:rPr>
          <w:rFonts w:ascii="Tahoma" w:hAnsi="Tahoma" w:cs="Tahoma"/>
        </w:rPr>
      </w:pPr>
      <w:r w:rsidRPr="00A82E3D">
        <w:rPr>
          <w:rFonts w:ascii="Tahoma" w:hAnsi="Tahoma" w:cs="Tahoma"/>
        </w:rPr>
        <w:t>10.4. O atendimento aos Cotistas para receber e encaminhar questões relacionadas ao Fundo será realizado por meio da Central de Atendimento do Santander, pelos seguintes meios:</w:t>
      </w:r>
    </w:p>
    <w:p w14:paraId="77C92BBF" w14:textId="77777777" w:rsidR="009E466F" w:rsidRPr="00A82E3D" w:rsidRDefault="009E466F" w:rsidP="00366E76">
      <w:pPr>
        <w:spacing w:after="0" w:line="240" w:lineRule="auto"/>
        <w:jc w:val="both"/>
        <w:rPr>
          <w:rFonts w:ascii="Tahoma" w:hAnsi="Tahoma" w:cs="Tahoma"/>
        </w:rPr>
      </w:pPr>
      <w:r w:rsidRPr="00A82E3D">
        <w:rPr>
          <w:rFonts w:ascii="Tahoma" w:hAnsi="Tahoma" w:cs="Tahoma"/>
        </w:rPr>
        <w:t>Capitais e Regiões Metropolitanas: 4004-3535</w:t>
      </w:r>
    </w:p>
    <w:p w14:paraId="7BA025A2" w14:textId="77777777" w:rsidR="009E466F" w:rsidRPr="00A82E3D" w:rsidRDefault="009E466F" w:rsidP="00366E76">
      <w:pPr>
        <w:spacing w:after="0" w:line="240" w:lineRule="auto"/>
        <w:jc w:val="both"/>
        <w:rPr>
          <w:rFonts w:ascii="Tahoma" w:hAnsi="Tahoma" w:cs="Tahoma"/>
        </w:rPr>
      </w:pPr>
      <w:r w:rsidRPr="00A82E3D">
        <w:rPr>
          <w:rFonts w:ascii="Tahoma" w:hAnsi="Tahoma" w:cs="Tahoma"/>
        </w:rPr>
        <w:t>Demais localidades: 0800-702-3535</w:t>
      </w:r>
    </w:p>
    <w:p w14:paraId="49D0C3BE" w14:textId="77777777" w:rsidR="009E466F" w:rsidRPr="00A82E3D" w:rsidRDefault="009E466F" w:rsidP="00366E76">
      <w:pPr>
        <w:spacing w:after="0" w:line="240" w:lineRule="auto"/>
        <w:jc w:val="both"/>
        <w:rPr>
          <w:rFonts w:ascii="Tahoma" w:hAnsi="Tahoma" w:cs="Tahoma"/>
        </w:rPr>
      </w:pPr>
      <w:r w:rsidRPr="00A82E3D">
        <w:rPr>
          <w:rFonts w:ascii="Tahoma" w:hAnsi="Tahoma" w:cs="Tahoma"/>
        </w:rPr>
        <w:t>Serviço de Apoio ao Consumidor – SAC: 0800-762-7777</w:t>
      </w:r>
    </w:p>
    <w:p w14:paraId="68F22EA8" w14:textId="77777777" w:rsidR="009E466F" w:rsidRPr="00A82E3D" w:rsidRDefault="009E466F" w:rsidP="00366E76">
      <w:pPr>
        <w:spacing w:after="0" w:line="240" w:lineRule="auto"/>
        <w:jc w:val="both"/>
        <w:rPr>
          <w:rFonts w:ascii="Tahoma" w:hAnsi="Tahoma" w:cs="Tahoma"/>
        </w:rPr>
      </w:pPr>
      <w:r w:rsidRPr="00A82E3D">
        <w:rPr>
          <w:rFonts w:ascii="Tahoma" w:hAnsi="Tahoma" w:cs="Tahoma"/>
        </w:rPr>
        <w:t>Ouvidoria: 0800-726-0322</w:t>
      </w:r>
    </w:p>
    <w:p w14:paraId="2DF4CCAE" w14:textId="77777777" w:rsidR="009E466F" w:rsidRPr="00A82E3D" w:rsidRDefault="009E466F" w:rsidP="009E466F">
      <w:pPr>
        <w:spacing w:line="240" w:lineRule="exact"/>
        <w:jc w:val="both"/>
        <w:rPr>
          <w:rFonts w:ascii="Tahoma" w:hAnsi="Tahoma" w:cs="Tahoma"/>
        </w:rPr>
      </w:pPr>
    </w:p>
    <w:p w14:paraId="235D0D66"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10.5. Os valores mínimos e máximos de investimento inicial, movimentação e manutenção encontram-se indicados no Formulário. </w:t>
      </w:r>
    </w:p>
    <w:p w14:paraId="43D7C1E5" w14:textId="77777777" w:rsidR="009E466F" w:rsidRPr="00A82E3D" w:rsidRDefault="009E466F" w:rsidP="009E466F">
      <w:pPr>
        <w:spacing w:line="240" w:lineRule="exact"/>
        <w:jc w:val="both"/>
        <w:rPr>
          <w:rFonts w:ascii="Tahoma" w:hAnsi="Tahoma" w:cs="Tahoma"/>
        </w:rPr>
      </w:pPr>
      <w:r w:rsidRPr="00A82E3D">
        <w:rPr>
          <w:rFonts w:ascii="Tahoma" w:hAnsi="Tahoma" w:cs="Tahoma"/>
        </w:rPr>
        <w:t xml:space="preserve">10.6. Para transmissão de ordens de aplicação e de resgate de cotas do FUNDO, os Cotistas utilizarão os meios disponibilizados pelo ADMINISTRADOR para tal finalidade. </w:t>
      </w:r>
    </w:p>
    <w:p w14:paraId="47363EBD" w14:textId="77777777" w:rsidR="009E466F" w:rsidRPr="00A82E3D" w:rsidRDefault="009E466F" w:rsidP="009E466F">
      <w:pPr>
        <w:spacing w:line="240" w:lineRule="exact"/>
        <w:jc w:val="both"/>
        <w:rPr>
          <w:rFonts w:ascii="Tahoma" w:hAnsi="Tahoma" w:cs="Tahoma"/>
        </w:rPr>
      </w:pPr>
      <w:r w:rsidRPr="00A82E3D">
        <w:rPr>
          <w:rFonts w:ascii="Tahoma" w:hAnsi="Tahoma" w:cs="Tahoma"/>
        </w:rPr>
        <w:t>10.7. O ADMINISTRADOR poderá gravar toda e qualquer ligação telefônica mantida entre o ADMINISTRADOR e os Cotistas, bem como, utilizar referidas gravações para efeito de prova das ordens transmitidas e das demais informações nelas contidas.</w:t>
      </w:r>
    </w:p>
    <w:p w14:paraId="0711BC9E" w14:textId="77777777" w:rsidR="009E466F" w:rsidRPr="00A82E3D" w:rsidRDefault="009E466F" w:rsidP="009E466F">
      <w:pPr>
        <w:spacing w:line="240" w:lineRule="exact"/>
        <w:jc w:val="both"/>
        <w:rPr>
          <w:rFonts w:ascii="Tahoma" w:hAnsi="Tahoma" w:cs="Tahoma"/>
        </w:rPr>
      </w:pPr>
      <w:r w:rsidRPr="00A82E3D">
        <w:rPr>
          <w:rFonts w:ascii="Tahoma" w:hAnsi="Tahoma" w:cs="Tahoma"/>
        </w:rPr>
        <w:t>10.8. Fica eleito o foro da Comarca da Capital do Estado de São Paulo, com a exclusão de qualquer outro, por mais privilegiado que seja, para dirimir quaisquer dúvidas ou controvérsias advindas deste Regulamento.</w:t>
      </w:r>
    </w:p>
    <w:p w14:paraId="48240A9D" w14:textId="7B3156A6" w:rsidR="009E466F" w:rsidRPr="00A82E3D" w:rsidRDefault="009E466F" w:rsidP="009E466F">
      <w:pPr>
        <w:spacing w:line="240" w:lineRule="exact"/>
        <w:jc w:val="center"/>
        <w:rPr>
          <w:rFonts w:ascii="Tahoma" w:hAnsi="Tahoma" w:cs="Tahoma"/>
          <w:highlight w:val="yellow"/>
        </w:rPr>
      </w:pPr>
      <w:r w:rsidRPr="00A82E3D">
        <w:rPr>
          <w:rFonts w:ascii="Tahoma" w:hAnsi="Tahoma" w:cs="Tahoma"/>
        </w:rPr>
        <w:t xml:space="preserve">São Paulo, </w:t>
      </w:r>
      <w:r w:rsidR="00A16B2D">
        <w:rPr>
          <w:rFonts w:ascii="Tahoma" w:hAnsi="Tahoma" w:cs="Tahoma"/>
        </w:rPr>
        <w:t>01 de novembro de 2023.</w:t>
      </w:r>
    </w:p>
    <w:p w14:paraId="29B8037A" w14:textId="77777777" w:rsidR="009E466F" w:rsidRPr="00A82E3D" w:rsidRDefault="009E466F" w:rsidP="009E466F">
      <w:pPr>
        <w:spacing w:line="240" w:lineRule="exact"/>
        <w:jc w:val="center"/>
        <w:rPr>
          <w:rFonts w:ascii="Tahoma" w:hAnsi="Tahoma" w:cs="Tahoma"/>
          <w:b/>
          <w:color w:val="000000"/>
          <w:spacing w:val="5"/>
        </w:rPr>
      </w:pPr>
      <w:r w:rsidRPr="00804E75">
        <w:rPr>
          <w:rFonts w:ascii="Tahoma" w:hAnsi="Tahoma" w:cs="Tahoma"/>
          <w:b/>
          <w:color w:val="000000"/>
          <w:spacing w:val="5"/>
        </w:rPr>
        <w:t>SANTANDER DISTRIBUIDORA DE TÍTULOS E VALORES MOBILIÁRIOS S.A.</w:t>
      </w:r>
    </w:p>
    <w:p w14:paraId="437A5A64" w14:textId="7D0B4396" w:rsidR="0032189E" w:rsidRPr="00366E76" w:rsidRDefault="009E466F" w:rsidP="00366E76">
      <w:pPr>
        <w:spacing w:line="240" w:lineRule="exact"/>
        <w:jc w:val="center"/>
        <w:rPr>
          <w:rFonts w:ascii="Tahoma" w:hAnsi="Tahoma" w:cs="Tahoma"/>
        </w:rPr>
      </w:pPr>
      <w:r w:rsidRPr="00A82E3D">
        <w:rPr>
          <w:rFonts w:ascii="Tahoma" w:hAnsi="Tahoma" w:cs="Tahoma"/>
          <w:b/>
          <w:color w:val="000000"/>
          <w:spacing w:val="5"/>
        </w:rPr>
        <w:t>Administrador</w:t>
      </w:r>
    </w:p>
    <w:sectPr w:rsidR="0032189E" w:rsidRPr="00366E76" w:rsidSect="00366E76">
      <w:headerReference w:type="even" r:id="rId8"/>
      <w:headerReference w:type="default" r:id="rId9"/>
      <w:footerReference w:type="even" r:id="rId10"/>
      <w:footerReference w:type="default" r:id="rId11"/>
      <w:headerReference w:type="first" r:id="rId12"/>
      <w:footerReference w:type="first" r:id="rId13"/>
      <w:pgSz w:w="11906" w:h="16838"/>
      <w:pgMar w:top="720" w:right="720" w:bottom="426"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E0DEB" w14:textId="77777777" w:rsidR="00E105DA" w:rsidRDefault="00E105DA" w:rsidP="00E105DA">
      <w:pPr>
        <w:spacing w:after="0" w:line="240" w:lineRule="auto"/>
      </w:pPr>
      <w:r>
        <w:separator/>
      </w:r>
    </w:p>
  </w:endnote>
  <w:endnote w:type="continuationSeparator" w:id="0">
    <w:p w14:paraId="70E172F3" w14:textId="77777777" w:rsidR="00E105DA" w:rsidRDefault="00E105DA" w:rsidP="00E10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928EF" w14:textId="77777777" w:rsidR="00513AC3" w:rsidRDefault="00513AC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0243B48" w14:textId="77777777" w:rsidR="00513AC3" w:rsidRDefault="00513AC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52785" w14:textId="77777777" w:rsidR="00513AC3" w:rsidRDefault="00513AC3">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F26D" w14:textId="77777777" w:rsidR="00513AC3" w:rsidRDefault="00513A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F045E" w14:textId="77777777" w:rsidR="00E105DA" w:rsidRDefault="00E105DA" w:rsidP="00E105DA">
      <w:pPr>
        <w:spacing w:after="0" w:line="240" w:lineRule="auto"/>
      </w:pPr>
      <w:r>
        <w:separator/>
      </w:r>
    </w:p>
  </w:footnote>
  <w:footnote w:type="continuationSeparator" w:id="0">
    <w:p w14:paraId="0B408C8F" w14:textId="77777777" w:rsidR="00E105DA" w:rsidRDefault="00E105DA" w:rsidP="00E10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B30F" w14:textId="77777777" w:rsidR="00513AC3" w:rsidRDefault="00513AC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C9CB" w14:textId="220AA6F3" w:rsidR="00513AC3" w:rsidRDefault="009E466F">
    <w:pPr>
      <w:pStyle w:val="Cabealho"/>
    </w:pPr>
    <w:r>
      <w:rPr>
        <w:noProof/>
      </w:rPr>
      <w:drawing>
        <wp:anchor distT="0" distB="0" distL="114300" distR="114300" simplePos="0" relativeHeight="251658240" behindDoc="0" locked="0" layoutInCell="1" allowOverlap="1" wp14:anchorId="0DB37D24" wp14:editId="34A6C61E">
          <wp:simplePos x="0" y="0"/>
          <wp:positionH relativeFrom="margin">
            <wp:posOffset>4139565</wp:posOffset>
          </wp:positionH>
          <wp:positionV relativeFrom="paragraph">
            <wp:posOffset>-455295</wp:posOffset>
          </wp:positionV>
          <wp:extent cx="2708910" cy="609600"/>
          <wp:effectExtent l="0" t="0" r="0" b="0"/>
          <wp:wrapNone/>
          <wp:docPr id="2" name="Imagem 2"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 nome da empres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91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D7154" w14:textId="77777777" w:rsidR="00513AC3" w:rsidRDefault="00513AC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47E49"/>
    <w:multiLevelType w:val="hybridMultilevel"/>
    <w:tmpl w:val="7DEEA5E6"/>
    <w:lvl w:ilvl="0" w:tplc="133A173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02E31A9"/>
    <w:multiLevelType w:val="hybridMultilevel"/>
    <w:tmpl w:val="2800E976"/>
    <w:lvl w:ilvl="0" w:tplc="E3200766">
      <w:start w:val="1"/>
      <w:numFmt w:val="lowerLetter"/>
      <w:lvlText w:val="(%1)"/>
      <w:lvlJc w:val="left"/>
      <w:pPr>
        <w:ind w:left="735" w:hanging="37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8131AC8"/>
    <w:multiLevelType w:val="hybridMultilevel"/>
    <w:tmpl w:val="37285EC0"/>
    <w:lvl w:ilvl="0" w:tplc="F4DE6F74">
      <w:start w:val="1"/>
      <w:numFmt w:val="lowerLetter"/>
      <w:lvlText w:val="(%1)"/>
      <w:lvlJc w:val="left"/>
      <w:pPr>
        <w:ind w:left="750" w:hanging="39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2052E25"/>
    <w:multiLevelType w:val="hybridMultilevel"/>
    <w:tmpl w:val="7DEEA5E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1011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3718377">
    <w:abstractNumId w:val="0"/>
  </w:num>
  <w:num w:numId="3" w16cid:durableId="120459621">
    <w:abstractNumId w:val="3"/>
  </w:num>
  <w:num w:numId="4" w16cid:durableId="67699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DA"/>
    <w:rsid w:val="00011CB5"/>
    <w:rsid w:val="00096A7A"/>
    <w:rsid w:val="000A7805"/>
    <w:rsid w:val="000B5515"/>
    <w:rsid w:val="000C5E39"/>
    <w:rsid w:val="00123EBD"/>
    <w:rsid w:val="00177D37"/>
    <w:rsid w:val="0018403A"/>
    <w:rsid w:val="0019780D"/>
    <w:rsid w:val="001D1082"/>
    <w:rsid w:val="001E1FF6"/>
    <w:rsid w:val="001F1471"/>
    <w:rsid w:val="00241A26"/>
    <w:rsid w:val="00270C2F"/>
    <w:rsid w:val="00272150"/>
    <w:rsid w:val="002C20A4"/>
    <w:rsid w:val="003028E3"/>
    <w:rsid w:val="0032189E"/>
    <w:rsid w:val="003266D7"/>
    <w:rsid w:val="00337239"/>
    <w:rsid w:val="0036399C"/>
    <w:rsid w:val="00366E76"/>
    <w:rsid w:val="00372660"/>
    <w:rsid w:val="0037385B"/>
    <w:rsid w:val="003B5532"/>
    <w:rsid w:val="003E3857"/>
    <w:rsid w:val="003F2CC8"/>
    <w:rsid w:val="003F5124"/>
    <w:rsid w:val="004043B6"/>
    <w:rsid w:val="00417438"/>
    <w:rsid w:val="00442FF0"/>
    <w:rsid w:val="00495FDE"/>
    <w:rsid w:val="004B2EDA"/>
    <w:rsid w:val="004C45FD"/>
    <w:rsid w:val="00513AC3"/>
    <w:rsid w:val="005317FB"/>
    <w:rsid w:val="005474F6"/>
    <w:rsid w:val="0056503A"/>
    <w:rsid w:val="00571ECB"/>
    <w:rsid w:val="00584A93"/>
    <w:rsid w:val="005A03C7"/>
    <w:rsid w:val="005A6606"/>
    <w:rsid w:val="005A67E2"/>
    <w:rsid w:val="005B680C"/>
    <w:rsid w:val="00610288"/>
    <w:rsid w:val="00644174"/>
    <w:rsid w:val="0064497E"/>
    <w:rsid w:val="0065276D"/>
    <w:rsid w:val="00662D0A"/>
    <w:rsid w:val="00680E65"/>
    <w:rsid w:val="006D6139"/>
    <w:rsid w:val="006E3903"/>
    <w:rsid w:val="00705D2C"/>
    <w:rsid w:val="00712727"/>
    <w:rsid w:val="00767045"/>
    <w:rsid w:val="007E6D11"/>
    <w:rsid w:val="007E7087"/>
    <w:rsid w:val="00861A26"/>
    <w:rsid w:val="008930D2"/>
    <w:rsid w:val="00894429"/>
    <w:rsid w:val="008A23B7"/>
    <w:rsid w:val="008B047A"/>
    <w:rsid w:val="008E23EE"/>
    <w:rsid w:val="008E754D"/>
    <w:rsid w:val="008F4767"/>
    <w:rsid w:val="009102AF"/>
    <w:rsid w:val="009155BD"/>
    <w:rsid w:val="00986C64"/>
    <w:rsid w:val="009A2EAE"/>
    <w:rsid w:val="009C1A9E"/>
    <w:rsid w:val="009E466F"/>
    <w:rsid w:val="00A16B2D"/>
    <w:rsid w:val="00A46C85"/>
    <w:rsid w:val="00A82CDC"/>
    <w:rsid w:val="00A83B21"/>
    <w:rsid w:val="00A96E61"/>
    <w:rsid w:val="00AC7C14"/>
    <w:rsid w:val="00AD4A4C"/>
    <w:rsid w:val="00AE56E2"/>
    <w:rsid w:val="00B1309C"/>
    <w:rsid w:val="00B166BB"/>
    <w:rsid w:val="00B17F9F"/>
    <w:rsid w:val="00B35634"/>
    <w:rsid w:val="00B5246E"/>
    <w:rsid w:val="00B95E31"/>
    <w:rsid w:val="00BA1C02"/>
    <w:rsid w:val="00BA40E2"/>
    <w:rsid w:val="00BC2C74"/>
    <w:rsid w:val="00C50183"/>
    <w:rsid w:val="00C53C68"/>
    <w:rsid w:val="00C6073F"/>
    <w:rsid w:val="00C65DAB"/>
    <w:rsid w:val="00C73CE9"/>
    <w:rsid w:val="00C836F0"/>
    <w:rsid w:val="00C912C4"/>
    <w:rsid w:val="00C932B7"/>
    <w:rsid w:val="00CD690D"/>
    <w:rsid w:val="00D56BFB"/>
    <w:rsid w:val="00D6035A"/>
    <w:rsid w:val="00DE7071"/>
    <w:rsid w:val="00DF5555"/>
    <w:rsid w:val="00E105DA"/>
    <w:rsid w:val="00E21533"/>
    <w:rsid w:val="00E25409"/>
    <w:rsid w:val="00E5517F"/>
    <w:rsid w:val="00E6209E"/>
    <w:rsid w:val="00E65FB1"/>
    <w:rsid w:val="00E93C22"/>
    <w:rsid w:val="00EC5806"/>
    <w:rsid w:val="00ED192D"/>
    <w:rsid w:val="00F70E5C"/>
    <w:rsid w:val="00F877DF"/>
    <w:rsid w:val="00F9624A"/>
    <w:rsid w:val="00FA5739"/>
    <w:rsid w:val="00FF2F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5150D"/>
  <w15:chartTrackingRefBased/>
  <w15:docId w15:val="{C69CA935-6B22-420B-AADF-E39B19C8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AC3"/>
  </w:style>
  <w:style w:type="paragraph" w:styleId="Ttulo6">
    <w:name w:val="heading 6"/>
    <w:basedOn w:val="Normal"/>
    <w:next w:val="Normal"/>
    <w:link w:val="Ttulo6Char"/>
    <w:unhideWhenUsed/>
    <w:qFormat/>
    <w:rsid w:val="009E466F"/>
    <w:pPr>
      <w:keepNext/>
      <w:spacing w:after="0" w:line="240" w:lineRule="auto"/>
      <w:outlineLvl w:val="5"/>
    </w:pPr>
    <w:rPr>
      <w:rFonts w:ascii="Times New Roman" w:eastAsia="Times New Roman" w:hAnsi="Times New Roman" w:cs="Times New Roman"/>
      <w:b/>
      <w:sz w:val="20"/>
      <w:szCs w:val="20"/>
      <w:lang w:val="en-GB"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13AC3"/>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uiPriority w:val="99"/>
    <w:rsid w:val="00513AC3"/>
    <w:rPr>
      <w:rFonts w:ascii="Times New Roman" w:eastAsia="Times New Roman" w:hAnsi="Times New Roman" w:cs="Times New Roman"/>
      <w:sz w:val="20"/>
      <w:szCs w:val="20"/>
      <w:lang w:val="en-GB" w:eastAsia="pt-BR"/>
    </w:rPr>
  </w:style>
  <w:style w:type="paragraph" w:styleId="Rodap">
    <w:name w:val="footer"/>
    <w:basedOn w:val="Normal"/>
    <w:link w:val="RodapChar"/>
    <w:uiPriority w:val="99"/>
    <w:unhideWhenUsed/>
    <w:rsid w:val="00513AC3"/>
    <w:pPr>
      <w:tabs>
        <w:tab w:val="center" w:pos="4252"/>
        <w:tab w:val="right" w:pos="8504"/>
      </w:tabs>
      <w:spacing w:after="0" w:line="240" w:lineRule="auto"/>
    </w:pPr>
  </w:style>
  <w:style w:type="character" w:customStyle="1" w:styleId="RodapChar">
    <w:name w:val="Rodapé Char"/>
    <w:basedOn w:val="Fontepargpadro"/>
    <w:link w:val="Rodap"/>
    <w:uiPriority w:val="99"/>
    <w:rsid w:val="00513AC3"/>
  </w:style>
  <w:style w:type="paragraph" w:styleId="PargrafodaLista">
    <w:name w:val="List Paragraph"/>
    <w:basedOn w:val="Normal"/>
    <w:uiPriority w:val="34"/>
    <w:qFormat/>
    <w:rsid w:val="00513AC3"/>
    <w:pPr>
      <w:spacing w:after="0" w:line="240" w:lineRule="auto"/>
      <w:ind w:left="708"/>
    </w:pPr>
    <w:rPr>
      <w:rFonts w:ascii="Times New Roman" w:eastAsia="Times New Roman" w:hAnsi="Times New Roman" w:cs="Times New Roman"/>
      <w:sz w:val="20"/>
      <w:szCs w:val="20"/>
      <w:lang w:val="en-GB" w:eastAsia="pt-BR"/>
    </w:rPr>
  </w:style>
  <w:style w:type="paragraph" w:styleId="Ttulo">
    <w:name w:val="Title"/>
    <w:basedOn w:val="Normal"/>
    <w:link w:val="TtuloChar"/>
    <w:qFormat/>
    <w:rsid w:val="00513AC3"/>
    <w:pPr>
      <w:widowControl w:val="0"/>
      <w:spacing w:after="0" w:line="320" w:lineRule="exact"/>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513AC3"/>
    <w:rPr>
      <w:rFonts w:ascii="Times New Roman" w:eastAsia="Times New Roman" w:hAnsi="Times New Roman" w:cs="Times New Roman"/>
      <w:b/>
      <w:sz w:val="24"/>
      <w:szCs w:val="20"/>
      <w:lang w:eastAsia="pt-BR"/>
    </w:rPr>
  </w:style>
  <w:style w:type="character" w:styleId="Nmerodepgina">
    <w:name w:val="page number"/>
    <w:basedOn w:val="Fontepargpadro"/>
    <w:rsid w:val="00513AC3"/>
  </w:style>
  <w:style w:type="paragraph" w:styleId="Textodecomentrio">
    <w:name w:val="annotation text"/>
    <w:basedOn w:val="Normal"/>
    <w:link w:val="TextodecomentrioChar1"/>
    <w:semiHidden/>
    <w:rsid w:val="00513AC3"/>
    <w:pPr>
      <w:spacing w:after="0" w:line="240" w:lineRule="auto"/>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uiPriority w:val="99"/>
    <w:semiHidden/>
    <w:rsid w:val="00513AC3"/>
    <w:rPr>
      <w:sz w:val="20"/>
      <w:szCs w:val="20"/>
    </w:rPr>
  </w:style>
  <w:style w:type="character" w:customStyle="1" w:styleId="TextodecomentrioChar1">
    <w:name w:val="Texto de comentário Char1"/>
    <w:link w:val="Textodecomentrio"/>
    <w:semiHidden/>
    <w:locked/>
    <w:rsid w:val="00513AC3"/>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rsid w:val="00513AC3"/>
    <w:rPr>
      <w:sz w:val="16"/>
      <w:szCs w:val="16"/>
    </w:rPr>
  </w:style>
  <w:style w:type="paragraph" w:styleId="Corpodetexto">
    <w:name w:val="Body Text"/>
    <w:aliases w:val="Corpo de texto Char Char Char Char Char,Corpo de texto Char Char Char Char"/>
    <w:basedOn w:val="Normal"/>
    <w:link w:val="CorpodetextoChar"/>
    <w:rsid w:val="00C6073F"/>
    <w:pPr>
      <w:spacing w:after="0" w:line="240" w:lineRule="auto"/>
      <w:jc w:val="center"/>
    </w:pPr>
    <w:rPr>
      <w:rFonts w:ascii="Times New Roman" w:eastAsia="Times New Roman" w:hAnsi="Times New Roman" w:cs="Times New Roman"/>
      <w:b/>
      <w:sz w:val="28"/>
      <w:szCs w:val="20"/>
      <w:lang w:val="en-AU"/>
    </w:rPr>
  </w:style>
  <w:style w:type="character" w:customStyle="1" w:styleId="CorpodetextoChar">
    <w:name w:val="Corpo de texto Char"/>
    <w:aliases w:val="Corpo de texto Char Char Char Char Char Char,Corpo de texto Char Char Char Char Char1"/>
    <w:basedOn w:val="Fontepargpadro"/>
    <w:link w:val="Corpodetexto"/>
    <w:rsid w:val="00C6073F"/>
    <w:rPr>
      <w:rFonts w:ascii="Times New Roman" w:eastAsia="Times New Roman" w:hAnsi="Times New Roman" w:cs="Times New Roman"/>
      <w:b/>
      <w:sz w:val="28"/>
      <w:szCs w:val="20"/>
      <w:lang w:val="en-AU"/>
    </w:rPr>
  </w:style>
  <w:style w:type="paragraph" w:customStyle="1" w:styleId="CharCharCharCharCharChar">
    <w:name w:val="Char Char Char Char Char Char"/>
    <w:basedOn w:val="Normal"/>
    <w:rsid w:val="00C6073F"/>
    <w:pPr>
      <w:spacing w:line="240" w:lineRule="exact"/>
    </w:pPr>
    <w:rPr>
      <w:rFonts w:ascii="Verdana" w:eastAsia="MS Mincho" w:hAnsi="Verdana"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712727"/>
    <w:pPr>
      <w:spacing w:after="16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1"/>
    <w:link w:val="Assuntodocomentrio"/>
    <w:uiPriority w:val="99"/>
    <w:semiHidden/>
    <w:rsid w:val="00712727"/>
    <w:rPr>
      <w:rFonts w:ascii="Times New Roman" w:eastAsia="Times New Roman" w:hAnsi="Times New Roman" w:cs="Times New Roman"/>
      <w:b/>
      <w:bCs/>
      <w:sz w:val="20"/>
      <w:szCs w:val="20"/>
      <w:lang w:eastAsia="pt-BR"/>
    </w:rPr>
  </w:style>
  <w:style w:type="paragraph" w:styleId="Textodenotaderodap">
    <w:name w:val="footnote text"/>
    <w:basedOn w:val="Normal"/>
    <w:link w:val="TextodenotaderodapChar"/>
    <w:uiPriority w:val="99"/>
    <w:unhideWhenUsed/>
    <w:rsid w:val="005317F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5317FB"/>
    <w:rPr>
      <w:sz w:val="20"/>
      <w:szCs w:val="20"/>
    </w:rPr>
  </w:style>
  <w:style w:type="character" w:styleId="Refdenotaderodap">
    <w:name w:val="footnote reference"/>
    <w:basedOn w:val="Fontepargpadro"/>
    <w:uiPriority w:val="99"/>
    <w:unhideWhenUsed/>
    <w:rsid w:val="005317FB"/>
    <w:rPr>
      <w:vertAlign w:val="superscript"/>
    </w:rPr>
  </w:style>
  <w:style w:type="paragraph" w:styleId="Reviso">
    <w:name w:val="Revision"/>
    <w:hidden/>
    <w:uiPriority w:val="99"/>
    <w:semiHidden/>
    <w:rsid w:val="00F70E5C"/>
    <w:pPr>
      <w:spacing w:after="0" w:line="240" w:lineRule="auto"/>
    </w:pPr>
  </w:style>
  <w:style w:type="character" w:customStyle="1" w:styleId="Ttulo6Char">
    <w:name w:val="Título 6 Char"/>
    <w:basedOn w:val="Fontepargpadro"/>
    <w:link w:val="Ttulo6"/>
    <w:rsid w:val="009E466F"/>
    <w:rPr>
      <w:rFonts w:ascii="Times New Roman" w:eastAsia="Times New Roman" w:hAnsi="Times New Roman" w:cs="Times New Roman"/>
      <w:b/>
      <w:sz w:val="20"/>
      <w:szCs w:val="20"/>
      <w:lang w:val="en-GB" w:eastAsia="pt-BR"/>
    </w:rPr>
  </w:style>
  <w:style w:type="paragraph" w:styleId="NormalWeb">
    <w:name w:val="Normal (Web)"/>
    <w:basedOn w:val="Normal"/>
    <w:uiPriority w:val="99"/>
    <w:rsid w:val="009E466F"/>
    <w:pPr>
      <w:spacing w:before="100" w:after="100" w:line="240" w:lineRule="auto"/>
    </w:pPr>
    <w:rPr>
      <w:rFonts w:ascii="Arial Unicode MS" w:eastAsia="Arial Unicode MS" w:hAnsi="Arial Unicode MS" w:cs="Times New Roman"/>
      <w:sz w:val="24"/>
      <w:szCs w:val="20"/>
      <w:lang w:eastAsia="pt-BR"/>
    </w:rPr>
  </w:style>
  <w:style w:type="paragraph" w:customStyle="1" w:styleId="BodyText21">
    <w:name w:val="Body Text 21"/>
    <w:basedOn w:val="Normal"/>
    <w:rsid w:val="009E466F"/>
    <w:pPr>
      <w:spacing w:after="0" w:line="240" w:lineRule="auto"/>
      <w:jc w:val="both"/>
    </w:pPr>
    <w:rPr>
      <w:rFonts w:ascii="Times New Roman" w:eastAsia="Times New Roman" w:hAnsi="Times New Roman"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290943">
      <w:bodyDiv w:val="1"/>
      <w:marLeft w:val="0"/>
      <w:marRight w:val="0"/>
      <w:marTop w:val="0"/>
      <w:marBottom w:val="0"/>
      <w:divBdr>
        <w:top w:val="none" w:sz="0" w:space="0" w:color="auto"/>
        <w:left w:val="none" w:sz="0" w:space="0" w:color="auto"/>
        <w:bottom w:val="none" w:sz="0" w:space="0" w:color="auto"/>
        <w:right w:val="none" w:sz="0" w:space="0" w:color="auto"/>
      </w:divBdr>
    </w:div>
    <w:div w:id="959145018">
      <w:bodyDiv w:val="1"/>
      <w:marLeft w:val="0"/>
      <w:marRight w:val="0"/>
      <w:marTop w:val="0"/>
      <w:marBottom w:val="0"/>
      <w:divBdr>
        <w:top w:val="none" w:sz="0" w:space="0" w:color="auto"/>
        <w:left w:val="none" w:sz="0" w:space="0" w:color="auto"/>
        <w:bottom w:val="none" w:sz="0" w:space="0" w:color="auto"/>
        <w:right w:val="none" w:sz="0" w:space="0" w:color="auto"/>
      </w:divBdr>
    </w:div>
    <w:div w:id="990983547">
      <w:bodyDiv w:val="1"/>
      <w:marLeft w:val="0"/>
      <w:marRight w:val="0"/>
      <w:marTop w:val="0"/>
      <w:marBottom w:val="0"/>
      <w:divBdr>
        <w:top w:val="none" w:sz="0" w:space="0" w:color="auto"/>
        <w:left w:val="none" w:sz="0" w:space="0" w:color="auto"/>
        <w:bottom w:val="none" w:sz="0" w:space="0" w:color="auto"/>
        <w:right w:val="none" w:sz="0" w:space="0" w:color="auto"/>
      </w:divBdr>
    </w:div>
    <w:div w:id="1107040696">
      <w:bodyDiv w:val="1"/>
      <w:marLeft w:val="0"/>
      <w:marRight w:val="0"/>
      <w:marTop w:val="0"/>
      <w:marBottom w:val="0"/>
      <w:divBdr>
        <w:top w:val="none" w:sz="0" w:space="0" w:color="auto"/>
        <w:left w:val="none" w:sz="0" w:space="0" w:color="auto"/>
        <w:bottom w:val="none" w:sz="0" w:space="0" w:color="auto"/>
        <w:right w:val="none" w:sz="0" w:space="0" w:color="auto"/>
      </w:divBdr>
    </w:div>
    <w:div w:id="1212693437">
      <w:bodyDiv w:val="1"/>
      <w:marLeft w:val="0"/>
      <w:marRight w:val="0"/>
      <w:marTop w:val="0"/>
      <w:marBottom w:val="0"/>
      <w:divBdr>
        <w:top w:val="none" w:sz="0" w:space="0" w:color="auto"/>
        <w:left w:val="none" w:sz="0" w:space="0" w:color="auto"/>
        <w:bottom w:val="none" w:sz="0" w:space="0" w:color="auto"/>
        <w:right w:val="none" w:sz="0" w:space="0" w:color="auto"/>
      </w:divBdr>
    </w:div>
    <w:div w:id="1621650238">
      <w:bodyDiv w:val="1"/>
      <w:marLeft w:val="0"/>
      <w:marRight w:val="0"/>
      <w:marTop w:val="0"/>
      <w:marBottom w:val="0"/>
      <w:divBdr>
        <w:top w:val="none" w:sz="0" w:space="0" w:color="auto"/>
        <w:left w:val="none" w:sz="0" w:space="0" w:color="auto"/>
        <w:bottom w:val="none" w:sz="0" w:space="0" w:color="auto"/>
        <w:right w:val="none" w:sz="0" w:space="0" w:color="auto"/>
      </w:divBdr>
    </w:div>
    <w:div w:id="1749964983">
      <w:bodyDiv w:val="1"/>
      <w:marLeft w:val="0"/>
      <w:marRight w:val="0"/>
      <w:marTop w:val="0"/>
      <w:marBottom w:val="0"/>
      <w:divBdr>
        <w:top w:val="none" w:sz="0" w:space="0" w:color="auto"/>
        <w:left w:val="none" w:sz="0" w:space="0" w:color="auto"/>
        <w:bottom w:val="none" w:sz="0" w:space="0" w:color="auto"/>
        <w:right w:val="none" w:sz="0" w:space="0" w:color="auto"/>
      </w:divBdr>
    </w:div>
    <w:div w:id="179066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64672-F6E6-400F-A0A4-010D584EF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4807</Words>
  <Characters>25963</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Isabela Kussem</dc:creator>
  <cp:keywords/>
  <dc:description/>
  <cp:lastModifiedBy>Giovanna Nunes de Barros</cp:lastModifiedBy>
  <cp:revision>4</cp:revision>
  <cp:lastPrinted>2023-10-26T15:48:00Z</cp:lastPrinted>
  <dcterms:created xsi:type="dcterms:W3CDTF">2023-10-25T17:09:00Z</dcterms:created>
  <dcterms:modified xsi:type="dcterms:W3CDTF">2023-10-27T14:14:00Z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2022-08-31T14:14:14Z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9ae79e99-c7ed-4547-971c-2973ee736b43</vt:lpwstr>
  </property>
  <property fmtid="{D5CDD505-2E9C-101B-9397-08002B2CF9AE}" pid="8" name="MSIP_Label_0c2abd79-57a9-4473-8700-c843f76a1e37_ContentBits">
    <vt:lpwstr>0</vt:lpwstr>
  </property>
</Properties>
</file>