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7455A" w14:textId="176A6728" w:rsidR="002B13C1" w:rsidRDefault="00816A35">
      <w:pPr>
        <w:spacing w:after="160" w:line="259" w:lineRule="auto"/>
        <w:ind w:left="0" w:firstLine="0"/>
        <w:jc w:val="right"/>
      </w:pPr>
      <w:r>
        <w:rPr>
          <w:sz w:val="20"/>
        </w:rPr>
        <w:t xml:space="preserve"> </w:t>
      </w:r>
    </w:p>
    <w:p w14:paraId="764C729F" w14:textId="77777777" w:rsidR="002B13C1" w:rsidRDefault="00816A35">
      <w:pPr>
        <w:spacing w:after="420" w:line="259" w:lineRule="auto"/>
        <w:ind w:left="0" w:firstLine="0"/>
        <w:jc w:val="left"/>
      </w:pPr>
      <w:r>
        <w:t xml:space="preserve"> </w:t>
      </w:r>
    </w:p>
    <w:p w14:paraId="6DD63160" w14:textId="77777777" w:rsidR="002B13C1" w:rsidRDefault="00816A35">
      <w:pPr>
        <w:spacing w:after="0" w:line="259" w:lineRule="auto"/>
        <w:ind w:left="0" w:firstLine="0"/>
        <w:jc w:val="left"/>
      </w:pPr>
      <w:r>
        <w:t xml:space="preserve"> </w:t>
      </w:r>
    </w:p>
    <w:p w14:paraId="4D311434" w14:textId="77777777" w:rsidR="002B13C1" w:rsidRDefault="00816A35">
      <w:pPr>
        <w:spacing w:after="0" w:line="259" w:lineRule="auto"/>
        <w:ind w:left="0" w:right="1109" w:firstLine="0"/>
        <w:jc w:val="right"/>
      </w:pPr>
      <w:r>
        <w:t xml:space="preserve">  </w:t>
      </w:r>
    </w:p>
    <w:p w14:paraId="7990AA99" w14:textId="2CD9DC6A" w:rsidR="002B13C1" w:rsidRPr="00716631" w:rsidRDefault="00550EF9">
      <w:pPr>
        <w:pStyle w:val="Ttulo1"/>
        <w:spacing w:after="1012"/>
      </w:pPr>
      <w:r w:rsidRPr="00716631">
        <w:rPr>
          <w:lang w:val="pt"/>
        </w:rPr>
        <w:t>REGULAMENTO</w:t>
      </w:r>
    </w:p>
    <w:p w14:paraId="3DEDB5B4" w14:textId="77777777" w:rsidR="002B13C1" w:rsidRPr="00716631" w:rsidRDefault="00816A35">
      <w:pPr>
        <w:spacing w:after="56" w:line="259" w:lineRule="auto"/>
        <w:ind w:left="0" w:firstLine="0"/>
        <w:jc w:val="left"/>
      </w:pPr>
      <w:r w:rsidRPr="00716631">
        <w:rPr>
          <w:noProof/>
        </w:rPr>
        <mc:AlternateContent>
          <mc:Choice Requires="wpg">
            <w:drawing>
              <wp:inline distT="0" distB="0" distL="0" distR="0" wp14:anchorId="40470408" wp14:editId="403F787F">
                <wp:extent cx="5731383" cy="18034"/>
                <wp:effectExtent l="0" t="0" r="0" b="0"/>
                <wp:docPr id="20145" name="Group 20145"/>
                <wp:cNvGraphicFramePr/>
                <a:graphic xmlns:a="http://schemas.openxmlformats.org/drawingml/2006/main">
                  <a:graphicData uri="http://schemas.microsoft.com/office/word/2010/wordprocessingGroup">
                    <wpg:wgp>
                      <wpg:cNvGrpSpPr/>
                      <wpg:grpSpPr>
                        <a:xfrm>
                          <a:off x="0" y="0"/>
                          <a:ext cx="5731383" cy="18034"/>
                          <a:chOff x="0" y="0"/>
                          <a:chExt cx="5731383" cy="18034"/>
                        </a:xfrm>
                      </wpg:grpSpPr>
                      <wps:wsp>
                        <wps:cNvPr id="26222" name="Shape 26222"/>
                        <wps:cNvSpPr/>
                        <wps:spPr>
                          <a:xfrm>
                            <a:off x="0" y="0"/>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23" name="Shape 26223"/>
                        <wps:cNvSpPr/>
                        <wps:spPr>
                          <a:xfrm>
                            <a:off x="0" y="12065"/>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w:pict>
              <v:group id="Group 20145" style="width:451.3pt;height:1.4pt;mso-position-horizontal-relative:char;mso-position-vertical-relative:line" coordsize="57313,18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" w14:anchorId="4F2353E4">
                <v:shape id="Shape 26222" style="position:absolute;width:57313;height:91;visibility:visible;mso-wrap-style:square;v-text-anchor:top" coordsize="5731383,9144" o:spid="_x0000_s1027"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">
                  <v:stroke miterlimit="83231f" joinstyle="miter"/>
                  <v:path textboxrect="0,0,5731383,9144" arrowok="t"/>
                </v:shape>
                <v:shape id="Shape 26223" style="position:absolute;top:120;width:57313;height:92;visibility:visible;mso-wrap-style:square;v-text-anchor:top" coordsize="5731383,9144" o:spid="_x0000_s1028"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">
                  <v:stroke miterlimit="83231f" joinstyle="miter"/>
                  <v:path textboxrect="0,0,5731383,9144" arrowok="t"/>
                </v:shape>
                <w10:anchorlock/>
              </v:group>
            </w:pict>
          </mc:Fallback>
        </mc:AlternateContent>
      </w:r>
    </w:p>
    <w:p w14:paraId="6360999F" w14:textId="48A6BD57" w:rsidR="002B13C1" w:rsidRPr="00716631" w:rsidRDefault="00362797" w:rsidP="00362797">
      <w:pPr>
        <w:spacing w:after="36" w:line="259" w:lineRule="auto"/>
        <w:ind w:left="2964" w:firstLine="0"/>
        <w:jc w:val="left"/>
      </w:pPr>
      <w:r>
        <w:rPr>
          <w:b/>
          <w:sz w:val="28"/>
          <w:lang w:val="pt"/>
        </w:rPr>
        <w:t xml:space="preserve">    </w:t>
      </w:r>
      <w:r w:rsidR="00816A35" w:rsidRPr="00716631">
        <w:rPr>
          <w:b/>
          <w:sz w:val="28"/>
          <w:lang w:val="pt"/>
        </w:rPr>
        <w:t xml:space="preserve">SUBFUNDO BB FUND </w:t>
      </w:r>
      <w:r>
        <w:rPr>
          <w:b/>
          <w:sz w:val="28"/>
          <w:lang w:val="pt"/>
        </w:rPr>
        <w:t>D</w:t>
      </w:r>
    </w:p>
    <w:p w14:paraId="0BF263CC" w14:textId="77777777" w:rsidR="002B13C1" w:rsidRPr="00716631" w:rsidRDefault="00816A35">
      <w:pPr>
        <w:spacing w:after="105"/>
        <w:ind w:left="3415" w:right="54"/>
      </w:pPr>
      <w:r w:rsidRPr="00716631">
        <w:rPr>
          <w:lang w:val="pt"/>
        </w:rPr>
        <w:t xml:space="preserve">uma carteira segregada de </w:t>
      </w:r>
    </w:p>
    <w:p w14:paraId="6CEB4653" w14:textId="77777777" w:rsidR="002B13C1" w:rsidRPr="00716631" w:rsidRDefault="00816A35">
      <w:pPr>
        <w:spacing w:after="156" w:line="259" w:lineRule="auto"/>
        <w:ind w:left="0" w:right="1054" w:firstLine="0"/>
        <w:jc w:val="center"/>
      </w:pPr>
      <w:r w:rsidRPr="00716631">
        <w:t xml:space="preserve"> </w:t>
      </w:r>
    </w:p>
    <w:p w14:paraId="18F5C75B" w14:textId="5833209C" w:rsidR="002B13C1" w:rsidRPr="00716631" w:rsidRDefault="00B5704D">
      <w:pPr>
        <w:pStyle w:val="Ttulo1"/>
        <w:spacing w:after="0"/>
        <w:ind w:right="1099"/>
      </w:pPr>
      <w:r w:rsidRPr="00716631">
        <w:rPr>
          <w:lang w:val="pt"/>
        </w:rPr>
        <w:t>THE BB FUND SPC</w:t>
      </w:r>
    </w:p>
    <w:p w14:paraId="27EDA26F" w14:textId="77777777" w:rsidR="002B13C1" w:rsidRPr="00716631" w:rsidRDefault="00816A35">
      <w:pPr>
        <w:spacing w:after="714"/>
        <w:ind w:left="3086" w:right="930" w:hanging="2810"/>
      </w:pPr>
      <w:r w:rsidRPr="00716631">
        <w:rPr>
          <w:lang w:val="pt"/>
        </w:rPr>
        <w:t xml:space="preserve">uma empresa isenta constituída com responsabilidade limitada sob as leis das Ilhas Cayman com o número de registro 56672 </w:t>
      </w:r>
    </w:p>
    <w:p w14:paraId="627D54E3" w14:textId="77777777" w:rsidR="002B13C1" w:rsidRPr="00716631" w:rsidRDefault="00816A35">
      <w:pPr>
        <w:spacing w:after="9"/>
        <w:ind w:left="1095" w:right="38"/>
      </w:pPr>
      <w:r w:rsidRPr="00716631">
        <w:rPr>
          <w:b/>
          <w:lang w:val="pt"/>
        </w:rPr>
        <w:t xml:space="preserve">BB Gestão De Recursos – Distribuidora de Títulos e Valores Mobiliários S.A.  </w:t>
      </w:r>
    </w:p>
    <w:p w14:paraId="7D2E7D20" w14:textId="47793D70" w:rsidR="002B13C1" w:rsidRPr="00716631" w:rsidRDefault="00DF41A9" w:rsidP="00DF41A9">
      <w:pPr>
        <w:spacing w:after="1100" w:line="265" w:lineRule="auto"/>
        <w:ind w:left="2822" w:right="4513" w:firstLine="0"/>
        <w:jc w:val="right"/>
      </w:pPr>
      <w:r w:rsidRPr="00716631">
        <w:rPr>
          <w:lang w:val="pt"/>
        </w:rPr>
        <w:t>Ge</w:t>
      </w:r>
      <w:r w:rsidR="00644A11">
        <w:rPr>
          <w:lang w:val="pt"/>
        </w:rPr>
        <w:t>stora</w:t>
      </w:r>
      <w:r w:rsidRPr="00716631">
        <w:rPr>
          <w:lang w:val="pt"/>
        </w:rPr>
        <w:t xml:space="preserve"> de I</w:t>
      </w:r>
      <w:r w:rsidR="00816A35" w:rsidRPr="00716631">
        <w:rPr>
          <w:lang w:val="pt"/>
        </w:rPr>
        <w:t>nvestimentos</w:t>
      </w:r>
    </w:p>
    <w:p w14:paraId="7B832DB5" w14:textId="77777777" w:rsidR="002B13C1" w:rsidRPr="00716631" w:rsidRDefault="00816A35">
      <w:pPr>
        <w:spacing w:after="108" w:line="265" w:lineRule="auto"/>
        <w:ind w:left="3422" w:right="4514"/>
        <w:jc w:val="center"/>
      </w:pPr>
      <w:r w:rsidRPr="00716631">
        <w:rPr>
          <w:lang w:val="pt"/>
        </w:rPr>
        <w:t xml:space="preserve">novembro de 2020 </w:t>
      </w:r>
    </w:p>
    <w:p w14:paraId="727D66F8" w14:textId="77777777" w:rsidR="002B13C1" w:rsidRPr="00716631" w:rsidRDefault="00816A35">
      <w:pPr>
        <w:spacing w:after="43" w:line="259" w:lineRule="auto"/>
        <w:ind w:left="0" w:firstLine="0"/>
        <w:jc w:val="left"/>
      </w:pPr>
      <w:r w:rsidRPr="00716631">
        <w:rPr>
          <w:noProof/>
        </w:rPr>
        <mc:AlternateContent>
          <mc:Choice Requires="wpg">
            <w:drawing>
              <wp:inline distT="0" distB="0" distL="0" distR="0" wp14:anchorId="682F00A2" wp14:editId="5DFE8224">
                <wp:extent cx="5731383" cy="18288"/>
                <wp:effectExtent l="0" t="0" r="0" b="0"/>
                <wp:docPr id="20146" name="Group 20146"/>
                <wp:cNvGraphicFramePr/>
                <a:graphic xmlns:a="http://schemas.openxmlformats.org/drawingml/2006/main">
                  <a:graphicData uri="http://schemas.microsoft.com/office/word/2010/wordprocessingGroup">
                    <wpg:wgp>
                      <wpg:cNvGrpSpPr/>
                      <wpg:grpSpPr>
                        <a:xfrm>
                          <a:off x="0" y="0"/>
                          <a:ext cx="5731383" cy="18288"/>
                          <a:chOff x="0" y="0"/>
                          <a:chExt cx="5731383" cy="18288"/>
                        </a:xfrm>
                      </wpg:grpSpPr>
                      <wps:wsp>
                        <wps:cNvPr id="26226" name="Shape 26226"/>
                        <wps:cNvSpPr/>
                        <wps:spPr>
                          <a:xfrm>
                            <a:off x="0" y="0"/>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27" name="Shape 26227"/>
                        <wps:cNvSpPr/>
                        <wps:spPr>
                          <a:xfrm>
                            <a:off x="0" y="12319"/>
                            <a:ext cx="5731383" cy="9144"/>
                          </a:xfrm>
                          <a:custGeom>
                            <a:avLst/>
                            <a:gdLst/>
                            <a:ahLst/>
                            <a:cxnLst/>
                            <a:rect l="0" t="0" r="0" b="0"/>
                            <a:pathLst>
                              <a:path w="5731383" h="9144">
                                <a:moveTo>
                                  <a:pt x="0" y="0"/>
                                </a:moveTo>
                                <a:lnTo>
                                  <a:pt x="5731383" y="0"/>
                                </a:lnTo>
                                <a:lnTo>
                                  <a:pt x="5731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w:pict>
              <v:group id="Group 20146" style="width:451.3pt;height:1.45pt;mso-position-horizontal-relative:char;mso-position-vertical-relative:line" coordsize="57313,182"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" w14:anchorId="5DA063F0">
                <v:shape id="Shape 26226" style="position:absolute;width:57313;height:91;visibility:visible;mso-wrap-style:square;v-text-anchor:top" coordsize="5731383,9144" o:spid="_x0000_s1027"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">
                  <v:stroke miterlimit="83231f" joinstyle="miter"/>
                  <v:path textboxrect="0,0,5731383,9144" arrowok="t"/>
                </v:shape>
                <v:shape id="Shape 26227" style="position:absolute;top:123;width:57313;height:91;visibility:visible;mso-wrap-style:square;v-text-anchor:top" coordsize="5731383,9144" o:spid="_x0000_s1028" fillcolor="black" stroked="f" strokeweight="0" path="m,l5731383,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">
                  <v:stroke miterlimit="83231f" joinstyle="miter"/>
                  <v:path textboxrect="0,0,5731383,9144" arrowok="t"/>
                </v:shape>
                <w10:anchorlock/>
              </v:group>
            </w:pict>
          </mc:Fallback>
        </mc:AlternateContent>
      </w:r>
    </w:p>
    <w:p w14:paraId="4FE43FCA" w14:textId="77777777" w:rsidR="002B13C1" w:rsidRPr="00716631" w:rsidRDefault="00816A35">
      <w:pPr>
        <w:spacing w:after="0" w:line="259" w:lineRule="auto"/>
        <w:ind w:left="108" w:firstLine="0"/>
        <w:jc w:val="left"/>
      </w:pPr>
      <w:r w:rsidRPr="00716631">
        <w:t xml:space="preserve"> </w:t>
      </w:r>
    </w:p>
    <w:p w14:paraId="0270006D" w14:textId="393A89AA" w:rsidR="002B13C1" w:rsidRPr="00716631" w:rsidRDefault="00816A35">
      <w:pPr>
        <w:spacing w:after="218" w:line="259" w:lineRule="auto"/>
        <w:ind w:left="0" w:firstLine="0"/>
        <w:jc w:val="left"/>
        <w:rPr>
          <w:b/>
        </w:rPr>
      </w:pPr>
      <w:r w:rsidRPr="00716631">
        <w:rPr>
          <w:b/>
        </w:rPr>
        <w:t xml:space="preserve"> </w:t>
      </w:r>
    </w:p>
    <w:p w14:paraId="15C02377" w14:textId="071D4481" w:rsidR="00160601" w:rsidRPr="00716631" w:rsidRDefault="00160601">
      <w:pPr>
        <w:spacing w:after="218" w:line="259" w:lineRule="auto"/>
        <w:ind w:left="0" w:firstLine="0"/>
        <w:jc w:val="left"/>
        <w:rPr>
          <w:b/>
        </w:rPr>
      </w:pPr>
    </w:p>
    <w:p w14:paraId="08D9CC27" w14:textId="2679ABFE" w:rsidR="00160601" w:rsidRPr="00716631" w:rsidRDefault="00160601">
      <w:pPr>
        <w:spacing w:after="218" w:line="259" w:lineRule="auto"/>
        <w:ind w:left="0" w:firstLine="0"/>
        <w:jc w:val="left"/>
        <w:rPr>
          <w:b/>
        </w:rPr>
      </w:pPr>
    </w:p>
    <w:p w14:paraId="24C7EF1D" w14:textId="252CFC16" w:rsidR="00160601" w:rsidRPr="00716631" w:rsidRDefault="00160601">
      <w:pPr>
        <w:spacing w:after="218" w:line="259" w:lineRule="auto"/>
        <w:ind w:left="0" w:firstLine="0"/>
        <w:jc w:val="left"/>
        <w:rPr>
          <w:b/>
        </w:rPr>
      </w:pPr>
    </w:p>
    <w:p w14:paraId="49CF9595" w14:textId="3BAA5ACF" w:rsidR="00160601" w:rsidRPr="00716631" w:rsidRDefault="00160601">
      <w:pPr>
        <w:spacing w:after="218" w:line="259" w:lineRule="auto"/>
        <w:ind w:left="0" w:firstLine="0"/>
        <w:jc w:val="left"/>
        <w:rPr>
          <w:b/>
        </w:rPr>
      </w:pPr>
    </w:p>
    <w:p w14:paraId="116A7D56" w14:textId="3D570051" w:rsidR="00160601" w:rsidRPr="00716631" w:rsidRDefault="00160601">
      <w:pPr>
        <w:spacing w:after="218" w:line="259" w:lineRule="auto"/>
        <w:ind w:left="0" w:firstLine="0"/>
        <w:jc w:val="left"/>
        <w:rPr>
          <w:b/>
        </w:rPr>
      </w:pPr>
    </w:p>
    <w:p w14:paraId="4DB4067B" w14:textId="0E697B79" w:rsidR="00160601" w:rsidRPr="00716631" w:rsidRDefault="00160601">
      <w:pPr>
        <w:spacing w:after="218" w:line="259" w:lineRule="auto"/>
        <w:ind w:left="0" w:firstLine="0"/>
        <w:jc w:val="left"/>
        <w:rPr>
          <w:b/>
        </w:rPr>
      </w:pPr>
    </w:p>
    <w:p w14:paraId="7FB27BD0" w14:textId="7D44D6DD" w:rsidR="00160601" w:rsidRPr="00716631" w:rsidRDefault="00160601">
      <w:pPr>
        <w:spacing w:after="218" w:line="259" w:lineRule="auto"/>
        <w:ind w:left="0" w:firstLine="0"/>
        <w:jc w:val="left"/>
        <w:rPr>
          <w:b/>
        </w:rPr>
      </w:pPr>
    </w:p>
    <w:p w14:paraId="54F3E9AD" w14:textId="77777777" w:rsidR="00160601" w:rsidRPr="00716631" w:rsidRDefault="00160601">
      <w:pPr>
        <w:spacing w:after="218" w:line="259" w:lineRule="auto"/>
        <w:ind w:left="0" w:firstLine="0"/>
        <w:jc w:val="left"/>
      </w:pPr>
    </w:p>
    <w:p w14:paraId="1DCD197C" w14:textId="77777777" w:rsidR="002B13C1" w:rsidRPr="00716631" w:rsidRDefault="00816A35">
      <w:pPr>
        <w:spacing w:after="0" w:line="259" w:lineRule="auto"/>
        <w:ind w:left="0" w:firstLine="0"/>
        <w:jc w:val="left"/>
      </w:pPr>
      <w:r w:rsidRPr="00716631">
        <w:t xml:space="preserve"> </w:t>
      </w:r>
    </w:p>
    <w:p w14:paraId="60577341" w14:textId="77777777" w:rsidR="002B13C1" w:rsidRDefault="00816A35">
      <w:pPr>
        <w:pStyle w:val="Ttulo1"/>
        <w:ind w:right="1060"/>
        <w:rPr>
          <w:lang w:val="pt"/>
        </w:rPr>
      </w:pPr>
      <w:r w:rsidRPr="00716631">
        <w:rPr>
          <w:lang w:val="pt"/>
        </w:rPr>
        <w:lastRenderedPageBreak/>
        <w:t xml:space="preserve">AVISOS IMPORTANTES AOS POTENCIAIS INVESTIDORES </w:t>
      </w:r>
    </w:p>
    <w:p w14:paraId="7E3EEACE" w14:textId="77777777" w:rsidR="00644A11" w:rsidRPr="00644A11" w:rsidRDefault="00644A11" w:rsidP="00644A11">
      <w:pPr>
        <w:rPr>
          <w:lang w:val="pt"/>
        </w:rPr>
      </w:pPr>
    </w:p>
    <w:p w14:paraId="15ED60DA" w14:textId="42F18144" w:rsidR="002B13C1" w:rsidRPr="00716631" w:rsidRDefault="00816A35">
      <w:pPr>
        <w:ind w:left="-5" w:right="1055"/>
      </w:pPr>
      <w:r w:rsidRPr="0363F18F">
        <w:t>A Companhia é uma empresa isenta constituída com responsabilidade limitada e registrada como uma empresa de portfólio segre</w:t>
      </w:r>
      <w:r w:rsidR="007C7477" w:rsidRPr="0363F18F">
        <w:t xml:space="preserve">gado sob a Lei das Sociedades. </w:t>
      </w:r>
      <w:r w:rsidRPr="0363F18F">
        <w:t xml:space="preserve">Este </w:t>
      </w:r>
      <w:r w:rsidR="00550EF9" w:rsidRPr="0363F18F">
        <w:t>regulamento</w:t>
      </w:r>
      <w:r w:rsidRPr="0363F18F">
        <w:t xml:space="preserve"> </w:t>
      </w:r>
      <w:r w:rsidR="007C7477" w:rsidRPr="0363F18F">
        <w:t>se refere</w:t>
      </w:r>
      <w:r w:rsidRPr="0363F18F">
        <w:t xml:space="preserve"> à oferta de </w:t>
      </w:r>
      <w:r w:rsidR="00663095" w:rsidRPr="0363F18F">
        <w:t>quotas</w:t>
      </w:r>
      <w:r w:rsidRPr="0363F18F">
        <w:t xml:space="preserve"> atribuíveis ao Subfundo BB </w:t>
      </w:r>
      <w:r w:rsidR="006F7D1D" w:rsidRPr="0363F18F">
        <w:t>Fund D</w:t>
      </w:r>
      <w:r w:rsidRPr="0363F18F">
        <w:t xml:space="preserve">, uma carteira segregada da Companhia. O presente </w:t>
      </w:r>
      <w:r w:rsidR="00550EF9" w:rsidRPr="0363F18F">
        <w:t>regulamento</w:t>
      </w:r>
      <w:r w:rsidR="00DF41A9" w:rsidRPr="0363F18F">
        <w:t xml:space="preserve"> </w:t>
      </w:r>
      <w:r w:rsidRPr="0363F18F">
        <w:t xml:space="preserve">deve ser lido em </w:t>
      </w:r>
      <w:r w:rsidR="003D3AE1" w:rsidRPr="0363F18F">
        <w:t>conjunção</w:t>
      </w:r>
      <w:r w:rsidRPr="0363F18F">
        <w:t xml:space="preserve"> com o </w:t>
      </w:r>
      <w:proofErr w:type="spellStart"/>
      <w:r w:rsidR="008137A1" w:rsidRPr="0363F18F">
        <w:rPr>
          <w:i/>
          <w:iCs/>
        </w:rPr>
        <w:t>p</w:t>
      </w:r>
      <w:r w:rsidR="002C0F33" w:rsidRPr="0363F18F">
        <w:rPr>
          <w:i/>
          <w:iCs/>
        </w:rPr>
        <w:t>rospectus</w:t>
      </w:r>
      <w:proofErr w:type="spellEnd"/>
      <w:r w:rsidRPr="0363F18F">
        <w:t xml:space="preserve">. </w:t>
      </w:r>
    </w:p>
    <w:p w14:paraId="4EA955AC" w14:textId="36B50817" w:rsidR="002B13C1" w:rsidRPr="00716631" w:rsidRDefault="00816A35">
      <w:pPr>
        <w:spacing w:after="226"/>
        <w:ind w:left="-5" w:right="38"/>
      </w:pPr>
      <w:r w:rsidRPr="0363F18F">
        <w:rPr>
          <w:b/>
          <w:bCs/>
        </w:rPr>
        <w:t xml:space="preserve">Confiança neste </w:t>
      </w:r>
      <w:proofErr w:type="spellStart"/>
      <w:r w:rsidR="008137A1" w:rsidRPr="0363F18F">
        <w:rPr>
          <w:b/>
          <w:bCs/>
          <w:i/>
          <w:iCs/>
        </w:rPr>
        <w:t>p</w:t>
      </w:r>
      <w:r w:rsidR="002C0F33" w:rsidRPr="0363F18F">
        <w:rPr>
          <w:b/>
          <w:bCs/>
          <w:i/>
          <w:iCs/>
        </w:rPr>
        <w:t>rospectus</w:t>
      </w:r>
      <w:proofErr w:type="spellEnd"/>
      <w:r w:rsidRPr="0363F18F">
        <w:rPr>
          <w:b/>
          <w:bCs/>
          <w:i/>
          <w:iCs/>
        </w:rPr>
        <w:t xml:space="preserve"> </w:t>
      </w:r>
    </w:p>
    <w:p w14:paraId="51489674" w14:textId="58FDA18F" w:rsidR="002B13C1" w:rsidRPr="00716631" w:rsidRDefault="00816A35">
      <w:pPr>
        <w:ind w:left="-5" w:right="1054"/>
      </w:pPr>
      <w:r w:rsidRPr="0363F18F">
        <w:t xml:space="preserve">As </w:t>
      </w:r>
      <w:r w:rsidR="00663095" w:rsidRPr="0363F18F">
        <w:t>Quotas</w:t>
      </w:r>
      <w:r w:rsidRPr="0363F18F">
        <w:t xml:space="preserve"> estão sendo oferecidas apenas com base nas informações contidas no </w:t>
      </w:r>
      <w:proofErr w:type="spellStart"/>
      <w:r w:rsidR="008137A1" w:rsidRPr="0363F18F">
        <w:rPr>
          <w:i/>
          <w:iCs/>
        </w:rPr>
        <w:t>p</w:t>
      </w:r>
      <w:r w:rsidR="002C0F33" w:rsidRPr="0363F18F">
        <w:rPr>
          <w:i/>
          <w:iCs/>
        </w:rPr>
        <w:t>rospectus</w:t>
      </w:r>
      <w:proofErr w:type="spellEnd"/>
      <w:r w:rsidRPr="0363F18F">
        <w:t xml:space="preserve"> e neste </w:t>
      </w:r>
      <w:r w:rsidR="00550EF9" w:rsidRPr="0363F18F">
        <w:t>Regulamento</w:t>
      </w:r>
      <w:r w:rsidR="003D3AE1" w:rsidRPr="0363F18F">
        <w:t xml:space="preserve">. </w:t>
      </w:r>
      <w:r w:rsidRPr="0363F18F">
        <w:t xml:space="preserve">Quaisquer outras informações ou representações dadas ou feitas por qualquer </w:t>
      </w:r>
      <w:r w:rsidR="00B5704D" w:rsidRPr="0363F18F">
        <w:t>intermediário</w:t>
      </w:r>
      <w:r w:rsidRPr="0363F18F">
        <w:t xml:space="preserve">, corretor ou outra pessoa devem ser ignoradas e, consequentemente, não devem ser </w:t>
      </w:r>
      <w:r w:rsidR="00B5704D" w:rsidRPr="0363F18F">
        <w:t>consideradas confiáveis</w:t>
      </w:r>
      <w:r w:rsidRPr="0363F18F">
        <w:t xml:space="preserve">.  Nenhuma pessoa foi autorizada a fornecer qualquer informação ou a fazer quaisquer representações em conexão com a oferta de </w:t>
      </w:r>
      <w:r w:rsidR="00663095" w:rsidRPr="0363F18F">
        <w:t>Quotas</w:t>
      </w:r>
      <w:r w:rsidR="00B65FEF" w:rsidRPr="0363F18F">
        <w:t xml:space="preserve"> além daquelas contidas no </w:t>
      </w:r>
      <w:proofErr w:type="spellStart"/>
      <w:r w:rsidR="00B65FEF" w:rsidRPr="0363F18F">
        <w:rPr>
          <w:i/>
          <w:iCs/>
        </w:rPr>
        <w:t>prospectus</w:t>
      </w:r>
      <w:proofErr w:type="spellEnd"/>
      <w:r w:rsidR="00B65FEF" w:rsidRPr="0363F18F">
        <w:t xml:space="preserve"> </w:t>
      </w:r>
      <w:r w:rsidRPr="0363F18F">
        <w:t xml:space="preserve">e neste </w:t>
      </w:r>
      <w:r w:rsidR="00550EF9" w:rsidRPr="0363F18F">
        <w:t>Regulamento</w:t>
      </w:r>
      <w:r w:rsidRPr="0363F18F">
        <w:t xml:space="preserve"> e, </w:t>
      </w:r>
      <w:r w:rsidR="00B32F6C" w:rsidRPr="0363F18F">
        <w:t>caso fornecidas</w:t>
      </w:r>
      <w:r w:rsidRPr="0363F18F">
        <w:t xml:space="preserve"> ou feitas, tais informações ou representações não devem ser consideradas como autorizadas pelos Diretores. </w:t>
      </w:r>
    </w:p>
    <w:p w14:paraId="68C0BA5A" w14:textId="218991E9" w:rsidR="002B13C1" w:rsidRPr="00716631" w:rsidRDefault="00816A35">
      <w:pPr>
        <w:ind w:left="-5" w:right="1056"/>
      </w:pPr>
      <w:r w:rsidRPr="0363F18F">
        <w:t xml:space="preserve">Certas informações contidas neste </w:t>
      </w:r>
      <w:r w:rsidR="00550EF9" w:rsidRPr="0363F18F">
        <w:t>Regulamento</w:t>
      </w:r>
      <w:r w:rsidRPr="0363F18F">
        <w:t xml:space="preserve"> constituem "declarações prospectivas", que podem ser identificadas pelo uso de terminologia</w:t>
      </w:r>
      <w:r w:rsidR="00921494" w:rsidRPr="0363F18F">
        <w:t>s</w:t>
      </w:r>
      <w:r w:rsidRPr="0363F18F">
        <w:t xml:space="preserve"> prospectiva</w:t>
      </w:r>
      <w:r w:rsidR="00921494" w:rsidRPr="0363F18F">
        <w:t>s</w:t>
      </w:r>
      <w:r w:rsidRPr="0363F18F">
        <w:t xml:space="preserve">, </w:t>
      </w:r>
      <w:r w:rsidR="00921494" w:rsidRPr="0363F18F">
        <w:t>tais como</w:t>
      </w:r>
      <w:r w:rsidRPr="0363F18F">
        <w:t xml:space="preserve"> "pode", "irá</w:t>
      </w:r>
      <w:r w:rsidR="00921494" w:rsidRPr="0363F18F">
        <w:t>/será</w:t>
      </w:r>
      <w:r w:rsidRPr="0363F18F">
        <w:t xml:space="preserve">", "deve", "espera", "antecipa", "projeta", "estima", "pretende", "acredita", </w:t>
      </w:r>
      <w:r w:rsidR="00921494" w:rsidRPr="0363F18F">
        <w:t xml:space="preserve">bem como </w:t>
      </w:r>
      <w:r w:rsidRPr="0363F18F">
        <w:t>os negativos de tais palavras</w:t>
      </w:r>
      <w:r w:rsidR="00921494" w:rsidRPr="0363F18F">
        <w:t xml:space="preserve"> e</w:t>
      </w:r>
      <w:r w:rsidRPr="0363F18F">
        <w:t xml:space="preserve"> outras variações d</w:t>
      </w:r>
      <w:r w:rsidR="00921494" w:rsidRPr="0363F18F">
        <w:t xml:space="preserve">as mesmas </w:t>
      </w:r>
      <w:r w:rsidR="00D72314" w:rsidRPr="0363F18F">
        <w:t xml:space="preserve">ou terminologia comparável. </w:t>
      </w:r>
      <w:r w:rsidRPr="0363F18F">
        <w:t xml:space="preserve">Devido a vários riscos e incertezas, incluindo aqueles descritos nas seções do </w:t>
      </w:r>
      <w:proofErr w:type="spellStart"/>
      <w:r w:rsidR="008137A1" w:rsidRPr="0363F18F">
        <w:rPr>
          <w:i/>
          <w:iCs/>
        </w:rPr>
        <w:t>p</w:t>
      </w:r>
      <w:r w:rsidR="002C0F33" w:rsidRPr="0363F18F">
        <w:rPr>
          <w:i/>
          <w:iCs/>
        </w:rPr>
        <w:t>rospectus</w:t>
      </w:r>
      <w:proofErr w:type="spellEnd"/>
      <w:r w:rsidRPr="0363F18F">
        <w:t xml:space="preserve"> intitulado "Fatores de Risco" e "Conflitos de Interesse" e na seção deste </w:t>
      </w:r>
      <w:r w:rsidR="00550EF9" w:rsidRPr="0363F18F">
        <w:t>regulamento</w:t>
      </w:r>
      <w:r w:rsidRPr="0363F18F">
        <w:t xml:space="preserve"> intitulada "Fatores de Risco", os eventos ou resultados reais ou o desempenho real do </w:t>
      </w:r>
      <w:proofErr w:type="spellStart"/>
      <w:r w:rsidRPr="0363F18F">
        <w:t>SubFundo</w:t>
      </w:r>
      <w:proofErr w:type="spellEnd"/>
      <w:r w:rsidRPr="0363F18F">
        <w:t xml:space="preserve"> podem diferir d</w:t>
      </w:r>
      <w:r w:rsidR="00921494" w:rsidRPr="0363F18F">
        <w:t>aquele</w:t>
      </w:r>
      <w:r w:rsidRPr="0363F18F">
        <w:t xml:space="preserve"> previsto em tais declarações. </w:t>
      </w:r>
    </w:p>
    <w:p w14:paraId="44BA0335" w14:textId="064D3C78" w:rsidR="002B13C1" w:rsidRPr="00716631" w:rsidRDefault="00816A35">
      <w:pPr>
        <w:ind w:left="-5" w:right="1055"/>
      </w:pPr>
      <w:r w:rsidRPr="0363F18F">
        <w:t xml:space="preserve">Nenhuma representação ou garantia de qualquer tipo se destina ou deve ser inferida com relação ao retorno econômico ou às consequências fiscais de um investimento no Subfundo.  Antes de fazer um investimento no </w:t>
      </w:r>
      <w:r w:rsidR="00D72314" w:rsidRPr="0363F18F">
        <w:t>mesmo</w:t>
      </w:r>
      <w:r w:rsidRPr="0363F18F">
        <w:t xml:space="preserve">, os potenciais investidores devem rever o </w:t>
      </w:r>
      <w:proofErr w:type="spellStart"/>
      <w:r w:rsidR="007219BF" w:rsidRPr="0363F18F">
        <w:rPr>
          <w:i/>
          <w:iCs/>
        </w:rPr>
        <w:t>prospectus</w:t>
      </w:r>
      <w:proofErr w:type="spellEnd"/>
      <w:r w:rsidRPr="0363F18F">
        <w:t xml:space="preserve"> e este </w:t>
      </w:r>
      <w:r w:rsidR="00550EF9" w:rsidRPr="0363F18F">
        <w:t>regulamento</w:t>
      </w:r>
      <w:r w:rsidRPr="0363F18F">
        <w:t xml:space="preserve"> cuidadosamente e na sua totalidade.  Os potenciais investidores devem </w:t>
      </w:r>
      <w:r w:rsidR="00316095" w:rsidRPr="0363F18F">
        <w:t>se informar junto a</w:t>
      </w:r>
      <w:r w:rsidRPr="0363F18F">
        <w:t xml:space="preserve"> seus consultores jurídicos, fiscais e financeiros sobre quaisquer consequências jurídicas, fiscais, financeiras ou outras da subscrição, compra, detenção, resgate ou alienação de </w:t>
      </w:r>
      <w:r w:rsidR="00663095" w:rsidRPr="0363F18F">
        <w:t>Quotas</w:t>
      </w:r>
      <w:r w:rsidRPr="0363F18F">
        <w:t xml:space="preserve"> no seu país de cidadania, residência e/ou domicílio. </w:t>
      </w:r>
    </w:p>
    <w:p w14:paraId="2F19F367" w14:textId="77777777" w:rsidR="002B13C1" w:rsidRPr="00716631" w:rsidRDefault="00816A35">
      <w:pPr>
        <w:spacing w:after="226"/>
        <w:ind w:left="-5" w:right="38"/>
      </w:pPr>
      <w:r w:rsidRPr="00716631">
        <w:rPr>
          <w:b/>
          <w:lang w:val="pt"/>
        </w:rPr>
        <w:t xml:space="preserve">Riscos </w:t>
      </w:r>
    </w:p>
    <w:p w14:paraId="119B8685" w14:textId="1B26879C" w:rsidR="002B13C1" w:rsidRPr="00716631" w:rsidRDefault="00816A35">
      <w:pPr>
        <w:ind w:left="-5" w:right="1056"/>
      </w:pPr>
      <w:r w:rsidRPr="00716631">
        <w:rPr>
          <w:lang w:val="pt"/>
        </w:rPr>
        <w:t>Um investiment</w:t>
      </w:r>
      <w:r w:rsidR="00316095" w:rsidRPr="00716631">
        <w:rPr>
          <w:lang w:val="pt"/>
        </w:rPr>
        <w:t xml:space="preserve">o no Subfundo acarreta riscos. </w:t>
      </w:r>
      <w:r w:rsidRPr="00716631">
        <w:rPr>
          <w:lang w:val="pt"/>
        </w:rPr>
        <w:t xml:space="preserve">Não pode haver garantia de que o objetivo de investimento do Subfundo será alcançado e </w:t>
      </w:r>
      <w:r w:rsidR="00B65FEF" w:rsidRPr="00716631">
        <w:rPr>
          <w:lang w:val="pt"/>
        </w:rPr>
        <w:t>resultados de</w:t>
      </w:r>
      <w:r w:rsidRPr="00716631">
        <w:rPr>
          <w:lang w:val="pt"/>
        </w:rPr>
        <w:t xml:space="preserve"> investimento podem variar subst</w:t>
      </w:r>
      <w:r w:rsidR="00316095" w:rsidRPr="00716631">
        <w:rPr>
          <w:lang w:val="pt"/>
        </w:rPr>
        <w:t xml:space="preserve">ancialmente ao longo do tempo. </w:t>
      </w:r>
      <w:r w:rsidRPr="00716631">
        <w:rPr>
          <w:lang w:val="pt"/>
        </w:rPr>
        <w:t xml:space="preserve">Um investimento no Subfundo é adequado para pessoas que seriam classificadas como investidores </w:t>
      </w:r>
      <w:r w:rsidR="00F559D7" w:rsidRPr="00716631">
        <w:rPr>
          <w:lang w:val="pt"/>
        </w:rPr>
        <w:t>qualificados</w:t>
      </w:r>
      <w:r w:rsidRPr="00716631">
        <w:rPr>
          <w:lang w:val="pt"/>
        </w:rPr>
        <w:t xml:space="preserve"> para fins regulatórios das Ilhas Cayman. Um investimento no Subfundo não se destina a ser um programa de investimento completo para qualquer investidor. </w:t>
      </w:r>
    </w:p>
    <w:p w14:paraId="16845677" w14:textId="4718B003" w:rsidR="002B13C1" w:rsidRPr="00716631" w:rsidRDefault="00816A35" w:rsidP="0363F18F">
      <w:pPr>
        <w:ind w:left="-5" w:right="395"/>
      </w:pPr>
      <w:r w:rsidRPr="0363F18F">
        <w:t xml:space="preserve">Não há </w:t>
      </w:r>
      <w:r w:rsidR="00F559D7" w:rsidRPr="0363F18F">
        <w:t>oferta</w:t>
      </w:r>
      <w:r w:rsidRPr="0363F18F">
        <w:t xml:space="preserve"> públic</w:t>
      </w:r>
      <w:r w:rsidR="00F559D7" w:rsidRPr="0363F18F">
        <w:t>a</w:t>
      </w:r>
      <w:r w:rsidRPr="0363F18F">
        <w:t xml:space="preserve"> para as </w:t>
      </w:r>
      <w:r w:rsidR="00663095" w:rsidRPr="0363F18F">
        <w:t>Quotas</w:t>
      </w:r>
      <w:r w:rsidRPr="0363F18F">
        <w:t>, nem se e</w:t>
      </w:r>
      <w:r w:rsidR="00B65FEF" w:rsidRPr="0363F18F">
        <w:t xml:space="preserve">spera que </w:t>
      </w:r>
      <w:proofErr w:type="gramStart"/>
      <w:r w:rsidR="0098725A">
        <w:t>a mesma</w:t>
      </w:r>
      <w:proofErr w:type="gramEnd"/>
      <w:r w:rsidR="0098725A">
        <w:t xml:space="preserve"> </w:t>
      </w:r>
      <w:r w:rsidR="00316095" w:rsidRPr="0363F18F">
        <w:t xml:space="preserve">se </w:t>
      </w:r>
      <w:r w:rsidRPr="0363F18F">
        <w:t xml:space="preserve">desenvolva </w:t>
      </w:r>
      <w:r w:rsidR="00316095" w:rsidRPr="0363F18F">
        <w:t>no</w:t>
      </w:r>
      <w:r w:rsidRPr="0363F18F">
        <w:t xml:space="preserve"> </w:t>
      </w:r>
      <w:r w:rsidR="00316095" w:rsidRPr="0363F18F">
        <w:t>futuro.</w:t>
      </w:r>
      <w:r w:rsidRPr="0363F18F">
        <w:t xml:space="preserve"> </w:t>
      </w:r>
    </w:p>
    <w:p w14:paraId="6DF5C4E8" w14:textId="380FC89A" w:rsidR="002B13C1" w:rsidRPr="00716631" w:rsidRDefault="00816A35">
      <w:pPr>
        <w:spacing w:after="1861"/>
        <w:ind w:left="-5" w:right="1056"/>
      </w:pPr>
      <w:r w:rsidRPr="0363F18F">
        <w:rPr>
          <w:b/>
          <w:bCs/>
        </w:rPr>
        <w:t xml:space="preserve">Os potenciais investidores devem </w:t>
      </w:r>
      <w:r w:rsidR="00C454BF" w:rsidRPr="0363F18F">
        <w:rPr>
          <w:b/>
          <w:bCs/>
        </w:rPr>
        <w:t>ler</w:t>
      </w:r>
      <w:r w:rsidR="00B65FEF" w:rsidRPr="0363F18F">
        <w:rPr>
          <w:b/>
          <w:bCs/>
        </w:rPr>
        <w:t>,</w:t>
      </w:r>
      <w:r w:rsidRPr="0363F18F">
        <w:rPr>
          <w:b/>
          <w:bCs/>
        </w:rPr>
        <w:t xml:space="preserve"> cuidadosamente</w:t>
      </w:r>
      <w:r w:rsidR="00B65FEF" w:rsidRPr="0363F18F">
        <w:rPr>
          <w:b/>
          <w:bCs/>
        </w:rPr>
        <w:t>,</w:t>
      </w:r>
      <w:r w:rsidRPr="0363F18F">
        <w:rPr>
          <w:b/>
          <w:bCs/>
        </w:rPr>
        <w:t xml:space="preserve"> os fatores de risco estabelecidos nas seções do </w:t>
      </w:r>
      <w:proofErr w:type="spellStart"/>
      <w:r w:rsidR="00B65FEF" w:rsidRPr="0363F18F">
        <w:rPr>
          <w:b/>
          <w:bCs/>
          <w:i/>
          <w:iCs/>
        </w:rPr>
        <w:t>prospectus</w:t>
      </w:r>
      <w:proofErr w:type="spellEnd"/>
      <w:r w:rsidRPr="0363F18F">
        <w:rPr>
          <w:b/>
          <w:bCs/>
        </w:rPr>
        <w:t xml:space="preserve"> e deste </w:t>
      </w:r>
      <w:r w:rsidR="00550EF9" w:rsidRPr="0363F18F">
        <w:rPr>
          <w:b/>
          <w:bCs/>
        </w:rPr>
        <w:t>regulamento</w:t>
      </w:r>
      <w:r w:rsidRPr="0363F18F">
        <w:rPr>
          <w:b/>
          <w:bCs/>
        </w:rPr>
        <w:t xml:space="preserve"> intitulad</w:t>
      </w:r>
      <w:r w:rsidR="00B65FEF" w:rsidRPr="0363F18F">
        <w:rPr>
          <w:b/>
          <w:bCs/>
        </w:rPr>
        <w:t>as</w:t>
      </w:r>
      <w:r w:rsidRPr="0363F18F">
        <w:rPr>
          <w:b/>
          <w:bCs/>
        </w:rPr>
        <w:t xml:space="preserve"> "Fatores de Risco"</w:t>
      </w:r>
      <w:r w:rsidR="00B65FEF" w:rsidRPr="0363F18F">
        <w:rPr>
          <w:b/>
          <w:bCs/>
        </w:rPr>
        <w:t>, ao se</w:t>
      </w:r>
      <w:r w:rsidRPr="0363F18F">
        <w:rPr>
          <w:b/>
          <w:bCs/>
        </w:rPr>
        <w:t xml:space="preserve"> considerar </w:t>
      </w:r>
      <w:r w:rsidR="00B65FEF" w:rsidRPr="0363F18F">
        <w:rPr>
          <w:b/>
          <w:bCs/>
        </w:rPr>
        <w:t>a possibilidade de</w:t>
      </w:r>
      <w:r w:rsidRPr="0363F18F">
        <w:rPr>
          <w:b/>
          <w:bCs/>
        </w:rPr>
        <w:t xml:space="preserve"> um investimento no </w:t>
      </w:r>
      <w:proofErr w:type="spellStart"/>
      <w:r w:rsidRPr="0363F18F">
        <w:rPr>
          <w:b/>
          <w:bCs/>
        </w:rPr>
        <w:t>SubFundo</w:t>
      </w:r>
      <w:proofErr w:type="spellEnd"/>
      <w:r w:rsidRPr="0363F18F">
        <w:rPr>
          <w:b/>
          <w:bCs/>
        </w:rPr>
        <w:t xml:space="preserve"> </w:t>
      </w:r>
      <w:r w:rsidR="00B65FEF" w:rsidRPr="0363F18F">
        <w:rPr>
          <w:b/>
          <w:bCs/>
        </w:rPr>
        <w:t xml:space="preserve">ser adequado </w:t>
      </w:r>
      <w:r w:rsidR="004C1AE6" w:rsidRPr="0363F18F">
        <w:rPr>
          <w:b/>
          <w:bCs/>
        </w:rPr>
        <w:t xml:space="preserve">a partir das </w:t>
      </w:r>
      <w:r w:rsidRPr="0363F18F">
        <w:rPr>
          <w:b/>
          <w:bCs/>
        </w:rPr>
        <w:t xml:space="preserve">circunstâncias e recursos financeiros.  Os investidores são </w:t>
      </w:r>
      <w:r w:rsidR="00C454BF" w:rsidRPr="0363F18F">
        <w:rPr>
          <w:b/>
          <w:bCs/>
        </w:rPr>
        <w:t>orientados</w:t>
      </w:r>
      <w:r w:rsidRPr="0363F18F">
        <w:rPr>
          <w:b/>
          <w:bCs/>
        </w:rPr>
        <w:t xml:space="preserve"> a procurar aconselhamento profissional independente sobre as implicações de investir no Subfundo. </w:t>
      </w:r>
    </w:p>
    <w:p w14:paraId="12F244C4" w14:textId="50A83FB1" w:rsidR="002B13C1" w:rsidRPr="00716631" w:rsidRDefault="00816A35" w:rsidP="0082378A">
      <w:pPr>
        <w:spacing w:after="3" w:line="265" w:lineRule="auto"/>
        <w:ind w:left="3422" w:right="4475"/>
        <w:jc w:val="center"/>
        <w:rPr>
          <w:lang w:val="pt"/>
        </w:rPr>
      </w:pPr>
      <w:r w:rsidRPr="00716631">
        <w:rPr>
          <w:lang w:val="pt"/>
        </w:rPr>
        <w:lastRenderedPageBreak/>
        <w:t xml:space="preserve">DIRETÓRIO </w:t>
      </w:r>
    </w:p>
    <w:p w14:paraId="61A04649" w14:textId="77777777" w:rsidR="00C454BF" w:rsidRPr="00716631" w:rsidRDefault="00C454BF" w:rsidP="0082378A">
      <w:pPr>
        <w:spacing w:after="3" w:line="265" w:lineRule="auto"/>
        <w:ind w:left="3422" w:right="4475"/>
        <w:jc w:val="center"/>
      </w:pPr>
    </w:p>
    <w:p w14:paraId="2625F8C8" w14:textId="35C34305" w:rsidR="0082378A" w:rsidRPr="00716631" w:rsidRDefault="00816A35">
      <w:pPr>
        <w:spacing w:after="3" w:line="347" w:lineRule="auto"/>
        <w:ind w:left="3422" w:right="4470"/>
        <w:jc w:val="center"/>
        <w:rPr>
          <w:b/>
          <w:lang w:val="pt"/>
        </w:rPr>
      </w:pPr>
      <w:r w:rsidRPr="00716631">
        <w:rPr>
          <w:b/>
          <w:lang w:val="pt"/>
        </w:rPr>
        <w:t xml:space="preserve">BB </w:t>
      </w:r>
      <w:r w:rsidR="008D17E7">
        <w:rPr>
          <w:b/>
          <w:lang w:val="pt"/>
        </w:rPr>
        <w:t>Fund D</w:t>
      </w:r>
      <w:r w:rsidRPr="00716631">
        <w:rPr>
          <w:b/>
          <w:lang w:val="pt"/>
        </w:rPr>
        <w:t xml:space="preserve"> </w:t>
      </w:r>
    </w:p>
    <w:p w14:paraId="7344C002" w14:textId="617D7CB4" w:rsidR="002B13C1" w:rsidRPr="00716631" w:rsidRDefault="00816A35">
      <w:pPr>
        <w:spacing w:after="3" w:line="347" w:lineRule="auto"/>
        <w:ind w:left="3422" w:right="4470"/>
        <w:jc w:val="center"/>
      </w:pPr>
      <w:r w:rsidRPr="00716631">
        <w:rPr>
          <w:lang w:val="pt"/>
        </w:rPr>
        <w:t xml:space="preserve">uma carteira segregada de </w:t>
      </w:r>
    </w:p>
    <w:p w14:paraId="0ECEA10C" w14:textId="5F955F9A" w:rsidR="0082378A" w:rsidRPr="00716631" w:rsidRDefault="0082378A">
      <w:pPr>
        <w:spacing w:after="0" w:line="259" w:lineRule="auto"/>
        <w:ind w:left="0" w:right="1058" w:firstLine="0"/>
        <w:jc w:val="center"/>
        <w:rPr>
          <w:b/>
          <w:lang w:val="pt"/>
        </w:rPr>
      </w:pPr>
      <w:r w:rsidRPr="00716631">
        <w:rPr>
          <w:b/>
          <w:lang w:val="pt"/>
        </w:rPr>
        <w:t>THE BB FUND SPC</w:t>
      </w:r>
    </w:p>
    <w:p w14:paraId="00818099" w14:textId="77777777" w:rsidR="00C454BF" w:rsidRPr="00716631" w:rsidRDefault="00C454BF">
      <w:pPr>
        <w:spacing w:after="0" w:line="259" w:lineRule="auto"/>
        <w:ind w:left="0" w:right="1058" w:firstLine="0"/>
        <w:jc w:val="center"/>
        <w:rPr>
          <w:b/>
          <w:lang w:val="pt"/>
        </w:rPr>
      </w:pPr>
    </w:p>
    <w:p w14:paraId="2F86FE65" w14:textId="7264599C" w:rsidR="002B13C1" w:rsidRPr="00716631" w:rsidRDefault="00816A35">
      <w:pPr>
        <w:spacing w:after="0" w:line="259" w:lineRule="auto"/>
        <w:ind w:left="0" w:right="1058" w:firstLine="0"/>
        <w:jc w:val="center"/>
      </w:pPr>
      <w:r w:rsidRPr="00716631">
        <w:rPr>
          <w:b/>
          <w:lang w:val="pt"/>
        </w:rPr>
        <w:t xml:space="preserve"> </w:t>
      </w:r>
    </w:p>
    <w:tbl>
      <w:tblPr>
        <w:tblStyle w:val="TableGrid"/>
        <w:tblW w:w="8975" w:type="dxa"/>
        <w:tblInd w:w="0" w:type="dxa"/>
        <w:tblLook w:val="04A0" w:firstRow="1" w:lastRow="0" w:firstColumn="1" w:lastColumn="0" w:noHBand="0" w:noVBand="1"/>
      </w:tblPr>
      <w:tblGrid>
        <w:gridCol w:w="4188"/>
        <w:gridCol w:w="4787"/>
      </w:tblGrid>
      <w:tr w:rsidR="002B13C1" w:rsidRPr="00716631" w14:paraId="25F2B99F" w14:textId="77777777" w:rsidTr="0363F18F">
        <w:trPr>
          <w:trHeight w:val="516"/>
        </w:trPr>
        <w:tc>
          <w:tcPr>
            <w:tcW w:w="4188" w:type="dxa"/>
            <w:tcBorders>
              <w:top w:val="nil"/>
              <w:left w:val="nil"/>
              <w:bottom w:val="nil"/>
              <w:right w:val="nil"/>
            </w:tcBorders>
          </w:tcPr>
          <w:p w14:paraId="68DA314B" w14:textId="77777777" w:rsidR="002B13C1" w:rsidRPr="00716631" w:rsidRDefault="00816A35">
            <w:pPr>
              <w:spacing w:after="0" w:line="259" w:lineRule="auto"/>
              <w:ind w:left="108" w:firstLine="0"/>
              <w:jc w:val="left"/>
            </w:pPr>
            <w:r w:rsidRPr="00716631">
              <w:rPr>
                <w:b/>
                <w:lang w:val="pt"/>
              </w:rPr>
              <w:t xml:space="preserve">Diretores </w:t>
            </w:r>
          </w:p>
        </w:tc>
        <w:tc>
          <w:tcPr>
            <w:tcW w:w="4787" w:type="dxa"/>
            <w:tcBorders>
              <w:top w:val="nil"/>
              <w:left w:val="nil"/>
              <w:bottom w:val="nil"/>
              <w:right w:val="nil"/>
            </w:tcBorders>
          </w:tcPr>
          <w:p w14:paraId="15A20AD3" w14:textId="259B8C0E" w:rsidR="002B13C1" w:rsidRPr="00716631" w:rsidRDefault="00816A35">
            <w:pPr>
              <w:spacing w:after="0" w:line="259" w:lineRule="auto"/>
              <w:ind w:left="0" w:firstLine="0"/>
              <w:jc w:val="left"/>
            </w:pPr>
            <w:r w:rsidRPr="0363F18F">
              <w:t xml:space="preserve">Conforme </w:t>
            </w:r>
            <w:r w:rsidR="00712669" w:rsidRPr="0363F18F">
              <w:t>apresentado</w:t>
            </w:r>
            <w:r w:rsidR="0082378A" w:rsidRPr="0363F18F">
              <w:t xml:space="preserve"> no Anexo A do </w:t>
            </w:r>
            <w:proofErr w:type="spellStart"/>
            <w:r w:rsidR="0082378A" w:rsidRPr="0363F18F">
              <w:rPr>
                <w:i/>
                <w:iCs/>
              </w:rPr>
              <w:t>Prospectus</w:t>
            </w:r>
            <w:proofErr w:type="spellEnd"/>
            <w:r w:rsidRPr="0363F18F">
              <w:t xml:space="preserve"> </w:t>
            </w:r>
          </w:p>
          <w:p w14:paraId="04860ECE" w14:textId="77777777" w:rsidR="002B13C1" w:rsidRPr="00716631" w:rsidRDefault="00816A35">
            <w:pPr>
              <w:spacing w:after="0" w:line="259" w:lineRule="auto"/>
              <w:ind w:left="0" w:firstLine="0"/>
              <w:jc w:val="left"/>
            </w:pPr>
            <w:r w:rsidRPr="00716631">
              <w:t xml:space="preserve"> </w:t>
            </w:r>
          </w:p>
        </w:tc>
      </w:tr>
      <w:tr w:rsidR="002B13C1" w:rsidRPr="00716631" w14:paraId="3CD85439" w14:textId="77777777" w:rsidTr="0363F18F">
        <w:trPr>
          <w:trHeight w:val="2148"/>
        </w:trPr>
        <w:tc>
          <w:tcPr>
            <w:tcW w:w="4188" w:type="dxa"/>
            <w:tcBorders>
              <w:top w:val="nil"/>
              <w:left w:val="nil"/>
              <w:bottom w:val="nil"/>
              <w:right w:val="nil"/>
            </w:tcBorders>
          </w:tcPr>
          <w:p w14:paraId="6BC7D8DC" w14:textId="77777777" w:rsidR="002B13C1" w:rsidRPr="00716631" w:rsidRDefault="00816A35">
            <w:pPr>
              <w:spacing w:after="0" w:line="259" w:lineRule="auto"/>
              <w:ind w:left="108" w:firstLine="0"/>
              <w:jc w:val="left"/>
            </w:pPr>
            <w:r w:rsidRPr="00716631">
              <w:rPr>
                <w:b/>
                <w:lang w:val="pt"/>
              </w:rPr>
              <w:t xml:space="preserve">Sede Social </w:t>
            </w:r>
          </w:p>
        </w:tc>
        <w:tc>
          <w:tcPr>
            <w:tcW w:w="4787" w:type="dxa"/>
            <w:tcBorders>
              <w:top w:val="nil"/>
              <w:left w:val="nil"/>
              <w:bottom w:val="nil"/>
              <w:right w:val="nil"/>
            </w:tcBorders>
          </w:tcPr>
          <w:p w14:paraId="6CD7506D" w14:textId="77777777" w:rsidR="002B13C1" w:rsidRPr="00716631" w:rsidRDefault="00816A35">
            <w:pPr>
              <w:spacing w:after="0" w:line="259" w:lineRule="auto"/>
              <w:ind w:left="0" w:firstLine="0"/>
              <w:jc w:val="left"/>
              <w:rPr>
                <w:lang w:val="en-US"/>
              </w:rPr>
            </w:pPr>
            <w:proofErr w:type="spellStart"/>
            <w:r w:rsidRPr="00716631">
              <w:rPr>
                <w:lang w:val="en-US"/>
              </w:rPr>
              <w:t>Harneys</w:t>
            </w:r>
            <w:proofErr w:type="spellEnd"/>
            <w:r w:rsidRPr="00716631">
              <w:rPr>
                <w:lang w:val="en-US"/>
              </w:rPr>
              <w:t xml:space="preserve"> Fiduciary (Cayman) </w:t>
            </w:r>
            <w:proofErr w:type="spellStart"/>
            <w:r w:rsidRPr="00716631">
              <w:rPr>
                <w:lang w:val="en-US"/>
              </w:rPr>
              <w:t>Limitada</w:t>
            </w:r>
            <w:proofErr w:type="spellEnd"/>
            <w:r w:rsidRPr="00716631">
              <w:rPr>
                <w:lang w:val="en-US"/>
              </w:rPr>
              <w:t xml:space="preserve"> </w:t>
            </w:r>
          </w:p>
          <w:p w14:paraId="1B356401" w14:textId="77777777" w:rsidR="002B13C1" w:rsidRPr="00716631" w:rsidRDefault="00816A35">
            <w:pPr>
              <w:spacing w:after="8" w:line="259" w:lineRule="auto"/>
              <w:ind w:left="0" w:firstLine="0"/>
              <w:jc w:val="left"/>
              <w:rPr>
                <w:lang w:val="en-US"/>
              </w:rPr>
            </w:pPr>
            <w:r w:rsidRPr="00716631">
              <w:rPr>
                <w:lang w:val="en-US"/>
              </w:rPr>
              <w:t xml:space="preserve">4º Andar, </w:t>
            </w:r>
            <w:proofErr w:type="spellStart"/>
            <w:r w:rsidRPr="00716631">
              <w:rPr>
                <w:lang w:val="en-US"/>
              </w:rPr>
              <w:t>Harbour</w:t>
            </w:r>
            <w:proofErr w:type="spellEnd"/>
            <w:r w:rsidRPr="00716631">
              <w:rPr>
                <w:lang w:val="en-US"/>
              </w:rPr>
              <w:t xml:space="preserve"> Place </w:t>
            </w:r>
          </w:p>
          <w:p w14:paraId="561B449E" w14:textId="77777777" w:rsidR="0082378A" w:rsidRPr="00716631" w:rsidRDefault="0082378A" w:rsidP="0082378A">
            <w:pPr>
              <w:pStyle w:val="Default"/>
              <w:rPr>
                <w:lang w:val="en-US"/>
              </w:rPr>
            </w:pPr>
            <w:r w:rsidRPr="00716631">
              <w:rPr>
                <w:sz w:val="22"/>
                <w:szCs w:val="22"/>
                <w:lang w:val="en-US"/>
              </w:rPr>
              <w:t xml:space="preserve">103 South Church Street </w:t>
            </w:r>
          </w:p>
          <w:p w14:paraId="3D45C653" w14:textId="5E6B6907" w:rsidR="002B13C1" w:rsidRPr="00716631" w:rsidRDefault="00816A35">
            <w:pPr>
              <w:spacing w:after="0" w:line="259" w:lineRule="auto"/>
              <w:ind w:left="0" w:firstLine="0"/>
              <w:jc w:val="left"/>
              <w:rPr>
                <w:lang w:val="en-US"/>
              </w:rPr>
            </w:pPr>
            <w:r w:rsidRPr="00716631">
              <w:rPr>
                <w:lang w:val="en-US"/>
              </w:rPr>
              <w:t xml:space="preserve">Caixa Postal 10240 </w:t>
            </w:r>
          </w:p>
          <w:p w14:paraId="38D645A1" w14:textId="1E83DBEC" w:rsidR="002B13C1" w:rsidRPr="00716631" w:rsidRDefault="0082378A">
            <w:pPr>
              <w:spacing w:after="0" w:line="259" w:lineRule="auto"/>
              <w:ind w:left="0" w:firstLine="0"/>
              <w:jc w:val="left"/>
            </w:pPr>
            <w:r w:rsidRPr="00716631">
              <w:rPr>
                <w:lang w:val="pt"/>
              </w:rPr>
              <w:t>Grand Cayman</w:t>
            </w:r>
            <w:r w:rsidR="00816A35" w:rsidRPr="00716631">
              <w:rPr>
                <w:lang w:val="pt"/>
              </w:rPr>
              <w:t xml:space="preserve">, KY1-1002 </w:t>
            </w:r>
          </w:p>
          <w:p w14:paraId="0F3A0569" w14:textId="77777777" w:rsidR="002B13C1" w:rsidRPr="00716631" w:rsidRDefault="00816A35">
            <w:pPr>
              <w:spacing w:after="0" w:line="259" w:lineRule="auto"/>
              <w:ind w:left="0" w:firstLine="0"/>
              <w:jc w:val="left"/>
            </w:pPr>
            <w:r w:rsidRPr="00716631">
              <w:rPr>
                <w:lang w:val="pt"/>
              </w:rPr>
              <w:t xml:space="preserve">Ilhas Cayman </w:t>
            </w:r>
          </w:p>
          <w:p w14:paraId="3FEE5168" w14:textId="77777777" w:rsidR="002B13C1" w:rsidRPr="00716631" w:rsidRDefault="00816A35">
            <w:pPr>
              <w:spacing w:after="0" w:line="259" w:lineRule="auto"/>
              <w:ind w:left="0" w:firstLine="0"/>
              <w:jc w:val="left"/>
            </w:pPr>
            <w:r w:rsidRPr="00716631">
              <w:t xml:space="preserve"> </w:t>
            </w:r>
          </w:p>
          <w:p w14:paraId="34B5C877" w14:textId="77777777" w:rsidR="002B13C1" w:rsidRPr="00716631" w:rsidRDefault="00816A35">
            <w:pPr>
              <w:spacing w:after="0" w:line="259" w:lineRule="auto"/>
              <w:ind w:left="0" w:firstLine="0"/>
              <w:jc w:val="left"/>
            </w:pPr>
            <w:r w:rsidRPr="00716631">
              <w:t xml:space="preserve"> </w:t>
            </w:r>
          </w:p>
        </w:tc>
      </w:tr>
      <w:tr w:rsidR="002B13C1" w:rsidRPr="00716631" w14:paraId="613A34CE" w14:textId="77777777" w:rsidTr="0363F18F">
        <w:trPr>
          <w:trHeight w:val="1770"/>
        </w:trPr>
        <w:tc>
          <w:tcPr>
            <w:tcW w:w="4188" w:type="dxa"/>
            <w:tcBorders>
              <w:top w:val="nil"/>
              <w:left w:val="nil"/>
              <w:bottom w:val="nil"/>
              <w:right w:val="nil"/>
            </w:tcBorders>
          </w:tcPr>
          <w:p w14:paraId="5223E420" w14:textId="1A3F977C" w:rsidR="002B13C1" w:rsidRPr="00716631" w:rsidRDefault="00026E6D">
            <w:pPr>
              <w:spacing w:after="0" w:line="259" w:lineRule="auto"/>
              <w:ind w:left="108" w:firstLine="0"/>
              <w:jc w:val="left"/>
            </w:pPr>
            <w:r w:rsidRPr="00716631">
              <w:rPr>
                <w:b/>
                <w:lang w:val="pt"/>
              </w:rPr>
              <w:t>Gestor</w:t>
            </w:r>
            <w:r w:rsidR="00816A35" w:rsidRPr="00716631">
              <w:rPr>
                <w:b/>
                <w:lang w:val="pt"/>
              </w:rPr>
              <w:t xml:space="preserve"> </w:t>
            </w:r>
          </w:p>
        </w:tc>
        <w:tc>
          <w:tcPr>
            <w:tcW w:w="4787" w:type="dxa"/>
            <w:tcBorders>
              <w:top w:val="nil"/>
              <w:left w:val="nil"/>
              <w:bottom w:val="nil"/>
              <w:right w:val="nil"/>
            </w:tcBorders>
          </w:tcPr>
          <w:p w14:paraId="45F37C29" w14:textId="77777777" w:rsidR="002B13C1" w:rsidRPr="00716631" w:rsidRDefault="00816A35">
            <w:pPr>
              <w:spacing w:after="0" w:line="259" w:lineRule="auto"/>
              <w:ind w:left="0" w:firstLine="0"/>
              <w:jc w:val="left"/>
            </w:pPr>
            <w:r w:rsidRPr="00716631">
              <w:rPr>
                <w:lang w:val="pt"/>
              </w:rPr>
              <w:t xml:space="preserve">BB Gestão De Recursos – Distribuidora de Títulos e </w:t>
            </w:r>
          </w:p>
          <w:p w14:paraId="28EF1740" w14:textId="77777777" w:rsidR="002B13C1" w:rsidRPr="00716631" w:rsidRDefault="00816A35">
            <w:pPr>
              <w:spacing w:after="0" w:line="259" w:lineRule="auto"/>
              <w:ind w:left="0" w:firstLine="0"/>
              <w:jc w:val="left"/>
            </w:pPr>
            <w:r w:rsidRPr="00716631">
              <w:rPr>
                <w:lang w:val="pt"/>
              </w:rPr>
              <w:t>Valores Mobiliários S.A. (</w:t>
            </w:r>
            <w:r w:rsidRPr="00716631">
              <w:rPr>
                <w:b/>
                <w:i/>
                <w:lang w:val="pt"/>
              </w:rPr>
              <w:t>BBDTVM</w:t>
            </w:r>
            <w:r w:rsidRPr="00716631">
              <w:rPr>
                <w:lang w:val="pt"/>
              </w:rPr>
              <w:t xml:space="preserve">) </w:t>
            </w:r>
          </w:p>
          <w:p w14:paraId="775BAA5E" w14:textId="7989281C" w:rsidR="002B13C1" w:rsidRPr="00716631" w:rsidRDefault="00712669">
            <w:pPr>
              <w:spacing w:after="16" w:line="259" w:lineRule="auto"/>
              <w:ind w:left="0" w:firstLine="0"/>
              <w:jc w:val="left"/>
            </w:pPr>
            <w:r w:rsidRPr="00716631">
              <w:rPr>
                <w:lang w:val="pt"/>
              </w:rPr>
              <w:t>Praça XV de Novembro, 20 – 2</w:t>
            </w:r>
            <w:r w:rsidRPr="00716631">
              <w:t>º</w:t>
            </w:r>
            <w:r w:rsidRPr="00716631">
              <w:rPr>
                <w:lang w:val="pt"/>
              </w:rPr>
              <w:t xml:space="preserve"> </w:t>
            </w:r>
            <w:r w:rsidR="00816A35" w:rsidRPr="00716631">
              <w:rPr>
                <w:lang w:val="pt"/>
              </w:rPr>
              <w:t>/</w:t>
            </w:r>
            <w:r w:rsidRPr="00716631">
              <w:rPr>
                <w:lang w:val="pt"/>
              </w:rPr>
              <w:t>3</w:t>
            </w:r>
            <w:r w:rsidRPr="00716631">
              <w:t>º</w:t>
            </w:r>
            <w:r w:rsidRPr="00716631">
              <w:rPr>
                <w:lang w:val="pt"/>
              </w:rPr>
              <w:t xml:space="preserve"> andares</w:t>
            </w:r>
            <w:r w:rsidR="00816A35" w:rsidRPr="00716631">
              <w:rPr>
                <w:lang w:val="pt"/>
              </w:rPr>
              <w:t xml:space="preserve"> – Centro </w:t>
            </w:r>
          </w:p>
          <w:p w14:paraId="12A3DA3A" w14:textId="77777777" w:rsidR="002B13C1" w:rsidRPr="00716631" w:rsidRDefault="00816A35">
            <w:pPr>
              <w:spacing w:after="0" w:line="259" w:lineRule="auto"/>
              <w:ind w:left="0" w:firstLine="0"/>
              <w:jc w:val="left"/>
            </w:pPr>
            <w:r w:rsidRPr="00716631">
              <w:rPr>
                <w:lang w:val="pt"/>
              </w:rPr>
              <w:t xml:space="preserve">CEP: 20010-010 Rio de Janeiro/RJ - Brasil </w:t>
            </w:r>
          </w:p>
          <w:p w14:paraId="32F7A323" w14:textId="77777777" w:rsidR="002B13C1" w:rsidRPr="00716631" w:rsidRDefault="00816A35">
            <w:pPr>
              <w:spacing w:after="0" w:line="259" w:lineRule="auto"/>
              <w:ind w:left="0" w:firstLine="0"/>
              <w:jc w:val="left"/>
            </w:pPr>
            <w:r w:rsidRPr="00716631">
              <w:t xml:space="preserve"> </w:t>
            </w:r>
          </w:p>
        </w:tc>
      </w:tr>
      <w:tr w:rsidR="002B13C1" w:rsidRPr="00644A11" w14:paraId="06F6344B" w14:textId="77777777" w:rsidTr="0363F18F">
        <w:trPr>
          <w:trHeight w:val="1344"/>
        </w:trPr>
        <w:tc>
          <w:tcPr>
            <w:tcW w:w="4188" w:type="dxa"/>
            <w:tcBorders>
              <w:top w:val="nil"/>
              <w:left w:val="nil"/>
              <w:bottom w:val="nil"/>
              <w:right w:val="nil"/>
            </w:tcBorders>
          </w:tcPr>
          <w:p w14:paraId="11089A6E" w14:textId="77777777" w:rsidR="002B13C1" w:rsidRPr="00716631" w:rsidRDefault="00816A35">
            <w:pPr>
              <w:spacing w:after="0" w:line="259" w:lineRule="auto"/>
              <w:ind w:left="108" w:firstLine="0"/>
              <w:jc w:val="left"/>
            </w:pPr>
            <w:r w:rsidRPr="00716631">
              <w:rPr>
                <w:b/>
                <w:lang w:val="pt"/>
              </w:rPr>
              <w:t xml:space="preserve">Administrador </w:t>
            </w:r>
          </w:p>
        </w:tc>
        <w:tc>
          <w:tcPr>
            <w:tcW w:w="4787" w:type="dxa"/>
            <w:tcBorders>
              <w:top w:val="nil"/>
              <w:left w:val="nil"/>
              <w:bottom w:val="nil"/>
              <w:right w:val="nil"/>
            </w:tcBorders>
          </w:tcPr>
          <w:p w14:paraId="12192E67" w14:textId="77777777" w:rsidR="002B13C1" w:rsidRPr="00716631" w:rsidRDefault="00816A35">
            <w:pPr>
              <w:spacing w:after="0" w:line="259" w:lineRule="auto"/>
              <w:ind w:left="0" w:firstLine="0"/>
              <w:rPr>
                <w:lang w:val="en-US"/>
              </w:rPr>
            </w:pPr>
            <w:r w:rsidRPr="00716631">
              <w:rPr>
                <w:lang w:val="en-US"/>
              </w:rPr>
              <w:t xml:space="preserve">J.P. Morgan Administration Services (Irlanda) Limited </w:t>
            </w:r>
          </w:p>
          <w:p w14:paraId="18037365" w14:textId="77777777" w:rsidR="00BA5756" w:rsidRPr="00716631" w:rsidRDefault="00BA5756" w:rsidP="00BA5756">
            <w:pPr>
              <w:pStyle w:val="Default"/>
              <w:rPr>
                <w:lang w:val="en-US"/>
              </w:rPr>
            </w:pPr>
            <w:r w:rsidRPr="00716631">
              <w:rPr>
                <w:sz w:val="22"/>
                <w:szCs w:val="22"/>
                <w:lang w:val="en-US"/>
              </w:rPr>
              <w:t xml:space="preserve">200 Capital Dock </w:t>
            </w:r>
          </w:p>
          <w:p w14:paraId="071B71EA" w14:textId="77777777" w:rsidR="00BA5756" w:rsidRPr="00716631" w:rsidRDefault="00BA5756" w:rsidP="00BA5756">
            <w:pPr>
              <w:pStyle w:val="Default"/>
              <w:rPr>
                <w:lang w:val="en-US"/>
              </w:rPr>
            </w:pPr>
            <w:r w:rsidRPr="00716631">
              <w:rPr>
                <w:sz w:val="22"/>
                <w:szCs w:val="22"/>
                <w:lang w:val="en-US"/>
              </w:rPr>
              <w:t xml:space="preserve">79 Sir John Rogerson’s Quay </w:t>
            </w:r>
          </w:p>
          <w:p w14:paraId="5CAC9604" w14:textId="366B0C2A" w:rsidR="002B13C1" w:rsidRPr="00716631" w:rsidRDefault="00816A35">
            <w:pPr>
              <w:spacing w:after="0" w:line="259" w:lineRule="auto"/>
              <w:ind w:left="0" w:firstLine="0"/>
              <w:jc w:val="left"/>
              <w:rPr>
                <w:lang w:val="en-US"/>
              </w:rPr>
            </w:pPr>
            <w:r w:rsidRPr="00716631">
              <w:rPr>
                <w:lang w:val="en-US"/>
              </w:rPr>
              <w:t xml:space="preserve">Dublin 2, D01 RK57 </w:t>
            </w:r>
          </w:p>
          <w:p w14:paraId="6403F5B6" w14:textId="77777777" w:rsidR="002B13C1" w:rsidRPr="00716631" w:rsidRDefault="00816A35">
            <w:pPr>
              <w:spacing w:after="0" w:line="259" w:lineRule="auto"/>
              <w:ind w:left="0" w:firstLine="0"/>
              <w:jc w:val="left"/>
              <w:rPr>
                <w:lang w:val="en-US"/>
              </w:rPr>
            </w:pPr>
            <w:r w:rsidRPr="00716631">
              <w:rPr>
                <w:lang w:val="en-US"/>
              </w:rPr>
              <w:t xml:space="preserve"> </w:t>
            </w:r>
          </w:p>
        </w:tc>
      </w:tr>
      <w:tr w:rsidR="002B13C1" w:rsidRPr="00716631" w14:paraId="2870CE59" w14:textId="77777777" w:rsidTr="0363F18F">
        <w:trPr>
          <w:trHeight w:val="1610"/>
        </w:trPr>
        <w:tc>
          <w:tcPr>
            <w:tcW w:w="4188" w:type="dxa"/>
            <w:tcBorders>
              <w:top w:val="nil"/>
              <w:left w:val="nil"/>
              <w:bottom w:val="nil"/>
              <w:right w:val="nil"/>
            </w:tcBorders>
          </w:tcPr>
          <w:p w14:paraId="2E40C750" w14:textId="2102AFCD" w:rsidR="002B13C1" w:rsidRPr="00716631" w:rsidRDefault="00F507CE">
            <w:pPr>
              <w:spacing w:after="0" w:line="259" w:lineRule="auto"/>
              <w:ind w:left="108" w:firstLine="0"/>
              <w:jc w:val="left"/>
            </w:pPr>
            <w:r w:rsidRPr="00716631">
              <w:rPr>
                <w:b/>
                <w:lang w:val="pt"/>
              </w:rPr>
              <w:t>Auditores</w:t>
            </w:r>
            <w:r w:rsidR="00816A35" w:rsidRPr="00716631">
              <w:rPr>
                <w:b/>
                <w:lang w:val="pt"/>
              </w:rPr>
              <w:t xml:space="preserve"> </w:t>
            </w:r>
          </w:p>
        </w:tc>
        <w:tc>
          <w:tcPr>
            <w:tcW w:w="4787" w:type="dxa"/>
            <w:tcBorders>
              <w:top w:val="nil"/>
              <w:left w:val="nil"/>
              <w:bottom w:val="nil"/>
              <w:right w:val="nil"/>
            </w:tcBorders>
          </w:tcPr>
          <w:p w14:paraId="062B0608" w14:textId="77777777" w:rsidR="002B13C1" w:rsidRPr="00716631" w:rsidRDefault="00816A35">
            <w:pPr>
              <w:spacing w:after="0" w:line="259" w:lineRule="auto"/>
              <w:ind w:left="0" w:firstLine="0"/>
              <w:jc w:val="left"/>
              <w:rPr>
                <w:lang w:val="en-US"/>
              </w:rPr>
            </w:pPr>
            <w:r w:rsidRPr="00716631">
              <w:rPr>
                <w:lang w:val="en-US"/>
              </w:rPr>
              <w:t xml:space="preserve">KPMG </w:t>
            </w:r>
          </w:p>
          <w:p w14:paraId="3B931CB3" w14:textId="77777777" w:rsidR="002B13C1" w:rsidRPr="00716631" w:rsidRDefault="00816A35">
            <w:pPr>
              <w:spacing w:after="0" w:line="259" w:lineRule="auto"/>
              <w:ind w:left="0" w:firstLine="0"/>
              <w:jc w:val="left"/>
              <w:rPr>
                <w:lang w:val="en-US"/>
              </w:rPr>
            </w:pPr>
            <w:r w:rsidRPr="00716631">
              <w:rPr>
                <w:lang w:val="en-US"/>
              </w:rPr>
              <w:t xml:space="preserve">Caixa Postal 493 </w:t>
            </w:r>
          </w:p>
          <w:p w14:paraId="15C0D6EC" w14:textId="33F2C9A0" w:rsidR="002B13C1" w:rsidRPr="00716631" w:rsidRDefault="00816A35">
            <w:pPr>
              <w:spacing w:after="0" w:line="259" w:lineRule="auto"/>
              <w:ind w:left="0" w:firstLine="0"/>
              <w:jc w:val="left"/>
              <w:rPr>
                <w:lang w:val="en-US"/>
              </w:rPr>
            </w:pPr>
            <w:r w:rsidRPr="00716631">
              <w:rPr>
                <w:lang w:val="en-US"/>
              </w:rPr>
              <w:t xml:space="preserve">SIX </w:t>
            </w:r>
            <w:r w:rsidR="00F507CE" w:rsidRPr="00716631">
              <w:rPr>
                <w:lang w:val="en-US"/>
              </w:rPr>
              <w:t>Cricket Square</w:t>
            </w:r>
          </w:p>
          <w:p w14:paraId="2201D1AF" w14:textId="77777777" w:rsidR="002B13C1" w:rsidRPr="00716631" w:rsidRDefault="00816A35">
            <w:pPr>
              <w:spacing w:after="0" w:line="259" w:lineRule="auto"/>
              <w:ind w:left="0" w:firstLine="0"/>
              <w:jc w:val="left"/>
            </w:pPr>
            <w:r w:rsidRPr="00716631">
              <w:rPr>
                <w:lang w:val="pt"/>
              </w:rPr>
              <w:t xml:space="preserve">Grande Cayman, KY1-1106 </w:t>
            </w:r>
          </w:p>
          <w:p w14:paraId="3AD5F806" w14:textId="77777777" w:rsidR="002B13C1" w:rsidRPr="00716631" w:rsidRDefault="00816A35">
            <w:pPr>
              <w:spacing w:after="0" w:line="259" w:lineRule="auto"/>
              <w:ind w:left="0" w:firstLine="0"/>
              <w:jc w:val="left"/>
            </w:pPr>
            <w:r w:rsidRPr="00716631">
              <w:rPr>
                <w:lang w:val="pt"/>
              </w:rPr>
              <w:t xml:space="preserve">Ilhas Cayman  </w:t>
            </w:r>
          </w:p>
          <w:p w14:paraId="3D98C2AA" w14:textId="77777777" w:rsidR="002B13C1" w:rsidRPr="00716631" w:rsidRDefault="00816A35">
            <w:pPr>
              <w:spacing w:after="0" w:line="259" w:lineRule="auto"/>
              <w:ind w:left="0" w:firstLine="0"/>
              <w:jc w:val="left"/>
            </w:pPr>
            <w:r w:rsidRPr="00716631">
              <w:t xml:space="preserve"> </w:t>
            </w:r>
          </w:p>
        </w:tc>
      </w:tr>
      <w:tr w:rsidR="002B13C1" w:rsidRPr="00644A11" w14:paraId="5BB2BB63" w14:textId="77777777" w:rsidTr="0363F18F">
        <w:trPr>
          <w:trHeight w:val="2148"/>
        </w:trPr>
        <w:tc>
          <w:tcPr>
            <w:tcW w:w="4188" w:type="dxa"/>
            <w:tcBorders>
              <w:top w:val="nil"/>
              <w:left w:val="nil"/>
              <w:bottom w:val="nil"/>
              <w:right w:val="nil"/>
            </w:tcBorders>
          </w:tcPr>
          <w:p w14:paraId="021267EB" w14:textId="77777777" w:rsidR="00F507CE" w:rsidRPr="00716631" w:rsidRDefault="00816A35">
            <w:pPr>
              <w:spacing w:after="0" w:line="259" w:lineRule="auto"/>
              <w:ind w:left="108" w:firstLine="0"/>
              <w:jc w:val="left"/>
              <w:rPr>
                <w:b/>
                <w:lang w:val="pt"/>
              </w:rPr>
            </w:pPr>
            <w:r w:rsidRPr="00716631">
              <w:rPr>
                <w:b/>
                <w:lang w:val="pt"/>
              </w:rPr>
              <w:t xml:space="preserve">Consultor Jurídico quanto ao </w:t>
            </w:r>
          </w:p>
          <w:p w14:paraId="0AA8F6F7" w14:textId="7DA6C64D" w:rsidR="002B13C1" w:rsidRPr="00716631" w:rsidRDefault="00816A35">
            <w:pPr>
              <w:spacing w:after="0" w:line="259" w:lineRule="auto"/>
              <w:ind w:left="108" w:firstLine="0"/>
              <w:jc w:val="left"/>
            </w:pPr>
            <w:r w:rsidRPr="00716631">
              <w:rPr>
                <w:b/>
                <w:lang w:val="pt"/>
              </w:rPr>
              <w:t xml:space="preserve">Direito das Ilhas Cayman </w:t>
            </w:r>
          </w:p>
        </w:tc>
        <w:tc>
          <w:tcPr>
            <w:tcW w:w="4787" w:type="dxa"/>
            <w:tcBorders>
              <w:top w:val="nil"/>
              <w:left w:val="nil"/>
              <w:bottom w:val="nil"/>
              <w:right w:val="nil"/>
            </w:tcBorders>
          </w:tcPr>
          <w:p w14:paraId="0F1711EA" w14:textId="77777777" w:rsidR="002B13C1" w:rsidRPr="00716631" w:rsidRDefault="00816A35">
            <w:pPr>
              <w:spacing w:after="0" w:line="259" w:lineRule="auto"/>
              <w:ind w:left="0" w:firstLine="0"/>
              <w:jc w:val="left"/>
              <w:rPr>
                <w:lang w:val="en-US"/>
              </w:rPr>
            </w:pPr>
            <w:r w:rsidRPr="00716631">
              <w:rPr>
                <w:lang w:val="en-US"/>
              </w:rPr>
              <w:t xml:space="preserve">Harney Westwood e Riegels </w:t>
            </w:r>
          </w:p>
          <w:p w14:paraId="0316E99F" w14:textId="77777777" w:rsidR="002B13C1" w:rsidRPr="00716631" w:rsidRDefault="00816A35">
            <w:pPr>
              <w:spacing w:after="0" w:line="240" w:lineRule="auto"/>
              <w:ind w:left="0" w:right="2220" w:firstLine="0"/>
              <w:jc w:val="left"/>
              <w:rPr>
                <w:lang w:val="en-US"/>
              </w:rPr>
            </w:pPr>
            <w:r w:rsidRPr="00716631">
              <w:rPr>
                <w:lang w:val="en-US"/>
              </w:rPr>
              <w:t xml:space="preserve">3º </w:t>
            </w:r>
            <w:proofErr w:type="spellStart"/>
            <w:r w:rsidRPr="00716631">
              <w:rPr>
                <w:lang w:val="en-US"/>
              </w:rPr>
              <w:t>andar</w:t>
            </w:r>
            <w:proofErr w:type="spellEnd"/>
            <w:r w:rsidRPr="00716631">
              <w:rPr>
                <w:lang w:val="en-US"/>
              </w:rPr>
              <w:t xml:space="preserve">, </w:t>
            </w:r>
            <w:proofErr w:type="spellStart"/>
            <w:r w:rsidRPr="00716631">
              <w:rPr>
                <w:lang w:val="en-US"/>
              </w:rPr>
              <w:t>Harbour</w:t>
            </w:r>
            <w:proofErr w:type="spellEnd"/>
            <w:r w:rsidRPr="00716631">
              <w:rPr>
                <w:lang w:val="en-US"/>
              </w:rPr>
              <w:t xml:space="preserve"> Place 103 South Church Street </w:t>
            </w:r>
          </w:p>
          <w:p w14:paraId="210D214D" w14:textId="77777777" w:rsidR="002B13C1" w:rsidRPr="00716631" w:rsidRDefault="00816A35">
            <w:pPr>
              <w:spacing w:after="0" w:line="259" w:lineRule="auto"/>
              <w:ind w:left="0" w:firstLine="0"/>
              <w:jc w:val="left"/>
              <w:rPr>
                <w:lang w:val="en-US"/>
              </w:rPr>
            </w:pPr>
            <w:r w:rsidRPr="00716631">
              <w:rPr>
                <w:lang w:val="en-US"/>
              </w:rPr>
              <w:t xml:space="preserve">Caixa Postal 10240 </w:t>
            </w:r>
          </w:p>
          <w:p w14:paraId="0FC344B8" w14:textId="77777777" w:rsidR="002B13C1" w:rsidRPr="00716631" w:rsidRDefault="00816A35">
            <w:pPr>
              <w:spacing w:after="0" w:line="259" w:lineRule="auto"/>
              <w:ind w:left="0" w:firstLine="0"/>
              <w:jc w:val="left"/>
              <w:rPr>
                <w:lang w:val="en-US"/>
              </w:rPr>
            </w:pPr>
            <w:r w:rsidRPr="00716631">
              <w:rPr>
                <w:lang w:val="en-US"/>
              </w:rPr>
              <w:t xml:space="preserve">KY1-1002 </w:t>
            </w:r>
          </w:p>
          <w:p w14:paraId="513004BC" w14:textId="0C8C6080" w:rsidR="002B13C1" w:rsidRPr="00716631" w:rsidRDefault="00BA5756">
            <w:pPr>
              <w:spacing w:after="0" w:line="259" w:lineRule="auto"/>
              <w:ind w:left="0" w:firstLine="0"/>
              <w:jc w:val="left"/>
              <w:rPr>
                <w:lang w:val="en-US"/>
              </w:rPr>
            </w:pPr>
            <w:r w:rsidRPr="00716631">
              <w:rPr>
                <w:lang w:val="en-US"/>
              </w:rPr>
              <w:t>Grand</w:t>
            </w:r>
            <w:r w:rsidR="00816A35" w:rsidRPr="00716631">
              <w:rPr>
                <w:lang w:val="en-US"/>
              </w:rPr>
              <w:t xml:space="preserve"> Cayman </w:t>
            </w:r>
          </w:p>
          <w:p w14:paraId="3A327B7C" w14:textId="77777777" w:rsidR="002B13C1" w:rsidRPr="00716631" w:rsidRDefault="00816A35">
            <w:pPr>
              <w:spacing w:after="0" w:line="259" w:lineRule="auto"/>
              <w:ind w:left="0" w:firstLine="0"/>
              <w:jc w:val="left"/>
              <w:rPr>
                <w:lang w:val="en-US"/>
              </w:rPr>
            </w:pPr>
            <w:proofErr w:type="spellStart"/>
            <w:r w:rsidRPr="00716631">
              <w:rPr>
                <w:lang w:val="en-US"/>
              </w:rPr>
              <w:t>Ilhas</w:t>
            </w:r>
            <w:proofErr w:type="spellEnd"/>
            <w:r w:rsidRPr="00716631">
              <w:rPr>
                <w:lang w:val="en-US"/>
              </w:rPr>
              <w:t xml:space="preserve"> Cayman </w:t>
            </w:r>
          </w:p>
          <w:p w14:paraId="3DB8200F" w14:textId="77777777" w:rsidR="002B13C1" w:rsidRPr="00716631" w:rsidRDefault="00816A35">
            <w:pPr>
              <w:spacing w:after="0" w:line="259" w:lineRule="auto"/>
              <w:ind w:left="0" w:firstLine="0"/>
              <w:jc w:val="left"/>
              <w:rPr>
                <w:lang w:val="en-US"/>
              </w:rPr>
            </w:pPr>
            <w:r w:rsidRPr="00716631">
              <w:rPr>
                <w:lang w:val="en-US"/>
              </w:rPr>
              <w:t xml:space="preserve"> </w:t>
            </w:r>
          </w:p>
        </w:tc>
      </w:tr>
      <w:tr w:rsidR="002B13C1" w:rsidRPr="00644A11" w14:paraId="5DA4C850" w14:textId="77777777" w:rsidTr="0363F18F">
        <w:trPr>
          <w:trHeight w:val="516"/>
        </w:trPr>
        <w:tc>
          <w:tcPr>
            <w:tcW w:w="4188" w:type="dxa"/>
            <w:tcBorders>
              <w:top w:val="nil"/>
              <w:left w:val="nil"/>
              <w:bottom w:val="nil"/>
              <w:right w:val="nil"/>
            </w:tcBorders>
          </w:tcPr>
          <w:p w14:paraId="72CB99EE" w14:textId="77777777" w:rsidR="002B13C1" w:rsidRPr="00716631" w:rsidRDefault="00816A35">
            <w:pPr>
              <w:spacing w:after="0" w:line="259" w:lineRule="auto"/>
              <w:ind w:left="108" w:firstLine="0"/>
              <w:jc w:val="left"/>
              <w:rPr>
                <w:lang w:val="en-US"/>
              </w:rPr>
            </w:pPr>
            <w:r w:rsidRPr="00716631">
              <w:rPr>
                <w:b/>
                <w:lang w:val="en-US"/>
              </w:rPr>
              <w:t xml:space="preserve"> </w:t>
            </w:r>
          </w:p>
          <w:p w14:paraId="07DD3EEB" w14:textId="77777777" w:rsidR="002B13C1" w:rsidRPr="00716631" w:rsidRDefault="00816A35">
            <w:pPr>
              <w:spacing w:after="0" w:line="259" w:lineRule="auto"/>
              <w:ind w:left="0" w:firstLine="0"/>
              <w:jc w:val="left"/>
              <w:rPr>
                <w:lang w:val="en-US"/>
              </w:rPr>
            </w:pPr>
            <w:r w:rsidRPr="00716631">
              <w:rPr>
                <w:lang w:val="en-US"/>
              </w:rPr>
              <w:t xml:space="preserve"> </w:t>
            </w:r>
          </w:p>
        </w:tc>
        <w:tc>
          <w:tcPr>
            <w:tcW w:w="4787" w:type="dxa"/>
            <w:tcBorders>
              <w:top w:val="nil"/>
              <w:left w:val="nil"/>
              <w:bottom w:val="nil"/>
              <w:right w:val="nil"/>
            </w:tcBorders>
          </w:tcPr>
          <w:p w14:paraId="4DC36FCC" w14:textId="77777777" w:rsidR="002B13C1" w:rsidRPr="00716631" w:rsidRDefault="00816A35">
            <w:pPr>
              <w:spacing w:after="0" w:line="259" w:lineRule="auto"/>
              <w:ind w:left="0" w:firstLine="0"/>
              <w:jc w:val="left"/>
              <w:rPr>
                <w:lang w:val="en-US"/>
              </w:rPr>
            </w:pPr>
            <w:r w:rsidRPr="00716631">
              <w:rPr>
                <w:lang w:val="en-US"/>
              </w:rPr>
              <w:t xml:space="preserve"> </w:t>
            </w:r>
          </w:p>
        </w:tc>
      </w:tr>
    </w:tbl>
    <w:p w14:paraId="0BD69501" w14:textId="77777777" w:rsidR="002B13C1" w:rsidRPr="00716631" w:rsidRDefault="002B13C1">
      <w:pPr>
        <w:rPr>
          <w:lang w:val="en-US"/>
        </w:rPr>
        <w:sectPr w:rsidR="002B13C1" w:rsidRPr="00716631">
          <w:headerReference w:type="even" r:id="rId8"/>
          <w:headerReference w:type="default" r:id="rId9"/>
          <w:footerReference w:type="even" r:id="rId10"/>
          <w:footerReference w:type="default" r:id="rId11"/>
          <w:headerReference w:type="first" r:id="rId12"/>
          <w:footerReference w:type="first" r:id="rId13"/>
          <w:pgSz w:w="11904" w:h="16840"/>
          <w:pgMar w:top="345" w:right="359" w:bottom="578" w:left="1418" w:header="720" w:footer="720" w:gutter="0"/>
          <w:cols w:space="720"/>
          <w:titlePg/>
        </w:sectPr>
      </w:pPr>
    </w:p>
    <w:p w14:paraId="421EF7B1" w14:textId="77777777" w:rsidR="002B13C1" w:rsidRPr="00716631" w:rsidRDefault="00816A35">
      <w:pPr>
        <w:pStyle w:val="Ttulo2"/>
      </w:pPr>
      <w:r w:rsidRPr="00716631">
        <w:rPr>
          <w:lang w:val="pt"/>
        </w:rPr>
        <w:lastRenderedPageBreak/>
        <w:t xml:space="preserve">DEFINIÇÕES </w:t>
      </w:r>
    </w:p>
    <w:p w14:paraId="39112136" w14:textId="77777777" w:rsidR="002B13C1" w:rsidRPr="00716631" w:rsidRDefault="00816A35">
      <w:pPr>
        <w:spacing w:after="284" w:line="259" w:lineRule="auto"/>
        <w:ind w:left="-29" w:right="-25" w:firstLine="0"/>
        <w:jc w:val="left"/>
      </w:pPr>
      <w:r w:rsidRPr="00716631">
        <w:rPr>
          <w:noProof/>
        </w:rPr>
        <mc:AlternateContent>
          <mc:Choice Requires="wpg">
            <w:drawing>
              <wp:inline distT="0" distB="0" distL="0" distR="0" wp14:anchorId="7C4AA0F3" wp14:editId="07D38F66">
                <wp:extent cx="5795645" cy="12192"/>
                <wp:effectExtent l="0" t="0" r="0" b="0"/>
                <wp:docPr id="20836" name="Group 20836"/>
                <wp:cNvGraphicFramePr/>
                <a:graphic xmlns:a="http://schemas.openxmlformats.org/drawingml/2006/main">
                  <a:graphicData uri="http://schemas.microsoft.com/office/word/2010/wordprocessingGroup">
                    <wpg:wgp>
                      <wpg:cNvGrpSpPr/>
                      <wpg:grpSpPr>
                        <a:xfrm>
                          <a:off x="0" y="0"/>
                          <a:ext cx="5795645" cy="12192"/>
                          <a:chOff x="0" y="0"/>
                          <a:chExt cx="5795645" cy="12192"/>
                        </a:xfrm>
                      </wpg:grpSpPr>
                      <wps:wsp>
                        <wps:cNvPr id="26230" name="Shape 26230"/>
                        <wps:cNvSpPr/>
                        <wps:spPr>
                          <a:xfrm>
                            <a:off x="0" y="0"/>
                            <a:ext cx="5795645" cy="12192"/>
                          </a:xfrm>
                          <a:custGeom>
                            <a:avLst/>
                            <a:gdLst/>
                            <a:ahLst/>
                            <a:cxnLst/>
                            <a:rect l="0" t="0" r="0" b="0"/>
                            <a:pathLst>
                              <a:path w="5795645" h="12192">
                                <a:moveTo>
                                  <a:pt x="0" y="0"/>
                                </a:moveTo>
                                <a:lnTo>
                                  <a:pt x="5795645" y="0"/>
                                </a:lnTo>
                                <a:lnTo>
                                  <a:pt x="5795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w:pict>
              <v:group id="Group 20836" style="width:456.35pt;height:.95pt;mso-position-horizontal-relative:char;mso-position-vertical-relative:line" coordsize="57956,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" w14:anchorId="17181A4A">
                <v:shape id="Shape 26230" style="position:absolute;width:57956;height:121;visibility:visible;mso-wrap-style:square;v-text-anchor:top" coordsize="5795645,12192" o:spid="_x0000_s1027" fillcolor="black" stroked="f" strokeweight="0" path="m,l5795645,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">
                  <v:stroke miterlimit="83231f" joinstyle="miter"/>
                  <v:path textboxrect="0,0,5795645,12192" arrowok="t"/>
                </v:shape>
                <w10:anchorlock/>
              </v:group>
            </w:pict>
          </mc:Fallback>
        </mc:AlternateContent>
      </w:r>
    </w:p>
    <w:p w14:paraId="6133DB46" w14:textId="16E005A3" w:rsidR="002B13C1" w:rsidRPr="00716631" w:rsidRDefault="00816A35" w:rsidP="0363F18F">
      <w:pPr>
        <w:spacing w:after="10"/>
        <w:ind w:left="-5" w:right="54"/>
      </w:pPr>
      <w:r w:rsidRPr="0363F18F">
        <w:t xml:space="preserve">Neste </w:t>
      </w:r>
      <w:r w:rsidR="00550EF9" w:rsidRPr="0363F18F">
        <w:t>regulamento</w:t>
      </w:r>
      <w:r w:rsidRPr="0363F18F">
        <w:t xml:space="preserve">, os termos em </w:t>
      </w:r>
      <w:r w:rsidR="000278E2" w:rsidRPr="0363F18F">
        <w:t xml:space="preserve">letras </w:t>
      </w:r>
      <w:r w:rsidRPr="0363F18F">
        <w:t xml:space="preserve">maiúsculas têm os significados estabelecidos no </w:t>
      </w:r>
      <w:proofErr w:type="spellStart"/>
      <w:r w:rsidR="000278E2" w:rsidRPr="0363F18F">
        <w:rPr>
          <w:i/>
          <w:iCs/>
        </w:rPr>
        <w:t>prospectus</w:t>
      </w:r>
      <w:proofErr w:type="spellEnd"/>
      <w:r w:rsidRPr="0363F18F">
        <w:t xml:space="preserve">, salvo indicação </w:t>
      </w:r>
      <w:r w:rsidR="0098725A">
        <w:t>de outra forma</w:t>
      </w:r>
      <w:r w:rsidRPr="0363F18F">
        <w:t xml:space="preserve"> a seguir: </w:t>
      </w:r>
    </w:p>
    <w:p w14:paraId="2FD4FD8B" w14:textId="77777777" w:rsidR="000278E2" w:rsidRPr="00716631" w:rsidRDefault="000278E2">
      <w:pPr>
        <w:spacing w:after="10"/>
        <w:ind w:left="-5" w:right="54"/>
      </w:pPr>
    </w:p>
    <w:tbl>
      <w:tblPr>
        <w:tblStyle w:val="TableGrid"/>
        <w:tblW w:w="8903" w:type="dxa"/>
        <w:tblInd w:w="108" w:type="dxa"/>
        <w:tblLook w:val="04A0" w:firstRow="1" w:lastRow="0" w:firstColumn="1" w:lastColumn="0" w:noHBand="0" w:noVBand="1"/>
      </w:tblPr>
      <w:tblGrid>
        <w:gridCol w:w="2721"/>
        <w:gridCol w:w="6182"/>
      </w:tblGrid>
      <w:tr w:rsidR="002B13C1" w:rsidRPr="00716631" w14:paraId="65AD3A21" w14:textId="77777777" w:rsidTr="0363F18F">
        <w:trPr>
          <w:trHeight w:val="1411"/>
        </w:trPr>
        <w:tc>
          <w:tcPr>
            <w:tcW w:w="2721" w:type="dxa"/>
            <w:tcBorders>
              <w:top w:val="nil"/>
              <w:left w:val="nil"/>
              <w:bottom w:val="nil"/>
              <w:right w:val="nil"/>
            </w:tcBorders>
          </w:tcPr>
          <w:p w14:paraId="1D6FF149" w14:textId="556D7FBC" w:rsidR="002B13C1" w:rsidRPr="00352F29" w:rsidRDefault="00DB0FA4">
            <w:pPr>
              <w:spacing w:after="218" w:line="259" w:lineRule="auto"/>
              <w:ind w:left="0" w:firstLine="0"/>
              <w:jc w:val="left"/>
            </w:pPr>
            <w:r w:rsidRPr="00352F29">
              <w:rPr>
                <w:b/>
                <w:i/>
              </w:rPr>
              <w:t xml:space="preserve">Quota </w:t>
            </w:r>
            <w:r w:rsidR="00816A35" w:rsidRPr="00352F29">
              <w:rPr>
                <w:b/>
                <w:i/>
              </w:rPr>
              <w:t xml:space="preserve">BB </w:t>
            </w:r>
            <w:r w:rsidR="008D17E7" w:rsidRPr="00352F29">
              <w:rPr>
                <w:b/>
                <w:i/>
              </w:rPr>
              <w:t>Fund D</w:t>
            </w:r>
            <w:r w:rsidR="00816A35" w:rsidRPr="00352F29">
              <w:rPr>
                <w:b/>
                <w:i/>
              </w:rPr>
              <w:t xml:space="preserve"> </w:t>
            </w:r>
          </w:p>
          <w:p w14:paraId="5F077B27" w14:textId="77777777" w:rsidR="002C0F33" w:rsidRPr="00352F29" w:rsidRDefault="00816A35" w:rsidP="002C0F33">
            <w:pPr>
              <w:spacing w:after="218" w:line="259" w:lineRule="auto"/>
              <w:ind w:left="0" w:firstLine="0"/>
              <w:jc w:val="left"/>
              <w:rPr>
                <w:b/>
                <w:i/>
              </w:rPr>
            </w:pPr>
            <w:r w:rsidRPr="00352F29">
              <w:rPr>
                <w:b/>
                <w:i/>
              </w:rPr>
              <w:t xml:space="preserve"> </w:t>
            </w:r>
          </w:p>
          <w:p w14:paraId="089B17FB" w14:textId="77504F84" w:rsidR="002B13C1" w:rsidRPr="00352F29" w:rsidRDefault="00816A35" w:rsidP="002C0F33">
            <w:pPr>
              <w:spacing w:after="218" w:line="259" w:lineRule="auto"/>
              <w:ind w:left="0" w:firstLine="0"/>
              <w:jc w:val="left"/>
            </w:pPr>
            <w:r w:rsidRPr="00352F29">
              <w:rPr>
                <w:b/>
                <w:i/>
              </w:rPr>
              <w:t xml:space="preserve">Dia útil </w:t>
            </w:r>
          </w:p>
        </w:tc>
        <w:tc>
          <w:tcPr>
            <w:tcW w:w="6182" w:type="dxa"/>
            <w:tcBorders>
              <w:top w:val="nil"/>
              <w:left w:val="nil"/>
              <w:bottom w:val="nil"/>
              <w:right w:val="nil"/>
            </w:tcBorders>
          </w:tcPr>
          <w:p w14:paraId="40F3B0C1" w14:textId="2558E69C" w:rsidR="002B13C1" w:rsidRPr="00716631" w:rsidRDefault="00816A35">
            <w:pPr>
              <w:spacing w:after="237" w:line="240" w:lineRule="auto"/>
              <w:ind w:left="0" w:firstLine="0"/>
              <w:jc w:val="left"/>
            </w:pPr>
            <w:r w:rsidRPr="00716631">
              <w:rPr>
                <w:lang w:val="pt"/>
              </w:rPr>
              <w:t xml:space="preserve">uma </w:t>
            </w:r>
            <w:r w:rsidR="00DB0FA4" w:rsidRPr="00716631">
              <w:rPr>
                <w:lang w:val="pt"/>
              </w:rPr>
              <w:t>q</w:t>
            </w:r>
            <w:r w:rsidR="00AB77A8" w:rsidRPr="00716631">
              <w:rPr>
                <w:lang w:val="pt"/>
              </w:rPr>
              <w:t>uota</w:t>
            </w:r>
            <w:r w:rsidRPr="00716631">
              <w:rPr>
                <w:lang w:val="pt"/>
              </w:rPr>
              <w:t xml:space="preserve"> designada como </w:t>
            </w:r>
            <w:r w:rsidR="00DB0FA4" w:rsidRPr="00716631">
              <w:rPr>
                <w:lang w:val="pt"/>
              </w:rPr>
              <w:t>q</w:t>
            </w:r>
            <w:r w:rsidR="00B7643A" w:rsidRPr="00716631">
              <w:rPr>
                <w:lang w:val="pt"/>
              </w:rPr>
              <w:t xml:space="preserve">uota </w:t>
            </w:r>
            <w:r w:rsidR="0017470E">
              <w:rPr>
                <w:lang w:val="pt"/>
              </w:rPr>
              <w:t>D</w:t>
            </w:r>
            <w:r w:rsidR="00412384" w:rsidRPr="00716631">
              <w:rPr>
                <w:lang w:val="pt"/>
              </w:rPr>
              <w:t xml:space="preserve"> </w:t>
            </w:r>
            <w:r w:rsidRPr="00716631">
              <w:rPr>
                <w:lang w:val="pt"/>
              </w:rPr>
              <w:t xml:space="preserve">de acordo com os termos dos Artigos da Companhia. </w:t>
            </w:r>
          </w:p>
          <w:p w14:paraId="5FD0BB45" w14:textId="77777777" w:rsidR="002B13C1" w:rsidRPr="00716631" w:rsidRDefault="00816A35">
            <w:pPr>
              <w:spacing w:after="0" w:line="259" w:lineRule="auto"/>
              <w:ind w:left="0" w:firstLine="0"/>
              <w:jc w:val="left"/>
            </w:pPr>
            <w:r w:rsidRPr="00716631">
              <w:rPr>
                <w:lang w:val="pt"/>
              </w:rPr>
              <w:t xml:space="preserve">qualquer dia em que os bancos estejam abertos para negócios nas Ilhas Cayman, Nova York e Brasil. </w:t>
            </w:r>
          </w:p>
        </w:tc>
      </w:tr>
      <w:tr w:rsidR="002B13C1" w:rsidRPr="00716631" w14:paraId="4209C21A" w14:textId="77777777" w:rsidTr="0363F18F">
        <w:trPr>
          <w:trHeight w:val="1046"/>
        </w:trPr>
        <w:tc>
          <w:tcPr>
            <w:tcW w:w="2721" w:type="dxa"/>
            <w:tcBorders>
              <w:top w:val="nil"/>
              <w:left w:val="nil"/>
              <w:bottom w:val="nil"/>
              <w:right w:val="nil"/>
            </w:tcBorders>
          </w:tcPr>
          <w:p w14:paraId="419BEBB0" w14:textId="77777777" w:rsidR="002B13C1" w:rsidRPr="00716631" w:rsidRDefault="00816A35">
            <w:pPr>
              <w:spacing w:after="0" w:line="259" w:lineRule="auto"/>
              <w:ind w:left="0" w:right="176" w:firstLine="0"/>
              <w:jc w:val="left"/>
            </w:pPr>
            <w:r w:rsidRPr="00716631">
              <w:rPr>
                <w:b/>
                <w:i/>
                <w:lang w:val="pt"/>
              </w:rPr>
              <w:t xml:space="preserve">Investimento Inicial Mínimo </w:t>
            </w:r>
          </w:p>
        </w:tc>
        <w:tc>
          <w:tcPr>
            <w:tcW w:w="6182" w:type="dxa"/>
            <w:tcBorders>
              <w:top w:val="nil"/>
              <w:left w:val="nil"/>
              <w:bottom w:val="nil"/>
              <w:right w:val="nil"/>
            </w:tcBorders>
            <w:vAlign w:val="center"/>
          </w:tcPr>
          <w:p w14:paraId="15ADA7C4" w14:textId="397BD4B4" w:rsidR="002B13C1" w:rsidRPr="00716631" w:rsidRDefault="00DB0FA4">
            <w:pPr>
              <w:spacing w:after="0" w:line="259" w:lineRule="auto"/>
              <w:ind w:left="0" w:right="46" w:firstLine="0"/>
            </w:pPr>
            <w:r w:rsidRPr="00716631">
              <w:rPr>
                <w:lang w:val="pt"/>
              </w:rPr>
              <w:t>q</w:t>
            </w:r>
            <w:r w:rsidR="00663095" w:rsidRPr="00716631">
              <w:rPr>
                <w:lang w:val="pt"/>
              </w:rPr>
              <w:t>uotas</w:t>
            </w:r>
            <w:r w:rsidR="00816A35" w:rsidRPr="00716631">
              <w:rPr>
                <w:lang w:val="pt"/>
              </w:rPr>
              <w:t xml:space="preserve"> com um Valor Patrimonial Líquido agregado não inferior a US$ 50.000 ou um valor menor que os Diretores possam determinar, em geral ou em qualquer caso particular. </w:t>
            </w:r>
          </w:p>
        </w:tc>
      </w:tr>
      <w:tr w:rsidR="002B13C1" w:rsidRPr="00716631" w14:paraId="7D8E5BF5" w14:textId="77777777" w:rsidTr="0363F18F">
        <w:trPr>
          <w:trHeight w:val="778"/>
        </w:trPr>
        <w:tc>
          <w:tcPr>
            <w:tcW w:w="2721" w:type="dxa"/>
            <w:tcBorders>
              <w:top w:val="nil"/>
              <w:left w:val="nil"/>
              <w:bottom w:val="nil"/>
              <w:right w:val="nil"/>
            </w:tcBorders>
          </w:tcPr>
          <w:p w14:paraId="6B2EEEF3" w14:textId="77777777" w:rsidR="00C4791C" w:rsidRPr="00716631" w:rsidRDefault="00C4791C">
            <w:pPr>
              <w:spacing w:after="0" w:line="259" w:lineRule="auto"/>
              <w:ind w:left="0" w:firstLine="0"/>
              <w:jc w:val="left"/>
              <w:rPr>
                <w:b/>
                <w:i/>
                <w:lang w:val="pt"/>
              </w:rPr>
            </w:pPr>
          </w:p>
          <w:p w14:paraId="0B682642" w14:textId="4F212A9A" w:rsidR="002B13C1" w:rsidRPr="00716631" w:rsidRDefault="00640F5F">
            <w:pPr>
              <w:spacing w:after="0" w:line="259" w:lineRule="auto"/>
              <w:ind w:left="0" w:firstLine="0"/>
              <w:jc w:val="left"/>
            </w:pPr>
            <w:r w:rsidRPr="00716631">
              <w:rPr>
                <w:b/>
                <w:i/>
                <w:lang w:val="pt"/>
              </w:rPr>
              <w:t>Patrimônio</w:t>
            </w:r>
            <w:r w:rsidR="005727FA" w:rsidRPr="00716631">
              <w:rPr>
                <w:b/>
                <w:i/>
                <w:lang w:val="pt"/>
              </w:rPr>
              <w:t xml:space="preserve"> Líquido</w:t>
            </w:r>
            <w:r w:rsidR="00816A35" w:rsidRPr="00716631">
              <w:rPr>
                <w:b/>
                <w:i/>
                <w:lang w:val="pt"/>
              </w:rPr>
              <w:t xml:space="preserve"> </w:t>
            </w:r>
          </w:p>
        </w:tc>
        <w:tc>
          <w:tcPr>
            <w:tcW w:w="6182" w:type="dxa"/>
            <w:tcBorders>
              <w:top w:val="nil"/>
              <w:left w:val="nil"/>
              <w:bottom w:val="nil"/>
              <w:right w:val="nil"/>
            </w:tcBorders>
            <w:vAlign w:val="center"/>
          </w:tcPr>
          <w:p w14:paraId="3590580B" w14:textId="256C6BDE" w:rsidR="002B13C1" w:rsidRPr="00716631" w:rsidRDefault="00DB0FA4" w:rsidP="002C0F33">
            <w:pPr>
              <w:spacing w:after="0" w:line="259" w:lineRule="auto"/>
              <w:ind w:left="0" w:firstLine="0"/>
            </w:pPr>
            <w:r w:rsidRPr="0363F18F">
              <w:t>o</w:t>
            </w:r>
            <w:r w:rsidR="00816A35" w:rsidRPr="0363F18F">
              <w:t xml:space="preserve"> valor patrimonial líquido do Subfundo, determinado conforme descrito na seção do </w:t>
            </w:r>
            <w:proofErr w:type="spellStart"/>
            <w:r w:rsidR="002C0F33" w:rsidRPr="0363F18F">
              <w:rPr>
                <w:i/>
                <w:iCs/>
              </w:rPr>
              <w:t>prospectus</w:t>
            </w:r>
            <w:proofErr w:type="spellEnd"/>
            <w:r w:rsidR="00816A35" w:rsidRPr="0363F18F">
              <w:t xml:space="preserve"> intitulada "Valor Líquido dos Ativos". </w:t>
            </w:r>
          </w:p>
        </w:tc>
      </w:tr>
      <w:tr w:rsidR="002B13C1" w:rsidRPr="00716631" w14:paraId="1A17F718" w14:textId="77777777" w:rsidTr="0363F18F">
        <w:trPr>
          <w:trHeight w:val="776"/>
        </w:trPr>
        <w:tc>
          <w:tcPr>
            <w:tcW w:w="2721" w:type="dxa"/>
            <w:tcBorders>
              <w:top w:val="nil"/>
              <w:left w:val="nil"/>
              <w:bottom w:val="nil"/>
              <w:right w:val="nil"/>
            </w:tcBorders>
          </w:tcPr>
          <w:p w14:paraId="6D15FC49" w14:textId="77777777" w:rsidR="00C4791C" w:rsidRPr="00716631" w:rsidRDefault="00C4791C">
            <w:pPr>
              <w:spacing w:after="0" w:line="259" w:lineRule="auto"/>
              <w:ind w:left="0" w:firstLine="0"/>
              <w:jc w:val="left"/>
              <w:rPr>
                <w:b/>
                <w:i/>
                <w:lang w:val="pt"/>
              </w:rPr>
            </w:pPr>
          </w:p>
          <w:p w14:paraId="092E5ACE" w14:textId="77777777" w:rsidR="00B7643A" w:rsidRPr="00716631" w:rsidRDefault="00816A35">
            <w:pPr>
              <w:spacing w:after="0" w:line="259" w:lineRule="auto"/>
              <w:ind w:left="0" w:firstLine="0"/>
              <w:jc w:val="left"/>
              <w:rPr>
                <w:b/>
                <w:i/>
                <w:lang w:val="pt"/>
              </w:rPr>
            </w:pPr>
            <w:r w:rsidRPr="00716631">
              <w:rPr>
                <w:b/>
                <w:i/>
                <w:lang w:val="pt"/>
              </w:rPr>
              <w:t xml:space="preserve">Valor Patrimonial Líquido </w:t>
            </w:r>
          </w:p>
          <w:p w14:paraId="596ACE86" w14:textId="2A869C7E" w:rsidR="002B13C1" w:rsidRPr="00716631" w:rsidRDefault="00816A35">
            <w:pPr>
              <w:spacing w:after="0" w:line="259" w:lineRule="auto"/>
              <w:ind w:left="0" w:firstLine="0"/>
              <w:jc w:val="left"/>
            </w:pPr>
            <w:r w:rsidRPr="00716631">
              <w:rPr>
                <w:b/>
                <w:i/>
                <w:lang w:val="pt"/>
              </w:rPr>
              <w:t xml:space="preserve">por Ação </w:t>
            </w:r>
          </w:p>
        </w:tc>
        <w:tc>
          <w:tcPr>
            <w:tcW w:w="6182" w:type="dxa"/>
            <w:tcBorders>
              <w:top w:val="nil"/>
              <w:left w:val="nil"/>
              <w:bottom w:val="nil"/>
              <w:right w:val="nil"/>
            </w:tcBorders>
            <w:vAlign w:val="center"/>
          </w:tcPr>
          <w:p w14:paraId="7181C2B8" w14:textId="01269676" w:rsidR="002B13C1" w:rsidRPr="00716631" w:rsidRDefault="00816A35" w:rsidP="00B7643A">
            <w:pPr>
              <w:spacing w:after="0" w:line="259" w:lineRule="auto"/>
              <w:ind w:left="0" w:firstLine="0"/>
            </w:pPr>
            <w:r w:rsidRPr="00716631">
              <w:rPr>
                <w:lang w:val="pt"/>
              </w:rPr>
              <w:t xml:space="preserve">em relação a uma Participação de qualquer Subfundo dividida pelo número de Quotas Participantes desse Subfundo em </w:t>
            </w:r>
            <w:r w:rsidR="00B7643A" w:rsidRPr="00716631">
              <w:rPr>
                <w:lang w:val="pt"/>
              </w:rPr>
              <w:t>questão</w:t>
            </w:r>
            <w:r w:rsidRPr="00716631">
              <w:rPr>
                <w:lang w:val="pt"/>
              </w:rPr>
              <w:t xml:space="preserve">. </w:t>
            </w:r>
          </w:p>
        </w:tc>
      </w:tr>
      <w:tr w:rsidR="002B13C1" w:rsidRPr="00716631" w14:paraId="09EFE535" w14:textId="77777777" w:rsidTr="0363F18F">
        <w:trPr>
          <w:trHeight w:val="1314"/>
        </w:trPr>
        <w:tc>
          <w:tcPr>
            <w:tcW w:w="2721" w:type="dxa"/>
            <w:tcBorders>
              <w:top w:val="nil"/>
              <w:left w:val="nil"/>
              <w:bottom w:val="nil"/>
              <w:right w:val="nil"/>
            </w:tcBorders>
          </w:tcPr>
          <w:p w14:paraId="0D96470C" w14:textId="77777777" w:rsidR="00C4791C" w:rsidRPr="00716631" w:rsidRDefault="00C4791C">
            <w:pPr>
              <w:spacing w:after="0" w:line="259" w:lineRule="auto"/>
              <w:ind w:left="0" w:firstLine="0"/>
              <w:jc w:val="left"/>
              <w:rPr>
                <w:b/>
                <w:i/>
                <w:lang w:val="pt"/>
              </w:rPr>
            </w:pPr>
          </w:p>
          <w:p w14:paraId="246F1D13" w14:textId="490723BC" w:rsidR="002B13C1" w:rsidRPr="00716631" w:rsidRDefault="00B7643A">
            <w:pPr>
              <w:spacing w:after="0" w:line="259" w:lineRule="auto"/>
              <w:ind w:left="0" w:firstLine="0"/>
              <w:jc w:val="left"/>
            </w:pPr>
            <w:r w:rsidRPr="00716631">
              <w:rPr>
                <w:b/>
                <w:i/>
                <w:lang w:val="pt"/>
              </w:rPr>
              <w:t>Quota de participação</w:t>
            </w:r>
          </w:p>
        </w:tc>
        <w:tc>
          <w:tcPr>
            <w:tcW w:w="6182" w:type="dxa"/>
            <w:tcBorders>
              <w:top w:val="nil"/>
              <w:left w:val="nil"/>
              <w:bottom w:val="nil"/>
              <w:right w:val="nil"/>
            </w:tcBorders>
            <w:vAlign w:val="center"/>
          </w:tcPr>
          <w:p w14:paraId="55BB3512" w14:textId="03FCFA59" w:rsidR="002B13C1" w:rsidRPr="00716631" w:rsidRDefault="00816A35" w:rsidP="00B7643A">
            <w:pPr>
              <w:spacing w:after="0" w:line="259" w:lineRule="auto"/>
              <w:ind w:left="0" w:right="47" w:firstLine="0"/>
            </w:pPr>
            <w:r w:rsidRPr="0363F18F">
              <w:t xml:space="preserve">uma </w:t>
            </w:r>
            <w:r w:rsidR="00B7643A" w:rsidRPr="0363F18F">
              <w:t>quota participante</w:t>
            </w:r>
            <w:r w:rsidRPr="0363F18F">
              <w:t xml:space="preserve"> resgatável, sem direito a voto, de valor nominal de US$ 0,01 no capital da Companhia, atribuível ao Subfundo e oferecida para </w:t>
            </w:r>
            <w:r w:rsidR="00B7643A" w:rsidRPr="0363F18F">
              <w:t>aplicação</w:t>
            </w:r>
            <w:r w:rsidRPr="0363F18F">
              <w:t xml:space="preserve"> </w:t>
            </w:r>
            <w:r w:rsidR="002C0F33" w:rsidRPr="0363F18F">
              <w:t>sob os</w:t>
            </w:r>
            <w:r w:rsidRPr="0363F18F">
              <w:t xml:space="preserve"> termos do </w:t>
            </w:r>
            <w:proofErr w:type="spellStart"/>
            <w:r w:rsidR="00B7643A" w:rsidRPr="0363F18F">
              <w:rPr>
                <w:i/>
                <w:iCs/>
              </w:rPr>
              <w:t>p</w:t>
            </w:r>
            <w:r w:rsidR="002C0F33" w:rsidRPr="0363F18F">
              <w:rPr>
                <w:i/>
                <w:iCs/>
              </w:rPr>
              <w:t>rospectus</w:t>
            </w:r>
            <w:proofErr w:type="spellEnd"/>
            <w:r w:rsidRPr="0363F18F">
              <w:t xml:space="preserve"> e deste </w:t>
            </w:r>
            <w:r w:rsidR="00B7643A" w:rsidRPr="0363F18F">
              <w:t>regulamento</w:t>
            </w:r>
            <w:r w:rsidRPr="0363F18F">
              <w:t xml:space="preserve">. </w:t>
            </w:r>
          </w:p>
        </w:tc>
      </w:tr>
      <w:tr w:rsidR="002B13C1" w:rsidRPr="00716631" w14:paraId="4C0EA6F9" w14:textId="77777777" w:rsidTr="0363F18F">
        <w:trPr>
          <w:trHeight w:val="509"/>
        </w:trPr>
        <w:tc>
          <w:tcPr>
            <w:tcW w:w="2721" w:type="dxa"/>
            <w:tcBorders>
              <w:top w:val="nil"/>
              <w:left w:val="nil"/>
              <w:bottom w:val="nil"/>
              <w:right w:val="nil"/>
            </w:tcBorders>
            <w:vAlign w:val="center"/>
          </w:tcPr>
          <w:p w14:paraId="5338EAC9" w14:textId="7E28A6F7" w:rsidR="002B13C1" w:rsidRPr="00716631" w:rsidRDefault="002C0F33">
            <w:pPr>
              <w:spacing w:after="0" w:line="259" w:lineRule="auto"/>
              <w:ind w:left="0" w:firstLine="0"/>
              <w:jc w:val="left"/>
            </w:pPr>
            <w:proofErr w:type="spellStart"/>
            <w:r w:rsidRPr="0363F18F">
              <w:rPr>
                <w:b/>
                <w:bCs/>
                <w:i/>
                <w:iCs/>
              </w:rPr>
              <w:t>Prospectus</w:t>
            </w:r>
            <w:proofErr w:type="spellEnd"/>
            <w:r w:rsidR="00816A35" w:rsidRPr="0363F18F">
              <w:rPr>
                <w:b/>
                <w:bCs/>
                <w:i/>
                <w:iCs/>
              </w:rPr>
              <w:t xml:space="preserve"> </w:t>
            </w:r>
          </w:p>
        </w:tc>
        <w:tc>
          <w:tcPr>
            <w:tcW w:w="6182" w:type="dxa"/>
            <w:tcBorders>
              <w:top w:val="nil"/>
              <w:left w:val="nil"/>
              <w:bottom w:val="nil"/>
              <w:right w:val="nil"/>
            </w:tcBorders>
            <w:vAlign w:val="center"/>
          </w:tcPr>
          <w:p w14:paraId="4993F444" w14:textId="1863A716" w:rsidR="002B13C1" w:rsidRPr="00716631" w:rsidRDefault="00816A35" w:rsidP="00B7643A">
            <w:pPr>
              <w:spacing w:after="0" w:line="259" w:lineRule="auto"/>
              <w:ind w:left="0" w:firstLine="0"/>
              <w:jc w:val="left"/>
            </w:pPr>
            <w:r w:rsidRPr="0363F18F">
              <w:t xml:space="preserve">o </w:t>
            </w:r>
            <w:proofErr w:type="spellStart"/>
            <w:r w:rsidR="002C0F33" w:rsidRPr="0363F18F">
              <w:rPr>
                <w:i/>
                <w:iCs/>
              </w:rPr>
              <w:t>prospectus</w:t>
            </w:r>
            <w:proofErr w:type="spellEnd"/>
            <w:r w:rsidR="00B7643A" w:rsidRPr="0363F18F">
              <w:t xml:space="preserve"> da Empresa, conforme ajustado </w:t>
            </w:r>
            <w:r w:rsidR="00E7661D" w:rsidRPr="0363F18F">
              <w:t>periodicamente</w:t>
            </w:r>
            <w:r w:rsidRPr="0363F18F">
              <w:t xml:space="preserve">. </w:t>
            </w:r>
          </w:p>
        </w:tc>
      </w:tr>
      <w:tr w:rsidR="002B13C1" w:rsidRPr="00716631" w14:paraId="5E4897D6" w14:textId="77777777" w:rsidTr="0363F18F">
        <w:trPr>
          <w:trHeight w:val="777"/>
        </w:trPr>
        <w:tc>
          <w:tcPr>
            <w:tcW w:w="2721" w:type="dxa"/>
            <w:tcBorders>
              <w:top w:val="nil"/>
              <w:left w:val="nil"/>
              <w:bottom w:val="nil"/>
              <w:right w:val="nil"/>
            </w:tcBorders>
          </w:tcPr>
          <w:p w14:paraId="489FC3D1" w14:textId="77777777" w:rsidR="00C4791C" w:rsidRPr="00716631" w:rsidRDefault="00C4791C">
            <w:pPr>
              <w:spacing w:after="0" w:line="259" w:lineRule="auto"/>
              <w:ind w:left="0" w:firstLine="0"/>
              <w:jc w:val="left"/>
              <w:rPr>
                <w:b/>
                <w:i/>
                <w:lang w:val="pt"/>
              </w:rPr>
            </w:pPr>
          </w:p>
          <w:p w14:paraId="6928893A" w14:textId="4D1F120F" w:rsidR="002B13C1" w:rsidRPr="00716631" w:rsidRDefault="00C4791C" w:rsidP="00C4791C">
            <w:pPr>
              <w:spacing w:after="0" w:line="259" w:lineRule="auto"/>
              <w:ind w:left="0" w:firstLine="0"/>
              <w:jc w:val="left"/>
            </w:pPr>
            <w:r w:rsidRPr="00716631">
              <w:rPr>
                <w:b/>
                <w:i/>
                <w:lang w:val="pt"/>
              </w:rPr>
              <w:t>Dia de resgate</w:t>
            </w:r>
          </w:p>
        </w:tc>
        <w:tc>
          <w:tcPr>
            <w:tcW w:w="6182" w:type="dxa"/>
            <w:tcBorders>
              <w:top w:val="nil"/>
              <w:left w:val="nil"/>
              <w:bottom w:val="nil"/>
              <w:right w:val="nil"/>
            </w:tcBorders>
            <w:vAlign w:val="center"/>
          </w:tcPr>
          <w:p w14:paraId="5325700D" w14:textId="7B166604" w:rsidR="002B13C1" w:rsidRPr="00716631" w:rsidRDefault="00816A35" w:rsidP="00DB0FA4">
            <w:pPr>
              <w:spacing w:after="0" w:line="259" w:lineRule="auto"/>
              <w:ind w:left="0" w:firstLine="0"/>
            </w:pPr>
            <w:r w:rsidRPr="00716631">
              <w:rPr>
                <w:lang w:val="pt"/>
              </w:rPr>
              <w:t xml:space="preserve">cada </w:t>
            </w:r>
            <w:r w:rsidR="00DB0FA4" w:rsidRPr="00716631">
              <w:rPr>
                <w:lang w:val="pt"/>
              </w:rPr>
              <w:t xml:space="preserve">dia útil e/ou qualquer outro dia </w:t>
            </w:r>
            <w:r w:rsidRPr="00716631">
              <w:rPr>
                <w:lang w:val="pt"/>
              </w:rPr>
              <w:t xml:space="preserve">que os Diretores possam determinar, em geral ou em qualquer caso particular. </w:t>
            </w:r>
          </w:p>
        </w:tc>
      </w:tr>
      <w:tr w:rsidR="002B13C1" w:rsidRPr="00716631" w14:paraId="6A1A3438" w14:textId="77777777" w:rsidTr="0363F18F">
        <w:trPr>
          <w:trHeight w:val="1045"/>
        </w:trPr>
        <w:tc>
          <w:tcPr>
            <w:tcW w:w="2721" w:type="dxa"/>
            <w:tcBorders>
              <w:top w:val="nil"/>
              <w:left w:val="nil"/>
              <w:bottom w:val="nil"/>
              <w:right w:val="nil"/>
            </w:tcBorders>
          </w:tcPr>
          <w:p w14:paraId="1F55F870" w14:textId="77777777" w:rsidR="002C0F33" w:rsidRPr="00716631" w:rsidRDefault="002C0F33">
            <w:pPr>
              <w:spacing w:after="0" w:line="259" w:lineRule="auto"/>
              <w:ind w:left="0" w:firstLine="0"/>
              <w:jc w:val="left"/>
              <w:rPr>
                <w:b/>
                <w:i/>
                <w:lang w:val="pt"/>
              </w:rPr>
            </w:pPr>
          </w:p>
          <w:p w14:paraId="21F5C2E9" w14:textId="53CDF5A7" w:rsidR="002B13C1" w:rsidRPr="00716631" w:rsidRDefault="00816A35">
            <w:pPr>
              <w:spacing w:after="0" w:line="259" w:lineRule="auto"/>
              <w:ind w:left="0" w:firstLine="0"/>
              <w:jc w:val="left"/>
            </w:pPr>
            <w:r w:rsidRPr="00716631">
              <w:rPr>
                <w:b/>
                <w:i/>
                <w:lang w:val="pt"/>
              </w:rPr>
              <w:t xml:space="preserve">Preço de Resgate </w:t>
            </w:r>
          </w:p>
        </w:tc>
        <w:tc>
          <w:tcPr>
            <w:tcW w:w="6182" w:type="dxa"/>
            <w:tcBorders>
              <w:top w:val="nil"/>
              <w:left w:val="nil"/>
              <w:bottom w:val="nil"/>
              <w:right w:val="nil"/>
            </w:tcBorders>
            <w:vAlign w:val="center"/>
          </w:tcPr>
          <w:p w14:paraId="6C433A23" w14:textId="5513C98E" w:rsidR="002B13C1" w:rsidRPr="00716631" w:rsidRDefault="0024400F" w:rsidP="00DB0FA4">
            <w:pPr>
              <w:spacing w:after="0" w:line="259" w:lineRule="auto"/>
              <w:ind w:left="0" w:right="45" w:firstLine="0"/>
            </w:pPr>
            <w:r w:rsidRPr="0363F18F">
              <w:t>o</w:t>
            </w:r>
            <w:r w:rsidR="00816A35" w:rsidRPr="0363F18F">
              <w:t xml:space="preserve"> preço por ação pelo qual as </w:t>
            </w:r>
            <w:r w:rsidR="00DB0FA4" w:rsidRPr="0363F18F">
              <w:t>quotas</w:t>
            </w:r>
            <w:r w:rsidR="00816A35" w:rsidRPr="0363F18F">
              <w:t xml:space="preserve"> do </w:t>
            </w:r>
            <w:proofErr w:type="spellStart"/>
            <w:r w:rsidR="00816A35" w:rsidRPr="0363F18F">
              <w:t>SubFundo</w:t>
            </w:r>
            <w:proofErr w:type="spellEnd"/>
            <w:r w:rsidR="00816A35" w:rsidRPr="0363F18F">
              <w:t xml:space="preserve"> podem ser resgatadas, calculado da maneira descrita na seção deste </w:t>
            </w:r>
            <w:r w:rsidR="00550EF9" w:rsidRPr="0363F18F">
              <w:t>regulamento</w:t>
            </w:r>
            <w:r w:rsidR="00816A35" w:rsidRPr="0363F18F">
              <w:t xml:space="preserve"> intitulada "</w:t>
            </w:r>
            <w:r w:rsidR="00DB0FA4" w:rsidRPr="0363F18F">
              <w:t>Aplicações</w:t>
            </w:r>
            <w:r w:rsidR="00816A35" w:rsidRPr="0363F18F">
              <w:t xml:space="preserve">". </w:t>
            </w:r>
          </w:p>
        </w:tc>
      </w:tr>
      <w:tr w:rsidR="002B13C1" w:rsidRPr="00716631" w14:paraId="3E6D6A88" w14:textId="77777777" w:rsidTr="0363F18F">
        <w:trPr>
          <w:trHeight w:val="776"/>
        </w:trPr>
        <w:tc>
          <w:tcPr>
            <w:tcW w:w="2721" w:type="dxa"/>
            <w:tcBorders>
              <w:top w:val="nil"/>
              <w:left w:val="nil"/>
              <w:bottom w:val="nil"/>
              <w:right w:val="nil"/>
            </w:tcBorders>
          </w:tcPr>
          <w:p w14:paraId="0A522A94" w14:textId="77777777" w:rsidR="002B13C1" w:rsidRPr="00716631" w:rsidRDefault="00816A35">
            <w:pPr>
              <w:spacing w:after="0" w:line="259" w:lineRule="auto"/>
              <w:ind w:left="0" w:firstLine="0"/>
              <w:jc w:val="left"/>
            </w:pPr>
            <w:r w:rsidRPr="00716631">
              <w:rPr>
                <w:b/>
                <w:i/>
                <w:lang w:val="pt"/>
              </w:rPr>
              <w:t xml:space="preserve">Subfundo </w:t>
            </w:r>
          </w:p>
        </w:tc>
        <w:tc>
          <w:tcPr>
            <w:tcW w:w="6182" w:type="dxa"/>
            <w:tcBorders>
              <w:top w:val="nil"/>
              <w:left w:val="nil"/>
              <w:bottom w:val="nil"/>
              <w:right w:val="nil"/>
            </w:tcBorders>
            <w:vAlign w:val="center"/>
          </w:tcPr>
          <w:p w14:paraId="0D382844" w14:textId="4E53851A" w:rsidR="002B13C1" w:rsidRPr="00716631" w:rsidRDefault="00DB0FA4" w:rsidP="00DB0FA4">
            <w:pPr>
              <w:spacing w:after="0" w:line="259" w:lineRule="auto"/>
              <w:ind w:left="0" w:firstLine="0"/>
            </w:pPr>
            <w:r w:rsidRPr="00716631">
              <w:rPr>
                <w:lang w:val="pt"/>
              </w:rPr>
              <w:t>Subf</w:t>
            </w:r>
            <w:r w:rsidR="00816A35" w:rsidRPr="00716631">
              <w:rPr>
                <w:lang w:val="pt"/>
              </w:rPr>
              <w:t xml:space="preserve">undo </w:t>
            </w:r>
            <w:r w:rsidR="008D17E7">
              <w:rPr>
                <w:lang w:val="pt"/>
              </w:rPr>
              <w:t>BB Fund D</w:t>
            </w:r>
            <w:r w:rsidR="00816A35" w:rsidRPr="00716631">
              <w:rPr>
                <w:lang w:val="pt"/>
              </w:rPr>
              <w:t xml:space="preserve">, carteira segregada da Companhia estabelecida de acordo com os Artigos. </w:t>
            </w:r>
          </w:p>
        </w:tc>
      </w:tr>
      <w:tr w:rsidR="002B13C1" w:rsidRPr="00716631" w14:paraId="142F640A" w14:textId="77777777" w:rsidTr="0363F18F">
        <w:trPr>
          <w:trHeight w:val="778"/>
        </w:trPr>
        <w:tc>
          <w:tcPr>
            <w:tcW w:w="2721" w:type="dxa"/>
            <w:tcBorders>
              <w:top w:val="nil"/>
              <w:left w:val="nil"/>
              <w:bottom w:val="nil"/>
              <w:right w:val="nil"/>
            </w:tcBorders>
          </w:tcPr>
          <w:p w14:paraId="0B01EA5D" w14:textId="77777777" w:rsidR="00DB0FA4" w:rsidRPr="00716631" w:rsidRDefault="00DB0FA4" w:rsidP="00357E39">
            <w:pPr>
              <w:spacing w:after="0" w:line="259" w:lineRule="auto"/>
              <w:ind w:left="0" w:firstLine="0"/>
              <w:jc w:val="left"/>
              <w:rPr>
                <w:b/>
                <w:i/>
                <w:lang w:val="pt"/>
              </w:rPr>
            </w:pPr>
          </w:p>
          <w:p w14:paraId="069CB53B" w14:textId="71E8CCB3" w:rsidR="002B13C1" w:rsidRPr="00716631" w:rsidRDefault="00816A35" w:rsidP="00357E39">
            <w:pPr>
              <w:spacing w:after="0" w:line="259" w:lineRule="auto"/>
              <w:ind w:left="0" w:firstLine="0"/>
              <w:jc w:val="left"/>
            </w:pPr>
            <w:r w:rsidRPr="00716631">
              <w:rPr>
                <w:b/>
                <w:i/>
                <w:lang w:val="pt"/>
              </w:rPr>
              <w:t xml:space="preserve">Dia da </w:t>
            </w:r>
            <w:r w:rsidR="00357E39" w:rsidRPr="00716631">
              <w:rPr>
                <w:b/>
                <w:i/>
                <w:lang w:val="pt"/>
              </w:rPr>
              <w:t>Aplicação</w:t>
            </w:r>
            <w:r w:rsidRPr="00716631">
              <w:rPr>
                <w:b/>
                <w:i/>
                <w:lang w:val="pt"/>
              </w:rPr>
              <w:t xml:space="preserve"> </w:t>
            </w:r>
          </w:p>
        </w:tc>
        <w:tc>
          <w:tcPr>
            <w:tcW w:w="6182" w:type="dxa"/>
            <w:tcBorders>
              <w:top w:val="nil"/>
              <w:left w:val="nil"/>
              <w:bottom w:val="nil"/>
              <w:right w:val="nil"/>
            </w:tcBorders>
            <w:vAlign w:val="center"/>
          </w:tcPr>
          <w:p w14:paraId="44E15965" w14:textId="3850235A" w:rsidR="002B13C1" w:rsidRPr="00716631" w:rsidRDefault="00816A35" w:rsidP="00DB0FA4">
            <w:pPr>
              <w:spacing w:after="0" w:line="259" w:lineRule="auto"/>
              <w:ind w:left="0" w:firstLine="0"/>
            </w:pPr>
            <w:r w:rsidRPr="00716631">
              <w:rPr>
                <w:lang w:val="pt"/>
              </w:rPr>
              <w:t xml:space="preserve">cada </w:t>
            </w:r>
            <w:r w:rsidR="00DB0FA4" w:rsidRPr="00716631">
              <w:rPr>
                <w:lang w:val="pt"/>
              </w:rPr>
              <w:t>d</w:t>
            </w:r>
            <w:r w:rsidRPr="00716631">
              <w:rPr>
                <w:lang w:val="pt"/>
              </w:rPr>
              <w:t xml:space="preserve">ia </w:t>
            </w:r>
            <w:r w:rsidR="00DB0FA4" w:rsidRPr="00716631">
              <w:rPr>
                <w:lang w:val="pt"/>
              </w:rPr>
              <w:t>ú</w:t>
            </w:r>
            <w:r w:rsidRPr="00716631">
              <w:rPr>
                <w:lang w:val="pt"/>
              </w:rPr>
              <w:t xml:space="preserve">til e/ou qualquer outro dia que os Diretores possam determinar, em geral ou em qualquer caso particular. </w:t>
            </w:r>
          </w:p>
        </w:tc>
      </w:tr>
      <w:tr w:rsidR="002B13C1" w:rsidRPr="00716631" w14:paraId="3EF362DF" w14:textId="77777777" w:rsidTr="0363F18F">
        <w:trPr>
          <w:trHeight w:val="1046"/>
        </w:trPr>
        <w:tc>
          <w:tcPr>
            <w:tcW w:w="2721" w:type="dxa"/>
            <w:tcBorders>
              <w:top w:val="nil"/>
              <w:left w:val="nil"/>
              <w:bottom w:val="nil"/>
              <w:right w:val="nil"/>
            </w:tcBorders>
            <w:vAlign w:val="center"/>
          </w:tcPr>
          <w:p w14:paraId="4B1458DF" w14:textId="77777777" w:rsidR="00DB0FA4" w:rsidRPr="00716631" w:rsidRDefault="00DB0FA4">
            <w:pPr>
              <w:spacing w:after="218" w:line="259" w:lineRule="auto"/>
              <w:ind w:left="0" w:firstLine="0"/>
              <w:jc w:val="left"/>
              <w:rPr>
                <w:b/>
                <w:i/>
                <w:lang w:val="pt"/>
              </w:rPr>
            </w:pPr>
          </w:p>
          <w:p w14:paraId="791DA022" w14:textId="0D993F0C" w:rsidR="002B13C1" w:rsidRPr="00716631" w:rsidRDefault="00816A35">
            <w:pPr>
              <w:spacing w:after="218" w:line="259" w:lineRule="auto"/>
              <w:ind w:left="0" w:firstLine="0"/>
              <w:jc w:val="left"/>
            </w:pPr>
            <w:r w:rsidRPr="00716631">
              <w:rPr>
                <w:b/>
                <w:i/>
                <w:lang w:val="pt"/>
              </w:rPr>
              <w:t xml:space="preserve">Preço da </w:t>
            </w:r>
            <w:r w:rsidR="00357E39" w:rsidRPr="00716631">
              <w:rPr>
                <w:b/>
                <w:i/>
                <w:lang w:val="pt"/>
              </w:rPr>
              <w:t>Aplicação</w:t>
            </w:r>
            <w:r w:rsidRPr="00716631">
              <w:rPr>
                <w:b/>
                <w:i/>
                <w:lang w:val="pt"/>
              </w:rPr>
              <w:t xml:space="preserve"> </w:t>
            </w:r>
          </w:p>
          <w:p w14:paraId="009523A7" w14:textId="77777777" w:rsidR="002B13C1" w:rsidRPr="00716631" w:rsidRDefault="00816A35">
            <w:pPr>
              <w:spacing w:after="0" w:line="259" w:lineRule="auto"/>
              <w:ind w:left="0" w:firstLine="0"/>
              <w:jc w:val="left"/>
            </w:pPr>
            <w:r w:rsidRPr="00716631">
              <w:rPr>
                <w:b/>
                <w:i/>
              </w:rPr>
              <w:t xml:space="preserve"> </w:t>
            </w:r>
          </w:p>
        </w:tc>
        <w:tc>
          <w:tcPr>
            <w:tcW w:w="6182" w:type="dxa"/>
            <w:tcBorders>
              <w:top w:val="nil"/>
              <w:left w:val="nil"/>
              <w:bottom w:val="nil"/>
              <w:right w:val="nil"/>
            </w:tcBorders>
            <w:vAlign w:val="center"/>
          </w:tcPr>
          <w:p w14:paraId="74857556" w14:textId="7341B88F" w:rsidR="002B13C1" w:rsidRPr="00716631" w:rsidRDefault="00816A35" w:rsidP="00DB0FA4">
            <w:pPr>
              <w:spacing w:after="0" w:line="259" w:lineRule="auto"/>
              <w:ind w:left="0" w:right="48" w:firstLine="0"/>
            </w:pPr>
            <w:r w:rsidRPr="00716631">
              <w:rPr>
                <w:lang w:val="pt"/>
              </w:rPr>
              <w:t xml:space="preserve">o preço pelo qual as </w:t>
            </w:r>
            <w:r w:rsidR="00DB0FA4" w:rsidRPr="00716631">
              <w:rPr>
                <w:lang w:val="pt"/>
              </w:rPr>
              <w:t xml:space="preserve">quotas </w:t>
            </w:r>
            <w:r w:rsidRPr="00716631">
              <w:rPr>
                <w:lang w:val="pt"/>
              </w:rPr>
              <w:t xml:space="preserve">podem ser emitidas, calculado da maneira descrita na seção deste </w:t>
            </w:r>
            <w:r w:rsidR="00550EF9" w:rsidRPr="00716631">
              <w:rPr>
                <w:lang w:val="pt"/>
              </w:rPr>
              <w:t>regulamento</w:t>
            </w:r>
            <w:r w:rsidRPr="00716631">
              <w:rPr>
                <w:lang w:val="pt"/>
              </w:rPr>
              <w:t xml:space="preserve"> intitulada "</w:t>
            </w:r>
            <w:r w:rsidR="00357E39" w:rsidRPr="00716631">
              <w:rPr>
                <w:lang w:val="pt"/>
              </w:rPr>
              <w:t>Aplicações</w:t>
            </w:r>
            <w:r w:rsidRPr="00716631">
              <w:rPr>
                <w:lang w:val="pt"/>
              </w:rPr>
              <w:t xml:space="preserve">". </w:t>
            </w:r>
          </w:p>
        </w:tc>
      </w:tr>
      <w:tr w:rsidR="002B13C1" w:rsidRPr="00716631" w14:paraId="6A7660BA" w14:textId="77777777" w:rsidTr="0363F18F">
        <w:trPr>
          <w:trHeight w:val="635"/>
        </w:trPr>
        <w:tc>
          <w:tcPr>
            <w:tcW w:w="2721" w:type="dxa"/>
            <w:tcBorders>
              <w:top w:val="nil"/>
              <w:left w:val="nil"/>
              <w:bottom w:val="nil"/>
              <w:right w:val="nil"/>
            </w:tcBorders>
          </w:tcPr>
          <w:p w14:paraId="1A24E958" w14:textId="5520EE0D" w:rsidR="002B13C1" w:rsidRPr="00716631" w:rsidRDefault="00816A35" w:rsidP="0363F18F">
            <w:pPr>
              <w:spacing w:after="0" w:line="259" w:lineRule="auto"/>
              <w:ind w:left="0" w:firstLine="0"/>
              <w:jc w:val="left"/>
              <w:rPr>
                <w:b/>
                <w:bCs/>
                <w:i/>
                <w:iCs/>
              </w:rPr>
            </w:pPr>
            <w:r w:rsidRPr="0363F18F">
              <w:rPr>
                <w:b/>
                <w:bCs/>
                <w:i/>
                <w:iCs/>
              </w:rPr>
              <w:t xml:space="preserve">Ponto de </w:t>
            </w:r>
            <w:proofErr w:type="spellStart"/>
            <w:r w:rsidR="00550EF9" w:rsidRPr="0363F18F">
              <w:rPr>
                <w:b/>
                <w:bCs/>
                <w:i/>
                <w:iCs/>
              </w:rPr>
              <w:t>Valuation</w:t>
            </w:r>
            <w:proofErr w:type="spellEnd"/>
          </w:p>
        </w:tc>
        <w:tc>
          <w:tcPr>
            <w:tcW w:w="6182" w:type="dxa"/>
            <w:tcBorders>
              <w:top w:val="nil"/>
              <w:left w:val="nil"/>
              <w:bottom w:val="nil"/>
              <w:right w:val="nil"/>
            </w:tcBorders>
            <w:vAlign w:val="bottom"/>
          </w:tcPr>
          <w:p w14:paraId="4003F0E5" w14:textId="026A58A8" w:rsidR="002B13C1" w:rsidRPr="00716631" w:rsidRDefault="00816A35">
            <w:pPr>
              <w:spacing w:after="0" w:line="259" w:lineRule="auto"/>
              <w:ind w:left="0" w:firstLine="0"/>
              <w:rPr>
                <w:lang w:val="pt"/>
              </w:rPr>
            </w:pPr>
            <w:r w:rsidRPr="00716631">
              <w:rPr>
                <w:lang w:val="pt"/>
              </w:rPr>
              <w:t>fechamento dos negócios na Bolsa de Valores de Nova</w:t>
            </w:r>
            <w:r w:rsidR="0024400F" w:rsidRPr="00716631">
              <w:rPr>
                <w:lang w:val="pt"/>
              </w:rPr>
              <w:t xml:space="preserve"> York em cada dia de negociação.</w:t>
            </w:r>
          </w:p>
          <w:p w14:paraId="448C21C2" w14:textId="77777777" w:rsidR="002C0F33" w:rsidRPr="00716631" w:rsidRDefault="002C0F33">
            <w:pPr>
              <w:spacing w:after="0" w:line="259" w:lineRule="auto"/>
              <w:ind w:left="0" w:firstLine="0"/>
              <w:rPr>
                <w:lang w:val="pt"/>
              </w:rPr>
            </w:pPr>
          </w:p>
          <w:p w14:paraId="151890C4" w14:textId="4A309335" w:rsidR="002C0F33" w:rsidRPr="00716631" w:rsidRDefault="002C0F33">
            <w:pPr>
              <w:spacing w:after="0" w:line="259" w:lineRule="auto"/>
              <w:ind w:left="0" w:firstLine="0"/>
            </w:pPr>
          </w:p>
        </w:tc>
      </w:tr>
    </w:tbl>
    <w:p w14:paraId="09E4BD9D" w14:textId="77777777" w:rsidR="0024400F" w:rsidRPr="00716631" w:rsidRDefault="0024400F">
      <w:pPr>
        <w:pStyle w:val="Ttulo2"/>
        <w:ind w:right="3"/>
        <w:rPr>
          <w:lang w:val="pt"/>
        </w:rPr>
      </w:pPr>
    </w:p>
    <w:p w14:paraId="5A69C23E" w14:textId="5BB35585" w:rsidR="002B13C1" w:rsidRPr="00716631" w:rsidRDefault="00816A35">
      <w:pPr>
        <w:pStyle w:val="Ttulo2"/>
        <w:ind w:right="3"/>
      </w:pPr>
      <w:r w:rsidRPr="00716631">
        <w:rPr>
          <w:lang w:val="pt"/>
        </w:rPr>
        <w:t xml:space="preserve">O SUBFUNDO </w:t>
      </w:r>
    </w:p>
    <w:p w14:paraId="264DBC56" w14:textId="77777777" w:rsidR="002B13C1" w:rsidRPr="00716631" w:rsidRDefault="00816A35">
      <w:pPr>
        <w:spacing w:after="284" w:line="259" w:lineRule="auto"/>
        <w:ind w:left="-29" w:right="-25" w:firstLine="0"/>
        <w:jc w:val="left"/>
      </w:pPr>
      <w:r w:rsidRPr="00716631">
        <w:rPr>
          <w:noProof/>
        </w:rPr>
        <mc:AlternateContent>
          <mc:Choice Requires="wpg">
            <w:drawing>
              <wp:inline distT="0" distB="0" distL="0" distR="0" wp14:anchorId="5FC2EB39" wp14:editId="5A30FA3E">
                <wp:extent cx="5795645" cy="12192"/>
                <wp:effectExtent l="0" t="0" r="0" b="0"/>
                <wp:docPr id="21731" name="Group 21731"/>
                <wp:cNvGraphicFramePr/>
                <a:graphic xmlns:a="http://schemas.openxmlformats.org/drawingml/2006/main">
                  <a:graphicData uri="http://schemas.microsoft.com/office/word/2010/wordprocessingGroup">
                    <wpg:wgp>
                      <wpg:cNvGrpSpPr/>
                      <wpg:grpSpPr>
                        <a:xfrm>
                          <a:off x="0" y="0"/>
                          <a:ext cx="5795645" cy="12192"/>
                          <a:chOff x="0" y="0"/>
                          <a:chExt cx="5795645" cy="12192"/>
                        </a:xfrm>
                      </wpg:grpSpPr>
                      <wps:wsp>
                        <wps:cNvPr id="26232" name="Shape 26232"/>
                        <wps:cNvSpPr/>
                        <wps:spPr>
                          <a:xfrm>
                            <a:off x="0" y="0"/>
                            <a:ext cx="5795645" cy="12192"/>
                          </a:xfrm>
                          <a:custGeom>
                            <a:avLst/>
                            <a:gdLst/>
                            <a:ahLst/>
                            <a:cxnLst/>
                            <a:rect l="0" t="0" r="0" b="0"/>
                            <a:pathLst>
                              <a:path w="5795645" h="12192">
                                <a:moveTo>
                                  <a:pt x="0" y="0"/>
                                </a:moveTo>
                                <a:lnTo>
                                  <a:pt x="5795645" y="0"/>
                                </a:lnTo>
                                <a:lnTo>
                                  <a:pt x="5795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w:pict>
              <v:group id="Group 21731" style="width:456.35pt;height:.95pt;mso-position-horizontal-relative:char;mso-position-vertical-relative:line" coordsize="57956,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" w14:anchorId="09892854">
                <v:shape id="Shape 26232" style="position:absolute;width:57956;height:121;visibility:visible;mso-wrap-style:square;v-text-anchor:top" coordsize="5795645,12192" o:spid="_x0000_s1027" fillcolor="black" stroked="f" strokeweight="0" path="m,l5795645,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">
                  <v:stroke miterlimit="83231f" joinstyle="miter"/>
                  <v:path textboxrect="0,0,5795645,12192" arrowok="t"/>
                </v:shape>
                <w10:anchorlock/>
              </v:group>
            </w:pict>
          </mc:Fallback>
        </mc:AlternateContent>
      </w:r>
    </w:p>
    <w:p w14:paraId="0F3EF3BB" w14:textId="77777777" w:rsidR="002B13C1" w:rsidRPr="00716631" w:rsidRDefault="00816A35">
      <w:pPr>
        <w:spacing w:after="217" w:line="259" w:lineRule="auto"/>
        <w:ind w:left="-5"/>
        <w:jc w:val="left"/>
      </w:pPr>
      <w:r w:rsidRPr="00716631">
        <w:rPr>
          <w:b/>
          <w:color w:val="3A5DAE"/>
          <w:lang w:val="pt"/>
        </w:rPr>
        <w:t xml:space="preserve">ESTABELECIMENTO </w:t>
      </w:r>
    </w:p>
    <w:p w14:paraId="7D190128" w14:textId="465360F2" w:rsidR="002B13C1" w:rsidRPr="00716631" w:rsidRDefault="00816A35">
      <w:pPr>
        <w:ind w:left="-5" w:right="54"/>
      </w:pPr>
      <w:r w:rsidRPr="00716631">
        <w:rPr>
          <w:lang w:val="pt"/>
        </w:rPr>
        <w:t xml:space="preserve">O Subfundo foi criado em </w:t>
      </w:r>
      <w:r w:rsidR="00EC0AC8">
        <w:rPr>
          <w:lang w:val="pt"/>
        </w:rPr>
        <w:t xml:space="preserve">30 </w:t>
      </w:r>
      <w:r w:rsidRPr="00716631">
        <w:rPr>
          <w:lang w:val="pt"/>
        </w:rPr>
        <w:t xml:space="preserve">de </w:t>
      </w:r>
      <w:r w:rsidR="00EC0AC8">
        <w:rPr>
          <w:lang w:val="pt"/>
        </w:rPr>
        <w:t>setembro</w:t>
      </w:r>
      <w:r w:rsidRPr="00716631">
        <w:rPr>
          <w:lang w:val="pt"/>
        </w:rPr>
        <w:t xml:space="preserve"> de </w:t>
      </w:r>
      <w:r w:rsidR="00EC0AC8">
        <w:rPr>
          <w:lang w:val="pt"/>
        </w:rPr>
        <w:t>1997.</w:t>
      </w:r>
      <w:r w:rsidRPr="00716631">
        <w:rPr>
          <w:lang w:val="pt"/>
        </w:rPr>
        <w:t xml:space="preserve"> </w:t>
      </w:r>
    </w:p>
    <w:p w14:paraId="434E4C86" w14:textId="43643881" w:rsidR="002B13C1" w:rsidRPr="00716631" w:rsidRDefault="00663095">
      <w:pPr>
        <w:pStyle w:val="Ttulo3"/>
        <w:ind w:left="-5"/>
      </w:pPr>
      <w:r w:rsidRPr="00716631">
        <w:rPr>
          <w:lang w:val="pt"/>
        </w:rPr>
        <w:t>QUOTAS</w:t>
      </w:r>
      <w:r w:rsidR="00816A35" w:rsidRPr="00716631">
        <w:rPr>
          <w:lang w:val="pt"/>
        </w:rPr>
        <w:t xml:space="preserve"> </w:t>
      </w:r>
    </w:p>
    <w:p w14:paraId="2DDA8739" w14:textId="20834BC5" w:rsidR="002B13C1" w:rsidRPr="00716631" w:rsidRDefault="00816A35">
      <w:pPr>
        <w:spacing w:after="241" w:line="239" w:lineRule="auto"/>
        <w:ind w:left="-5"/>
        <w:jc w:val="left"/>
      </w:pPr>
      <w:r w:rsidRPr="00716631">
        <w:rPr>
          <w:noProof/>
        </w:rPr>
        <mc:AlternateContent>
          <mc:Choice Requires="wpg">
            <w:drawing>
              <wp:anchor distT="0" distB="0" distL="114300" distR="114300" simplePos="0" relativeHeight="251658240" behindDoc="0" locked="0" layoutInCell="1" allowOverlap="1" wp14:anchorId="0E03241C" wp14:editId="23FD1396">
                <wp:simplePos x="0" y="0"/>
                <wp:positionH relativeFrom="page">
                  <wp:posOffset>882396</wp:posOffset>
                </wp:positionH>
                <wp:positionV relativeFrom="page">
                  <wp:posOffset>900811</wp:posOffset>
                </wp:positionV>
                <wp:extent cx="5795645" cy="11938"/>
                <wp:effectExtent l="0" t="0" r="0" b="0"/>
                <wp:wrapTopAndBottom/>
                <wp:docPr id="21730" name="Group 21730"/>
                <wp:cNvGraphicFramePr/>
                <a:graphic xmlns:a="http://schemas.openxmlformats.org/drawingml/2006/main">
                  <a:graphicData uri="http://schemas.microsoft.com/office/word/2010/wordprocessingGroup">
                    <wpg:wgp>
                      <wpg:cNvGrpSpPr/>
                      <wpg:grpSpPr>
                        <a:xfrm>
                          <a:off x="0" y="0"/>
                          <a:ext cx="5795645" cy="11938"/>
                          <a:chOff x="0" y="0"/>
                          <a:chExt cx="5795645" cy="11938"/>
                        </a:xfrm>
                      </wpg:grpSpPr>
                      <wps:wsp>
                        <wps:cNvPr id="26234" name="Shape 26234"/>
                        <wps:cNvSpPr/>
                        <wps:spPr>
                          <a:xfrm>
                            <a:off x="0" y="0"/>
                            <a:ext cx="5795645" cy="11938"/>
                          </a:xfrm>
                          <a:custGeom>
                            <a:avLst/>
                            <a:gdLst/>
                            <a:ahLst/>
                            <a:cxnLst/>
                            <a:rect l="0" t="0" r="0" b="0"/>
                            <a:pathLst>
                              <a:path w="5795645" h="11938">
                                <a:moveTo>
                                  <a:pt x="0" y="0"/>
                                </a:moveTo>
                                <a:lnTo>
                                  <a:pt x="5795645" y="0"/>
                                </a:lnTo>
                                <a:lnTo>
                                  <a:pt x="5795645" y="11938"/>
                                </a:lnTo>
                                <a:lnTo>
                                  <a:pt x="0" y="119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pic="http://schemas.openxmlformats.org/drawingml/2006/picture" xmlns:a14="http://schemas.microsoft.com/office/drawing/2010/main" xmlns:a="http://schemas.openxmlformats.org/drawingml/2006/main">
            <w:pict>
              <v:group id="Group 21730" style="position:absolute;margin-left:69.5pt;margin-top:70.95pt;width:456.35pt;height:.95pt;z-index:251658240;mso-position-horizontal-relative:page;mso-position-vertical-relative:page" coordsize="57956,11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" w14:anchorId="585D52C3">
                <v:shape id="Shape 26234" style="position:absolute;width:57956;height:119;visibility:visible;mso-wrap-style:square;v-text-anchor:top" coordsize="5795645,11938" o:spid="_x0000_s1027" fillcolor="black" stroked="f" strokeweight="0" path="m,l5795645,r,11938l,119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">
                  <v:stroke miterlimit="83231f" joinstyle="miter"/>
                  <v:path textboxrect="0,0,5795645,11938" arrowok="t"/>
                </v:shape>
                <w10:wrap type="topAndBottom" anchorx="page" anchory="page"/>
              </v:group>
            </w:pict>
          </mc:Fallback>
        </mc:AlternateContent>
      </w:r>
      <w:r w:rsidRPr="0363F18F">
        <w:t xml:space="preserve">Os Diretores criaram e designaram inicialmente </w:t>
      </w:r>
      <w:r w:rsidR="00663095" w:rsidRPr="0363F18F">
        <w:t>Quotas</w:t>
      </w:r>
      <w:r w:rsidRPr="0363F18F">
        <w:t xml:space="preserve"> em r</w:t>
      </w:r>
      <w:r w:rsidR="0024400F" w:rsidRPr="0363F18F">
        <w:t>elação ao Subfundo, sendo quotas do</w:t>
      </w:r>
      <w:r w:rsidR="00550EF9" w:rsidRPr="0363F18F">
        <w:t xml:space="preserve"> </w:t>
      </w:r>
      <w:r w:rsidR="008D17E7" w:rsidRPr="0363F18F">
        <w:t>BB F</w:t>
      </w:r>
      <w:r w:rsidR="00EC0AC8" w:rsidRPr="0363F18F">
        <w:t>und</w:t>
      </w:r>
      <w:r w:rsidR="008D17E7" w:rsidRPr="0363F18F">
        <w:t xml:space="preserve"> D</w:t>
      </w:r>
      <w:r w:rsidRPr="0363F18F">
        <w:t xml:space="preserve">, que estão sendo oferecidas nos termos do </w:t>
      </w:r>
      <w:proofErr w:type="spellStart"/>
      <w:r w:rsidR="00550EF9" w:rsidRPr="0363F18F">
        <w:rPr>
          <w:i/>
          <w:iCs/>
        </w:rPr>
        <w:t>p</w:t>
      </w:r>
      <w:r w:rsidR="002C0F33" w:rsidRPr="0363F18F">
        <w:rPr>
          <w:i/>
          <w:iCs/>
        </w:rPr>
        <w:t>rospectus</w:t>
      </w:r>
      <w:proofErr w:type="spellEnd"/>
      <w:r w:rsidRPr="0363F18F">
        <w:t xml:space="preserve"> e deste </w:t>
      </w:r>
      <w:r w:rsidR="00550EF9" w:rsidRPr="0363F18F">
        <w:t>regulamento</w:t>
      </w:r>
      <w:r w:rsidRPr="0363F18F">
        <w:t xml:space="preserve">. </w:t>
      </w:r>
    </w:p>
    <w:p w14:paraId="338267AE" w14:textId="4328D64F" w:rsidR="002B13C1" w:rsidRPr="00716631" w:rsidRDefault="00816A35">
      <w:pPr>
        <w:ind w:left="-5" w:right="54"/>
      </w:pPr>
      <w:r w:rsidRPr="00716631">
        <w:rPr>
          <w:lang w:val="pt"/>
        </w:rPr>
        <w:t xml:space="preserve">A qualquer momento, os Diretores podem, em consulta com o </w:t>
      </w:r>
      <w:r w:rsidR="00F559D7" w:rsidRPr="00716631">
        <w:rPr>
          <w:lang w:val="pt"/>
        </w:rPr>
        <w:t>Gestor</w:t>
      </w:r>
      <w:r w:rsidRPr="00716631">
        <w:rPr>
          <w:lang w:val="pt"/>
        </w:rPr>
        <w:t xml:space="preserve">, criar e designar </w:t>
      </w:r>
      <w:r w:rsidR="0024400F" w:rsidRPr="00716631">
        <w:rPr>
          <w:lang w:val="pt"/>
        </w:rPr>
        <w:t>c</w:t>
      </w:r>
      <w:r w:rsidRPr="00716631">
        <w:rPr>
          <w:lang w:val="pt"/>
        </w:rPr>
        <w:t xml:space="preserve">lasses adicionais de </w:t>
      </w:r>
      <w:r w:rsidR="0024400F" w:rsidRPr="00716631">
        <w:rPr>
          <w:lang w:val="pt"/>
        </w:rPr>
        <w:t>quotas</w:t>
      </w:r>
      <w:r w:rsidRPr="00716631">
        <w:rPr>
          <w:lang w:val="pt"/>
        </w:rPr>
        <w:t xml:space="preserve"> em relação ao Subfundo sem aviso prévio ou consentimento dos Ac</w:t>
      </w:r>
      <w:r w:rsidR="0024400F" w:rsidRPr="00716631">
        <w:rPr>
          <w:lang w:val="pt"/>
        </w:rPr>
        <w:t xml:space="preserve">ionistas. </w:t>
      </w:r>
      <w:r w:rsidRPr="00716631">
        <w:rPr>
          <w:lang w:val="pt"/>
        </w:rPr>
        <w:t xml:space="preserve">Os Diretores podem diferenciar entre Subfundos ou Classes de </w:t>
      </w:r>
      <w:r w:rsidR="00663095" w:rsidRPr="00716631">
        <w:rPr>
          <w:lang w:val="pt"/>
        </w:rPr>
        <w:t>Quotas</w:t>
      </w:r>
      <w:r w:rsidRPr="00716631">
        <w:rPr>
          <w:lang w:val="pt"/>
        </w:rPr>
        <w:t xml:space="preserve"> em várias bases, inclusive</w:t>
      </w:r>
      <w:r w:rsidR="00550EF9" w:rsidRPr="00716631">
        <w:rPr>
          <w:lang w:val="pt"/>
        </w:rPr>
        <w:t xml:space="preserve"> quanto à Moeda de Negociação, à</w:t>
      </w:r>
      <w:r w:rsidRPr="00716631">
        <w:rPr>
          <w:lang w:val="pt"/>
        </w:rPr>
        <w:t xml:space="preserve">s taxas a pagar, o nível de informações fornecidas e os direitos de resgate. </w:t>
      </w:r>
    </w:p>
    <w:p w14:paraId="2CD04D1D" w14:textId="77777777" w:rsidR="002B13C1" w:rsidRPr="00716631" w:rsidRDefault="00816A35">
      <w:pPr>
        <w:pStyle w:val="Ttulo3"/>
        <w:ind w:left="-5"/>
      </w:pPr>
      <w:r w:rsidRPr="00716631">
        <w:rPr>
          <w:lang w:val="pt"/>
        </w:rPr>
        <w:t xml:space="preserve">MOEDA DE NEGOCIAÇÃO </w:t>
      </w:r>
    </w:p>
    <w:p w14:paraId="4E2B0F47" w14:textId="241CF686" w:rsidR="002B13C1" w:rsidRPr="00716631" w:rsidRDefault="00816A35">
      <w:pPr>
        <w:ind w:left="-5" w:right="54"/>
      </w:pPr>
      <w:r w:rsidRPr="00716631">
        <w:rPr>
          <w:lang w:val="pt"/>
        </w:rPr>
        <w:t xml:space="preserve">A moeda de negociação das ações do </w:t>
      </w:r>
      <w:r w:rsidR="008D17E7">
        <w:rPr>
          <w:lang w:val="pt"/>
        </w:rPr>
        <w:t>BB F</w:t>
      </w:r>
      <w:r w:rsidR="00EC0AC8">
        <w:rPr>
          <w:lang w:val="pt"/>
        </w:rPr>
        <w:t>und</w:t>
      </w:r>
      <w:r w:rsidR="008D17E7">
        <w:rPr>
          <w:lang w:val="pt"/>
        </w:rPr>
        <w:t xml:space="preserve"> D</w:t>
      </w:r>
      <w:r w:rsidRPr="00716631">
        <w:rPr>
          <w:lang w:val="pt"/>
        </w:rPr>
        <w:t xml:space="preserve"> é o dólar americano. As </w:t>
      </w:r>
      <w:r w:rsidR="002945AF" w:rsidRPr="00716631">
        <w:rPr>
          <w:lang w:val="pt"/>
        </w:rPr>
        <w:t>aplicações</w:t>
      </w:r>
      <w:r w:rsidRPr="00716631">
        <w:rPr>
          <w:lang w:val="pt"/>
        </w:rPr>
        <w:t xml:space="preserve"> e resgates </w:t>
      </w:r>
      <w:r w:rsidR="0024400F" w:rsidRPr="00716631">
        <w:rPr>
          <w:lang w:val="pt"/>
        </w:rPr>
        <w:t xml:space="preserve">das quotas do Subfundo </w:t>
      </w:r>
      <w:r w:rsidRPr="00716631">
        <w:rPr>
          <w:lang w:val="pt"/>
        </w:rPr>
        <w:t xml:space="preserve">serão processados na Moeda de Negociação relevante, e o </w:t>
      </w:r>
      <w:r w:rsidR="00E2074A" w:rsidRPr="00716631">
        <w:rPr>
          <w:lang w:val="pt"/>
        </w:rPr>
        <w:t>Patrimônio Líquido</w:t>
      </w:r>
      <w:r w:rsidRPr="00716631">
        <w:rPr>
          <w:lang w:val="pt"/>
        </w:rPr>
        <w:t xml:space="preserve"> do </w:t>
      </w:r>
      <w:proofErr w:type="spellStart"/>
      <w:r w:rsidRPr="00716631">
        <w:rPr>
          <w:lang w:val="pt"/>
        </w:rPr>
        <w:t>SubFundo</w:t>
      </w:r>
      <w:proofErr w:type="spellEnd"/>
      <w:r w:rsidRPr="00716631">
        <w:rPr>
          <w:lang w:val="pt"/>
        </w:rPr>
        <w:t xml:space="preserve"> será calculado e cotado em tal Moeda de Negociação.   </w:t>
      </w:r>
      <w:r w:rsidRPr="00716631">
        <w:rPr>
          <w:lang w:val="pt"/>
        </w:rPr>
        <w:br w:type="page"/>
      </w:r>
    </w:p>
    <w:p w14:paraId="64F5E40B" w14:textId="77777777" w:rsidR="002B13C1" w:rsidRPr="00716631" w:rsidRDefault="00816A35">
      <w:pPr>
        <w:pStyle w:val="Ttulo2"/>
        <w:ind w:right="4"/>
      </w:pPr>
      <w:r w:rsidRPr="00716631">
        <w:rPr>
          <w:lang w:val="pt"/>
        </w:rPr>
        <w:lastRenderedPageBreak/>
        <w:t xml:space="preserve">OBJETIVO, ESTRATÉGIAS E RESTRIÇÕES DO INVESTIMENTO </w:t>
      </w:r>
    </w:p>
    <w:p w14:paraId="483A5E40" w14:textId="77777777" w:rsidR="002B13C1" w:rsidRPr="00716631" w:rsidRDefault="00816A35">
      <w:pPr>
        <w:spacing w:after="284" w:line="259" w:lineRule="auto"/>
        <w:ind w:left="-29" w:right="-25" w:firstLine="0"/>
        <w:jc w:val="left"/>
      </w:pPr>
      <w:r w:rsidRPr="00716631">
        <w:rPr>
          <w:noProof/>
        </w:rPr>
        <mc:AlternateContent>
          <mc:Choice Requires="wpg">
            <w:drawing>
              <wp:inline distT="0" distB="0" distL="0" distR="0" wp14:anchorId="1FA88E9C" wp14:editId="3EE52D05">
                <wp:extent cx="5795645" cy="12192"/>
                <wp:effectExtent l="0" t="0" r="0" b="0"/>
                <wp:docPr id="22656" name="Group 22656"/>
                <wp:cNvGraphicFramePr/>
                <a:graphic xmlns:a="http://schemas.openxmlformats.org/drawingml/2006/main">
                  <a:graphicData uri="http://schemas.microsoft.com/office/word/2010/wordprocessingGroup">
                    <wpg:wgp>
                      <wpg:cNvGrpSpPr/>
                      <wpg:grpSpPr>
                        <a:xfrm>
                          <a:off x="0" y="0"/>
                          <a:ext cx="5795645" cy="12192"/>
                          <a:chOff x="0" y="0"/>
                          <a:chExt cx="5795645" cy="12192"/>
                        </a:xfrm>
                      </wpg:grpSpPr>
                      <wps:wsp>
                        <wps:cNvPr id="26236" name="Shape 26236"/>
                        <wps:cNvSpPr/>
                        <wps:spPr>
                          <a:xfrm>
                            <a:off x="0" y="0"/>
                            <a:ext cx="5795645" cy="12192"/>
                          </a:xfrm>
                          <a:custGeom>
                            <a:avLst/>
                            <a:gdLst/>
                            <a:ahLst/>
                            <a:cxnLst/>
                            <a:rect l="0" t="0" r="0" b="0"/>
                            <a:pathLst>
                              <a:path w="5795645" h="12192">
                                <a:moveTo>
                                  <a:pt x="0" y="0"/>
                                </a:moveTo>
                                <a:lnTo>
                                  <a:pt x="5795645" y="0"/>
                                </a:lnTo>
                                <a:lnTo>
                                  <a:pt x="5795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14="http://schemas.microsoft.com/office/drawing/2010/main" xmlns:a="http://schemas.openxmlformats.org/drawingml/2006/main">
            <w:pict>
              <v:group id="Group 22656" style="width:456.35pt;height:.95pt;mso-position-horizontal-relative:char;mso-position-vertical-relative:line" coordsize="57956,12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" w14:anchorId="579308C8">
                <v:shape id="Shape 26236" style="position:absolute;width:57956;height:121;visibility:visible;mso-wrap-style:square;v-text-anchor:top" coordsize="5795645,12192" o:spid="_x0000_s1027" fillcolor="black" stroked="f" strokeweight="0" path="m,l5795645,r,12192l,12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">
                  <v:stroke miterlimit="83231f" joinstyle="miter"/>
                  <v:path textboxrect="0,0,5795645,12192" arrowok="t"/>
                </v:shape>
                <w10:anchorlock/>
              </v:group>
            </w:pict>
          </mc:Fallback>
        </mc:AlternateContent>
      </w:r>
    </w:p>
    <w:p w14:paraId="023E9871" w14:textId="77777777" w:rsidR="002B13C1" w:rsidRPr="00716631" w:rsidRDefault="00816A35">
      <w:pPr>
        <w:pStyle w:val="Ttulo3"/>
        <w:ind w:left="-5"/>
      </w:pPr>
      <w:r w:rsidRPr="00716631">
        <w:rPr>
          <w:lang w:val="pt"/>
        </w:rPr>
        <w:t xml:space="preserve">OBJETIVO DE INVESTIMENTO </w:t>
      </w:r>
    </w:p>
    <w:p w14:paraId="5B480A87" w14:textId="77777777" w:rsidR="0098725A" w:rsidRDefault="0098725A">
      <w:pPr>
        <w:ind w:left="-5" w:right="54"/>
      </w:pPr>
      <w:r w:rsidRPr="0098725A">
        <w:t>O objetivo de investimento do Subfundo, em particular, é a valorização do capital, proporcionando aos investidores a oportunidade de investir, sob gestão profissional, em títulos de rend</w:t>
      </w:r>
      <w:r>
        <w:t>a</w:t>
      </w:r>
      <w:r w:rsidRPr="0098725A">
        <w:t xml:space="preserve"> fix</w:t>
      </w:r>
      <w:r>
        <w:t>a</w:t>
      </w:r>
      <w:r w:rsidRPr="0098725A">
        <w:t xml:space="preserve"> ou outros instrumentos de dívida emitidos por entidades brasileiras </w:t>
      </w:r>
      <w:r>
        <w:t>(</w:t>
      </w:r>
      <w:r w:rsidRPr="0098725A">
        <w:t>privadas ou públicas</w:t>
      </w:r>
      <w:r>
        <w:t>)</w:t>
      </w:r>
      <w:r w:rsidRPr="0098725A">
        <w:t>, negociados nos mercados internacionais de valores mobiliários.</w:t>
      </w:r>
      <w:r>
        <w:t xml:space="preserve"> </w:t>
      </w:r>
    </w:p>
    <w:p w14:paraId="3CA19AF8" w14:textId="14AD66A8" w:rsidR="002B13C1" w:rsidRPr="00716631" w:rsidRDefault="00816A35">
      <w:pPr>
        <w:ind w:left="-5" w:right="54"/>
      </w:pPr>
      <w:r w:rsidRPr="00716631">
        <w:rPr>
          <w:lang w:val="pt"/>
        </w:rPr>
        <w:t>Não po</w:t>
      </w:r>
      <w:r w:rsidR="00905093" w:rsidRPr="00716631">
        <w:rPr>
          <w:lang w:val="pt"/>
        </w:rPr>
        <w:t>de haver garantia de que o obje</w:t>
      </w:r>
      <w:r w:rsidRPr="00716631">
        <w:rPr>
          <w:lang w:val="pt"/>
        </w:rPr>
        <w:t xml:space="preserve">tivo de investimento será alcançado. </w:t>
      </w:r>
    </w:p>
    <w:p w14:paraId="1EC2E1B4" w14:textId="77777777" w:rsidR="002B13C1" w:rsidRPr="00716631" w:rsidRDefault="00816A35">
      <w:pPr>
        <w:pStyle w:val="Ttulo3"/>
        <w:ind w:left="-5"/>
      </w:pPr>
      <w:r w:rsidRPr="00716631">
        <w:rPr>
          <w:lang w:val="pt"/>
        </w:rPr>
        <w:t xml:space="preserve">ESTRATÉGIAS DE INVESTIMENTO </w:t>
      </w:r>
    </w:p>
    <w:p w14:paraId="2BBBF57B" w14:textId="77777777" w:rsidR="005A6AC5" w:rsidRDefault="005A6AC5" w:rsidP="0363F18F">
      <w:pPr>
        <w:ind w:left="-5" w:right="54"/>
      </w:pPr>
      <w:r w:rsidRPr="0363F18F">
        <w:t xml:space="preserve">O Gestor de Investimento procurará atingir o objetivo de investimento ao investir, principalmente, em instrumentos de dívida pública e de renda fixa emitidos por empresas privadas, tais como </w:t>
      </w:r>
      <w:proofErr w:type="spellStart"/>
      <w:r w:rsidRPr="0363F18F">
        <w:rPr>
          <w:i/>
          <w:iCs/>
        </w:rPr>
        <w:t>bonds</w:t>
      </w:r>
      <w:proofErr w:type="spellEnd"/>
      <w:r w:rsidRPr="0363F18F">
        <w:t xml:space="preserve">, notas, papéis comerciais, certificados de depósito, </w:t>
      </w:r>
      <w:proofErr w:type="spellStart"/>
      <w:r w:rsidRPr="0363F18F">
        <w:rPr>
          <w:i/>
          <w:iCs/>
        </w:rPr>
        <w:t>brady</w:t>
      </w:r>
      <w:proofErr w:type="spellEnd"/>
      <w:r w:rsidRPr="0363F18F">
        <w:rPr>
          <w:i/>
          <w:iCs/>
        </w:rPr>
        <w:t xml:space="preserve"> </w:t>
      </w:r>
      <w:proofErr w:type="spellStart"/>
      <w:r w:rsidRPr="0363F18F">
        <w:rPr>
          <w:i/>
          <w:iCs/>
        </w:rPr>
        <w:t>bonds</w:t>
      </w:r>
      <w:proofErr w:type="spellEnd"/>
      <w:r w:rsidRPr="0363F18F">
        <w:t xml:space="preserve"> etc. </w:t>
      </w:r>
    </w:p>
    <w:p w14:paraId="1896E1A5" w14:textId="1BFC2357" w:rsidR="005A6AC5" w:rsidRDefault="005A6AC5">
      <w:pPr>
        <w:ind w:left="-5" w:right="54"/>
        <w:rPr>
          <w:lang w:val="pt"/>
        </w:rPr>
      </w:pPr>
      <w:r w:rsidRPr="005A6AC5">
        <w:rPr>
          <w:lang w:val="pt"/>
        </w:rPr>
        <w:t>Os investimentos serão realizados</w:t>
      </w:r>
      <w:r>
        <w:rPr>
          <w:lang w:val="pt"/>
        </w:rPr>
        <w:t>,</w:t>
      </w:r>
      <w:r w:rsidRPr="005A6AC5">
        <w:rPr>
          <w:lang w:val="pt"/>
        </w:rPr>
        <w:t xml:space="preserve"> principalmente</w:t>
      </w:r>
      <w:r>
        <w:rPr>
          <w:lang w:val="pt"/>
        </w:rPr>
        <w:t>,</w:t>
      </w:r>
      <w:r w:rsidRPr="005A6AC5">
        <w:rPr>
          <w:lang w:val="pt"/>
        </w:rPr>
        <w:t xml:space="preserve"> nos mercados internacionais de valores mobiliários nos mercados internacionais de valores mobiliários. Contudo, as condições de mercado podem tornar aconselhável que o Subfundo mantenha liquidez significativa em títulos de </w:t>
      </w:r>
      <w:r w:rsidR="00055967">
        <w:rPr>
          <w:lang w:val="pt"/>
        </w:rPr>
        <w:t>renda fixa no Bra</w:t>
      </w:r>
      <w:r w:rsidRPr="005A6AC5">
        <w:rPr>
          <w:lang w:val="pt"/>
        </w:rPr>
        <w:t xml:space="preserve">sil ou no </w:t>
      </w:r>
      <w:r w:rsidR="00055967">
        <w:rPr>
          <w:lang w:val="pt"/>
        </w:rPr>
        <w:t>exterior</w:t>
      </w:r>
      <w:r w:rsidRPr="005A6AC5">
        <w:rPr>
          <w:lang w:val="pt"/>
        </w:rPr>
        <w:t xml:space="preserve">, enquanto se aguarda investimento ou reinvestimento. </w:t>
      </w:r>
    </w:p>
    <w:p w14:paraId="6ECEB1D9" w14:textId="77777777" w:rsidR="002B495F" w:rsidRPr="002B495F" w:rsidRDefault="002B495F">
      <w:pPr>
        <w:pStyle w:val="Ttulo3"/>
        <w:ind w:left="-5"/>
        <w:rPr>
          <w:sz w:val="2"/>
          <w:szCs w:val="2"/>
          <w:lang w:val="pt"/>
        </w:rPr>
      </w:pPr>
    </w:p>
    <w:p w14:paraId="2D9F2A86" w14:textId="12E8248B" w:rsidR="002B13C1" w:rsidRPr="00716631" w:rsidRDefault="00816A35">
      <w:pPr>
        <w:pStyle w:val="Ttulo3"/>
        <w:ind w:left="-5"/>
      </w:pPr>
      <w:r w:rsidRPr="00716631">
        <w:rPr>
          <w:lang w:val="pt"/>
        </w:rPr>
        <w:t xml:space="preserve">RESTRIÇÕES DE INVESTIMENTO </w:t>
      </w:r>
    </w:p>
    <w:p w14:paraId="4E2F1A31" w14:textId="0E428773" w:rsidR="002B13C1" w:rsidRPr="00716631" w:rsidRDefault="00816A35">
      <w:pPr>
        <w:spacing w:after="275"/>
        <w:ind w:left="-5" w:right="54"/>
      </w:pPr>
      <w:r w:rsidRPr="0363F18F">
        <w:t xml:space="preserve">A Companhia não impôs nenhuma restrição de investimento específica em relação ao investimento dos ativos do </w:t>
      </w:r>
      <w:proofErr w:type="spellStart"/>
      <w:r w:rsidRPr="0363F18F">
        <w:t>SubF</w:t>
      </w:r>
      <w:r w:rsidR="00BC4BE2" w:rsidRPr="0363F18F">
        <w:t>undo</w:t>
      </w:r>
      <w:proofErr w:type="spellEnd"/>
      <w:r w:rsidR="00BC4BE2" w:rsidRPr="0363F18F">
        <w:t>, desde que os ativos</w:t>
      </w:r>
      <w:r w:rsidRPr="0363F18F">
        <w:t xml:space="preserve">:  </w:t>
      </w:r>
    </w:p>
    <w:p w14:paraId="000C9688" w14:textId="64AA5211" w:rsidR="002B13C1" w:rsidRPr="00716631" w:rsidRDefault="003F71F5">
      <w:pPr>
        <w:numPr>
          <w:ilvl w:val="0"/>
          <w:numId w:val="1"/>
        </w:numPr>
        <w:spacing w:after="278"/>
        <w:ind w:right="54" w:hanging="708"/>
      </w:pPr>
      <w:r w:rsidRPr="00716631">
        <w:rPr>
          <w:lang w:val="pt"/>
        </w:rPr>
        <w:t>Estejam</w:t>
      </w:r>
      <w:r w:rsidR="00816A35" w:rsidRPr="00716631">
        <w:rPr>
          <w:lang w:val="pt"/>
        </w:rPr>
        <w:t xml:space="preserve"> regist</w:t>
      </w:r>
      <w:r w:rsidR="00921995" w:rsidRPr="00716631">
        <w:rPr>
          <w:lang w:val="pt"/>
        </w:rPr>
        <w:t>r</w:t>
      </w:r>
      <w:r w:rsidR="00816A35" w:rsidRPr="00716631">
        <w:rPr>
          <w:lang w:val="pt"/>
        </w:rPr>
        <w:t>ado</w:t>
      </w:r>
      <w:r w:rsidRPr="00716631">
        <w:rPr>
          <w:lang w:val="pt"/>
        </w:rPr>
        <w:t>s</w:t>
      </w:r>
      <w:r w:rsidR="00816A35" w:rsidRPr="00716631">
        <w:rPr>
          <w:lang w:val="pt"/>
        </w:rPr>
        <w:t xml:space="preserve"> em sistemas de regist</w:t>
      </w:r>
      <w:r w:rsidR="00921995" w:rsidRPr="00716631">
        <w:rPr>
          <w:lang w:val="pt"/>
        </w:rPr>
        <w:t>r</w:t>
      </w:r>
      <w:r w:rsidR="00816A35" w:rsidRPr="00716631">
        <w:rPr>
          <w:lang w:val="pt"/>
        </w:rPr>
        <w:t xml:space="preserve">o, sujeitos a serviços escriturais, de custódia ou de </w:t>
      </w:r>
      <w:r w:rsidRPr="00716631">
        <w:rPr>
          <w:lang w:val="pt"/>
        </w:rPr>
        <w:t>serviços d</w:t>
      </w:r>
      <w:r w:rsidR="0012483E" w:rsidRPr="00716631">
        <w:rPr>
          <w:lang w:val="pt"/>
        </w:rPr>
        <w:t>epositários</w:t>
      </w:r>
      <w:r w:rsidRPr="00716631">
        <w:rPr>
          <w:lang w:val="pt"/>
        </w:rPr>
        <w:t xml:space="preserve"> centrais</w:t>
      </w:r>
      <w:r w:rsidR="00BC4BE2" w:rsidRPr="00716631">
        <w:rPr>
          <w:lang w:val="pt"/>
        </w:rPr>
        <w:t>. E</w:t>
      </w:r>
      <w:r w:rsidR="00816A35" w:rsidRPr="00716631">
        <w:rPr>
          <w:lang w:val="pt"/>
        </w:rPr>
        <w:t xml:space="preserve">m todos os casos, o prestador de serviços deve ser licenciado e supervisionado pelas autoridades locais competentes; ou  </w:t>
      </w:r>
    </w:p>
    <w:p w14:paraId="7DF792E1" w14:textId="3D7ECAF6" w:rsidR="002B13C1" w:rsidRPr="00716631" w:rsidRDefault="003F71F5">
      <w:pPr>
        <w:numPr>
          <w:ilvl w:val="0"/>
          <w:numId w:val="1"/>
        </w:numPr>
        <w:ind w:right="54" w:hanging="708"/>
      </w:pPr>
      <w:r w:rsidRPr="00716631">
        <w:rPr>
          <w:lang w:val="pt"/>
        </w:rPr>
        <w:t>Te</w:t>
      </w:r>
      <w:r w:rsidR="007F2AE9">
        <w:rPr>
          <w:lang w:val="pt"/>
        </w:rPr>
        <w:t>nham</w:t>
      </w:r>
      <w:r w:rsidR="00816A35" w:rsidRPr="00716631">
        <w:rPr>
          <w:lang w:val="pt"/>
        </w:rPr>
        <w:t xml:space="preserve"> sua existência diligentemente verificada pela Empresa e/ou seus prestadores de serviços, e desde que tais ativos estejam sujeitos a serviços escriturais ou de custódia e supervisionados pelas autoridades locais relevantes. </w:t>
      </w:r>
    </w:p>
    <w:p w14:paraId="5D800DD6" w14:textId="77777777" w:rsidR="00BC4BE2" w:rsidRPr="00716631" w:rsidRDefault="00BC4BE2">
      <w:pPr>
        <w:pStyle w:val="Ttulo3"/>
        <w:ind w:left="-5"/>
        <w:rPr>
          <w:lang w:val="pt"/>
        </w:rPr>
      </w:pPr>
    </w:p>
    <w:p w14:paraId="1DCAB9C7" w14:textId="3EE11F71" w:rsidR="002B13C1" w:rsidRPr="00716631" w:rsidRDefault="00816A35">
      <w:pPr>
        <w:pStyle w:val="Ttulo3"/>
        <w:ind w:left="-5"/>
      </w:pPr>
      <w:r w:rsidRPr="00716631">
        <w:rPr>
          <w:lang w:val="pt"/>
        </w:rPr>
        <w:t xml:space="preserve">EMPRÉSTIMO DE ATIVOS </w:t>
      </w:r>
    </w:p>
    <w:p w14:paraId="0545C81C" w14:textId="2E2DB8FA" w:rsidR="002B13C1" w:rsidRDefault="00816A35" w:rsidP="0363F18F">
      <w:pPr>
        <w:ind w:left="-5" w:right="54"/>
      </w:pPr>
      <w:r w:rsidRPr="0363F18F">
        <w:t xml:space="preserve">A fim de gerar rendimentos adicionais, o Subfundo pode emprestar títulos da sua carteira que não representem mais de 50% do valor bruto dos ativos (incluindo os valores mobiliários emprestados), pelo valor de mercado, </w:t>
      </w:r>
      <w:r w:rsidR="00BC4BE2" w:rsidRPr="0363F18F">
        <w:t>para</w:t>
      </w:r>
      <w:r w:rsidRPr="0363F18F">
        <w:t xml:space="preserve"> empresas de valores mobiliários e instituições financeiras. Os empréstimos devem ser garantidos continuamente por garantias de alta qualidade consideradas aceitáveis pelo Administrador, a seu critério. Em tais transações, o </w:t>
      </w:r>
      <w:proofErr w:type="spellStart"/>
      <w:r w:rsidRPr="0363F18F">
        <w:t>SubFundo</w:t>
      </w:r>
      <w:proofErr w:type="spellEnd"/>
      <w:r w:rsidRPr="0363F18F">
        <w:t xml:space="preserve"> receberá quaisquer juros ou dividendos pagos sobre os títulos emprestados e</w:t>
      </w:r>
      <w:r w:rsidR="009B2673" w:rsidRPr="0363F18F">
        <w:t>,</w:t>
      </w:r>
      <w:r w:rsidRPr="0363F18F">
        <w:t xml:space="preserve"> qualquer ganho ou perda no valor de mercado dos títulos emprestados, que possa ocorrer durante a vigência do empréstimo, será por conta do Subfundo, todos os quais serão alocados à Classe ou Classes rel</w:t>
      </w:r>
      <w:r w:rsidR="009B2673" w:rsidRPr="0363F18F">
        <w:t>evantes</w:t>
      </w:r>
      <w:r w:rsidRPr="0363F18F">
        <w:t xml:space="preserve">. </w:t>
      </w:r>
    </w:p>
    <w:p w14:paraId="634BA099" w14:textId="77777777" w:rsidR="002B495F" w:rsidRPr="00716631" w:rsidRDefault="002B495F">
      <w:pPr>
        <w:ind w:left="-5" w:right="54"/>
      </w:pPr>
    </w:p>
    <w:p w14:paraId="611A9237" w14:textId="7A43917A" w:rsidR="002B13C1" w:rsidRPr="00716631" w:rsidRDefault="00816A35">
      <w:pPr>
        <w:spacing w:after="0"/>
        <w:ind w:left="-5" w:right="54"/>
      </w:pPr>
      <w:r w:rsidRPr="0363F18F">
        <w:lastRenderedPageBreak/>
        <w:t>Além disso, prevê-se que o Subfundo rec</w:t>
      </w:r>
      <w:r w:rsidR="00064AA6" w:rsidRPr="0363F18F">
        <w:t>eba um pr</w:t>
      </w:r>
      <w:r w:rsidR="001F46D9" w:rsidRPr="0363F18F">
        <w:t>ê</w:t>
      </w:r>
      <w:r w:rsidR="00064AA6" w:rsidRPr="0363F18F">
        <w:t xml:space="preserve">mio pelo empréstimo. </w:t>
      </w:r>
      <w:r w:rsidRPr="0363F18F">
        <w:t>O risco de concessão de empréstimos de títulos de carteira, tal como acontece com outras extensões de crédito, consiste num eventual atraso na recuperação dos títulos ou numa eventual perda de direitos sobre a garantia, caso o m</w:t>
      </w:r>
      <w:r w:rsidR="001F46D9" w:rsidRPr="0363F18F">
        <w:t xml:space="preserve">utuário falhe financeiramente. </w:t>
      </w:r>
      <w:r w:rsidRPr="0363F18F">
        <w:t xml:space="preserve">Ao determinar se o </w:t>
      </w:r>
      <w:proofErr w:type="spellStart"/>
      <w:r w:rsidRPr="0363F18F">
        <w:t>SubFundo</w:t>
      </w:r>
      <w:proofErr w:type="spellEnd"/>
      <w:r w:rsidRPr="0363F18F">
        <w:t xml:space="preserve"> emprestará valores mobiliários, a Empresa e o Administrador considerarão todos os fatores e circunstâncias relevantes, incluindo os valores mobiliários do Subfundo. </w:t>
      </w:r>
    </w:p>
    <w:p w14:paraId="53684316" w14:textId="77777777" w:rsidR="002B13C1" w:rsidRPr="00716631" w:rsidRDefault="00816A35">
      <w:pPr>
        <w:spacing w:after="0" w:line="259" w:lineRule="auto"/>
        <w:ind w:left="0" w:firstLine="0"/>
        <w:jc w:val="left"/>
      </w:pPr>
      <w:r w:rsidRPr="00716631">
        <w:t xml:space="preserve"> </w:t>
      </w:r>
    </w:p>
    <w:p w14:paraId="61E28D8A" w14:textId="77777777" w:rsidR="002B13C1" w:rsidRPr="00716631" w:rsidRDefault="00816A35">
      <w:pPr>
        <w:pStyle w:val="Ttulo3"/>
        <w:ind w:left="-5"/>
      </w:pPr>
      <w:r w:rsidRPr="00716631">
        <w:rPr>
          <w:lang w:val="pt"/>
        </w:rPr>
        <w:t xml:space="preserve">POLÍTICA DE DISTRIBUIÇÃO </w:t>
      </w:r>
    </w:p>
    <w:p w14:paraId="4B5CCC36" w14:textId="1A88233E" w:rsidR="002B13C1" w:rsidRPr="00716631" w:rsidRDefault="00816A35">
      <w:pPr>
        <w:spacing w:after="0"/>
        <w:ind w:left="-5" w:right="54"/>
      </w:pPr>
      <w:r w:rsidRPr="0363F18F">
        <w:t>Não está previsto que quaisquer rendimentos ou ganhos derivados de investimentos sejam distr</w:t>
      </w:r>
      <w:r w:rsidR="00713213" w:rsidRPr="0363F18F">
        <w:t xml:space="preserve">ibuídos a título de dividendos. </w:t>
      </w:r>
      <w:r w:rsidRPr="0363F18F">
        <w:t xml:space="preserve">O Fundo não prevê que quaisquer dividendos ou outras distribuições serão pagos a partir dos ganhos e lucros dos Subfundos </w:t>
      </w:r>
      <w:r w:rsidR="0002389D" w:rsidRPr="0363F18F">
        <w:t>em um</w:t>
      </w:r>
      <w:r w:rsidRPr="0363F18F">
        <w:t xml:space="preserve"> futuro previsível.  O lucro líquido auferido ou </w:t>
      </w:r>
      <w:r w:rsidR="001F46D9" w:rsidRPr="0363F18F">
        <w:t>recebido</w:t>
      </w:r>
      <w:r w:rsidRPr="0363F18F">
        <w:t xml:space="preserve"> realizado pelo </w:t>
      </w:r>
      <w:proofErr w:type="spellStart"/>
      <w:r w:rsidRPr="0363F18F">
        <w:t>SubFundo</w:t>
      </w:r>
      <w:proofErr w:type="spellEnd"/>
      <w:r w:rsidRPr="0363F18F">
        <w:t xml:space="preserve"> geralmente será reinvestido e refletido por um aumento no </w:t>
      </w:r>
      <w:r w:rsidR="00871AA2" w:rsidRPr="0363F18F">
        <w:t>do Patrimônio Líquido/Quotas</w:t>
      </w:r>
      <w:r w:rsidRPr="0363F18F">
        <w:t xml:space="preserve">, que poderá ser realizado pelos Acionistas </w:t>
      </w:r>
      <w:proofErr w:type="gramStart"/>
      <w:r w:rsidRPr="0363F18F">
        <w:t>no momento em que</w:t>
      </w:r>
      <w:proofErr w:type="gramEnd"/>
      <w:r w:rsidRPr="0363F18F">
        <w:t xml:space="preserve"> resgatarem suas </w:t>
      </w:r>
      <w:r w:rsidR="00EA05D1" w:rsidRPr="0363F18F">
        <w:t>quotas</w:t>
      </w:r>
      <w:r w:rsidRPr="0363F18F">
        <w:t xml:space="preserve">.  No entanto, </w:t>
      </w:r>
      <w:r w:rsidR="00EA05D1" w:rsidRPr="0363F18F">
        <w:t>isto</w:t>
      </w:r>
      <w:r w:rsidRPr="0363F18F">
        <w:t xml:space="preserve"> não impede os </w:t>
      </w:r>
      <w:r w:rsidR="00EA05D1" w:rsidRPr="0363F18F">
        <w:t>Diretores</w:t>
      </w:r>
      <w:r w:rsidRPr="0363F18F">
        <w:t xml:space="preserve"> de declararem um dividendo a qualquer momento no futur</w:t>
      </w:r>
      <w:r w:rsidR="001F46D9" w:rsidRPr="0363F18F">
        <w:t xml:space="preserve">o, se o considerarem adequado. </w:t>
      </w:r>
      <w:r w:rsidRPr="0363F18F">
        <w:t>Se um dividendo for declarado, os Diretores o distribuirão em conformidade com a lei aplicável e o</w:t>
      </w:r>
      <w:r w:rsidR="003E6672" w:rsidRPr="0363F18F">
        <w:t xml:space="preserve"> Estatuto do BB Fund</w:t>
      </w:r>
      <w:r w:rsidRPr="0363F18F">
        <w:t xml:space="preserve">. </w:t>
      </w:r>
    </w:p>
    <w:p w14:paraId="42130EBB" w14:textId="77777777" w:rsidR="002B13C1" w:rsidRPr="00716631" w:rsidRDefault="00816A35">
      <w:pPr>
        <w:spacing w:after="19" w:line="259" w:lineRule="auto"/>
        <w:ind w:left="0" w:firstLine="0"/>
        <w:jc w:val="left"/>
      </w:pPr>
      <w:r w:rsidRPr="00716631">
        <w:rPr>
          <w:rFonts w:ascii="Verdana" w:eastAsia="Verdana" w:hAnsi="Verdana" w:cs="Verdana"/>
          <w:sz w:val="17"/>
        </w:rPr>
        <w:t xml:space="preserve"> </w:t>
      </w:r>
    </w:p>
    <w:p w14:paraId="7028F0F9" w14:textId="77777777" w:rsidR="002B13C1" w:rsidRPr="00716631" w:rsidRDefault="00816A35">
      <w:pPr>
        <w:pStyle w:val="Ttulo3"/>
        <w:ind w:left="-5"/>
      </w:pPr>
      <w:r w:rsidRPr="00716631">
        <w:rPr>
          <w:lang w:val="pt"/>
        </w:rPr>
        <w:t xml:space="preserve">ALTERAÇÕES ÀS ESTRATÉGIAS DE INVESTIMENTO E RESTRIÇÕES </w:t>
      </w:r>
    </w:p>
    <w:p w14:paraId="6DB186E0" w14:textId="4AC1B82F" w:rsidR="002B13C1" w:rsidRPr="00716631" w:rsidRDefault="00816A35">
      <w:pPr>
        <w:ind w:left="-5" w:right="54"/>
      </w:pPr>
      <w:r w:rsidRPr="00716631">
        <w:rPr>
          <w:lang w:val="pt"/>
        </w:rPr>
        <w:t xml:space="preserve">O objetivo de investimento, as estratégias de investimento e as restrições de investimento </w:t>
      </w:r>
      <w:r w:rsidR="00B2604C" w:rsidRPr="00716631">
        <w:rPr>
          <w:lang w:val="pt"/>
        </w:rPr>
        <w:t xml:space="preserve">resumidas </w:t>
      </w:r>
      <w:r w:rsidRPr="00716631">
        <w:rPr>
          <w:lang w:val="pt"/>
        </w:rPr>
        <w:t xml:space="preserve">acima representam as intenções atuais dos Diretores e do </w:t>
      </w:r>
      <w:r w:rsidR="003E6672" w:rsidRPr="00716631">
        <w:rPr>
          <w:lang w:val="pt"/>
        </w:rPr>
        <w:t>Gestor</w:t>
      </w:r>
      <w:r w:rsidRPr="00716631">
        <w:rPr>
          <w:lang w:val="pt"/>
        </w:rPr>
        <w:t xml:space="preserve">. Dependendo das condições e tendências nos mercados de valores mobiliários e na economia em geral, diferentes estratégias ou técnicas de investimento podem ser </w:t>
      </w:r>
      <w:r w:rsidR="001F46D9" w:rsidRPr="00716631">
        <w:rPr>
          <w:lang w:val="pt"/>
        </w:rPr>
        <w:t>almejadas</w:t>
      </w:r>
      <w:r w:rsidRPr="00716631">
        <w:rPr>
          <w:lang w:val="pt"/>
        </w:rPr>
        <w:t xml:space="preserve"> ou empregadas, descritas ou não neste </w:t>
      </w:r>
      <w:r w:rsidR="00B2604C" w:rsidRPr="00716631">
        <w:rPr>
          <w:lang w:val="pt"/>
        </w:rPr>
        <w:t>regulamento</w:t>
      </w:r>
      <w:r w:rsidRPr="00716631">
        <w:rPr>
          <w:lang w:val="pt"/>
        </w:rPr>
        <w:t>, sem avis</w:t>
      </w:r>
      <w:r w:rsidR="00B2604C" w:rsidRPr="00716631">
        <w:rPr>
          <w:lang w:val="pt"/>
        </w:rPr>
        <w:t xml:space="preserve">o prévio aos </w:t>
      </w:r>
      <w:r w:rsidR="00B5067B" w:rsidRPr="00716631">
        <w:rPr>
          <w:lang w:val="pt"/>
        </w:rPr>
        <w:t>quotistas</w:t>
      </w:r>
      <w:r w:rsidR="00B2604C" w:rsidRPr="00716631">
        <w:rPr>
          <w:lang w:val="pt"/>
        </w:rPr>
        <w:t xml:space="preserve">, sujeitas </w:t>
      </w:r>
      <w:r w:rsidR="001F46D9" w:rsidRPr="00716631">
        <w:rPr>
          <w:lang w:val="pt"/>
        </w:rPr>
        <w:t>a</w:t>
      </w:r>
      <w:r w:rsidRPr="00716631">
        <w:rPr>
          <w:lang w:val="pt"/>
        </w:rPr>
        <w:t xml:space="preserve"> qualquer lei ou </w:t>
      </w:r>
      <w:r w:rsidR="00550EF9" w:rsidRPr="00716631">
        <w:rPr>
          <w:lang w:val="pt"/>
        </w:rPr>
        <w:t>regulamento</w:t>
      </w:r>
      <w:r w:rsidRPr="00716631">
        <w:rPr>
          <w:lang w:val="pt"/>
        </w:rPr>
        <w:t xml:space="preserve"> aplicável. </w:t>
      </w:r>
    </w:p>
    <w:p w14:paraId="4E903A7B" w14:textId="77777777" w:rsidR="002B13C1" w:rsidRPr="00716631" w:rsidRDefault="002B13C1">
      <w:pPr>
        <w:sectPr w:rsidR="002B13C1" w:rsidRPr="00716631">
          <w:headerReference w:type="even" r:id="rId14"/>
          <w:headerReference w:type="default" r:id="rId15"/>
          <w:footerReference w:type="even" r:id="rId16"/>
          <w:footerReference w:type="default" r:id="rId17"/>
          <w:headerReference w:type="first" r:id="rId18"/>
          <w:footerReference w:type="first" r:id="rId19"/>
          <w:pgSz w:w="11904" w:h="16840"/>
          <w:pgMar w:top="1462" w:right="1412" w:bottom="1183" w:left="1418" w:header="720" w:footer="455" w:gutter="0"/>
          <w:pgNumType w:start="1"/>
          <w:cols w:space="720"/>
        </w:sectPr>
      </w:pPr>
    </w:p>
    <w:p w14:paraId="0E206B4F" w14:textId="77777777" w:rsidR="002B13C1" w:rsidRPr="00716631" w:rsidRDefault="00816A35">
      <w:pPr>
        <w:pStyle w:val="Ttulo2"/>
        <w:spacing w:after="407"/>
        <w:ind w:right="56"/>
      </w:pPr>
      <w:r w:rsidRPr="00716631">
        <w:rPr>
          <w:lang w:val="pt"/>
        </w:rPr>
        <w:lastRenderedPageBreak/>
        <w:t xml:space="preserve">TAXAS E DESPESAS </w:t>
      </w:r>
    </w:p>
    <w:p w14:paraId="0CC17B63" w14:textId="1C57F006" w:rsidR="002B13C1" w:rsidRPr="00716631" w:rsidRDefault="00816A35">
      <w:pPr>
        <w:pStyle w:val="Ttulo3"/>
        <w:ind w:left="-5"/>
      </w:pPr>
      <w:r w:rsidRPr="00716631">
        <w:rPr>
          <w:lang w:val="pt"/>
        </w:rPr>
        <w:t xml:space="preserve">TAXAS A PAGAR AO </w:t>
      </w:r>
      <w:r w:rsidR="003E68FD" w:rsidRPr="00716631">
        <w:rPr>
          <w:lang w:val="pt"/>
        </w:rPr>
        <w:t>GESTOR</w:t>
      </w:r>
      <w:r w:rsidRPr="00716631">
        <w:rPr>
          <w:lang w:val="pt"/>
        </w:rPr>
        <w:t xml:space="preserve"> </w:t>
      </w:r>
    </w:p>
    <w:p w14:paraId="75A73597" w14:textId="62BA9F9F" w:rsidR="002B13C1" w:rsidRPr="00716631" w:rsidRDefault="00816A35">
      <w:pPr>
        <w:ind w:left="-5" w:right="54"/>
      </w:pPr>
      <w:r w:rsidRPr="00716631">
        <w:rPr>
          <w:lang w:val="pt"/>
        </w:rPr>
        <w:t xml:space="preserve">O Subfundo pagará ao </w:t>
      </w:r>
      <w:r w:rsidR="003E68FD" w:rsidRPr="00716631">
        <w:rPr>
          <w:lang w:val="pt"/>
        </w:rPr>
        <w:t>Gestor</w:t>
      </w:r>
      <w:r w:rsidRPr="00716631">
        <w:rPr>
          <w:lang w:val="pt"/>
        </w:rPr>
        <w:t xml:space="preserve"> uma taxa anual de 0,</w:t>
      </w:r>
      <w:r w:rsidR="001439C7">
        <w:rPr>
          <w:lang w:val="pt"/>
        </w:rPr>
        <w:t>7</w:t>
      </w:r>
      <w:r w:rsidRPr="00716631">
        <w:rPr>
          <w:lang w:val="pt"/>
        </w:rPr>
        <w:t xml:space="preserve">0% do </w:t>
      </w:r>
      <w:r w:rsidR="00923498" w:rsidRPr="00716631">
        <w:rPr>
          <w:lang w:val="pt"/>
        </w:rPr>
        <w:t>Patrimônio Líquido</w:t>
      </w:r>
      <w:r w:rsidRPr="00716631">
        <w:rPr>
          <w:lang w:val="pt"/>
        </w:rPr>
        <w:t xml:space="preserve"> desse Subfundo.  Esta taxa de administração será calculada e acumulada diariamente a partir do encerramento de cada Dia Útil e será paga mensalmente.  </w:t>
      </w:r>
      <w:r w:rsidR="005C6003" w:rsidRPr="00716631">
        <w:rPr>
          <w:lang w:val="pt"/>
        </w:rPr>
        <w:t>Conforme</w:t>
      </w:r>
      <w:r w:rsidRPr="00716631">
        <w:rPr>
          <w:lang w:val="pt"/>
        </w:rPr>
        <w:t xml:space="preserve"> os acordos entre a Companhia e o </w:t>
      </w:r>
      <w:r w:rsidR="008C670F" w:rsidRPr="00716631">
        <w:rPr>
          <w:lang w:val="pt"/>
        </w:rPr>
        <w:t>Gestor</w:t>
      </w:r>
      <w:r w:rsidRPr="00716631">
        <w:rPr>
          <w:lang w:val="pt"/>
        </w:rPr>
        <w:t xml:space="preserve">, o </w:t>
      </w:r>
      <w:r w:rsidR="008C670F" w:rsidRPr="00716631">
        <w:rPr>
          <w:lang w:val="pt"/>
        </w:rPr>
        <w:t>Gestor</w:t>
      </w:r>
      <w:r w:rsidRPr="00716631">
        <w:rPr>
          <w:lang w:val="pt"/>
        </w:rPr>
        <w:t xml:space="preserve"> pode compartilhar uma porcentagem da taxa de administração com um </w:t>
      </w:r>
      <w:r w:rsidR="008C670F" w:rsidRPr="00716631">
        <w:rPr>
          <w:lang w:val="pt"/>
        </w:rPr>
        <w:t>D</w:t>
      </w:r>
      <w:r w:rsidRPr="00716631">
        <w:rPr>
          <w:lang w:val="pt"/>
        </w:rPr>
        <w:t xml:space="preserve">istribuidor. </w:t>
      </w:r>
    </w:p>
    <w:p w14:paraId="2ABFDDA3" w14:textId="77777777" w:rsidR="002B13C1" w:rsidRPr="00716631" w:rsidRDefault="00816A35">
      <w:pPr>
        <w:pStyle w:val="Ttulo3"/>
        <w:ind w:left="-5"/>
      </w:pPr>
      <w:r w:rsidRPr="00716631">
        <w:rPr>
          <w:lang w:val="pt"/>
        </w:rPr>
        <w:t xml:space="preserve">TAXAS DE ADMINISTRAÇÃO </w:t>
      </w:r>
    </w:p>
    <w:p w14:paraId="1DA692C1" w14:textId="77777777" w:rsidR="002B13C1" w:rsidRPr="00716631" w:rsidRDefault="00816A35">
      <w:pPr>
        <w:ind w:left="-5" w:right="54"/>
      </w:pPr>
      <w:r w:rsidRPr="00716631">
        <w:rPr>
          <w:lang w:val="pt"/>
        </w:rPr>
        <w:t xml:space="preserve">O Administrador receberá uma taxa dos ativos do Subfundo pela prestação de serviços administrativos, conforme estabelecido no Contrato de Administração. </w:t>
      </w:r>
    </w:p>
    <w:p w14:paraId="1A58B61B" w14:textId="5AADEB24" w:rsidR="002B13C1" w:rsidRPr="00716631" w:rsidRDefault="00816A35">
      <w:pPr>
        <w:ind w:left="-5" w:right="54"/>
      </w:pPr>
      <w:r w:rsidRPr="00716631">
        <w:rPr>
          <w:lang w:val="pt"/>
        </w:rPr>
        <w:t xml:space="preserve">O Administrador também terá direito a várias taxas de transação e processamento e a ser reembolsado por todas as despesas </w:t>
      </w:r>
      <w:r w:rsidR="00CA0126" w:rsidRPr="00716631">
        <w:rPr>
          <w:lang w:val="pt"/>
        </w:rPr>
        <w:t xml:space="preserve">já pagas por este </w:t>
      </w:r>
      <w:r w:rsidRPr="00716631">
        <w:rPr>
          <w:lang w:val="pt"/>
        </w:rPr>
        <w:t xml:space="preserve">no desempenho de suas funções. </w:t>
      </w:r>
    </w:p>
    <w:p w14:paraId="584EE1EE" w14:textId="77777777" w:rsidR="002B13C1" w:rsidRPr="00716631" w:rsidRDefault="00816A35">
      <w:pPr>
        <w:pStyle w:val="Ttulo3"/>
        <w:ind w:left="-5"/>
      </w:pPr>
      <w:r w:rsidRPr="00716631">
        <w:rPr>
          <w:lang w:val="pt"/>
        </w:rPr>
        <w:t xml:space="preserve">OUTRAS TAXAS E DESPESAS </w:t>
      </w:r>
    </w:p>
    <w:p w14:paraId="653E432C" w14:textId="7A7C3AA0" w:rsidR="002B13C1" w:rsidRPr="00716631" w:rsidRDefault="00816A35">
      <w:pPr>
        <w:spacing w:after="0"/>
        <w:ind w:left="-5" w:right="54"/>
      </w:pPr>
      <w:r w:rsidRPr="00716631">
        <w:rPr>
          <w:b/>
          <w:i/>
          <w:lang w:val="pt"/>
        </w:rPr>
        <w:t xml:space="preserve">Desconto sobre o Valor </w:t>
      </w:r>
      <w:r w:rsidR="00061510" w:rsidRPr="00716631">
        <w:rPr>
          <w:b/>
          <w:i/>
          <w:lang w:val="pt"/>
        </w:rPr>
        <w:t>Investido</w:t>
      </w:r>
      <w:r w:rsidRPr="00716631">
        <w:rPr>
          <w:lang w:val="pt"/>
        </w:rPr>
        <w:t xml:space="preserve">: Antes da alocação de </w:t>
      </w:r>
      <w:r w:rsidR="00663095" w:rsidRPr="00716631">
        <w:rPr>
          <w:lang w:val="pt"/>
        </w:rPr>
        <w:t>Quotas</w:t>
      </w:r>
      <w:r w:rsidRPr="00716631">
        <w:rPr>
          <w:lang w:val="pt"/>
        </w:rPr>
        <w:t xml:space="preserve"> aos investidores, cada Subfundo tem direito a </w:t>
      </w:r>
      <w:r w:rsidR="00180101" w:rsidRPr="00716631">
        <w:rPr>
          <w:lang w:val="pt"/>
        </w:rPr>
        <w:t>deduzir</w:t>
      </w:r>
      <w:r w:rsidRPr="00716631">
        <w:rPr>
          <w:lang w:val="pt"/>
        </w:rPr>
        <w:t xml:space="preserve"> </w:t>
      </w:r>
      <w:r w:rsidR="00180101" w:rsidRPr="00716631">
        <w:rPr>
          <w:lang w:val="pt"/>
        </w:rPr>
        <w:t>das aplicações</w:t>
      </w:r>
      <w:r w:rsidRPr="00716631">
        <w:rPr>
          <w:lang w:val="pt"/>
        </w:rPr>
        <w:t xml:space="preserve"> quaisquer valores relativos a impostos ou </w:t>
      </w:r>
      <w:r w:rsidR="001825D8" w:rsidRPr="00716631">
        <w:rPr>
          <w:lang w:val="pt"/>
        </w:rPr>
        <w:t>taxas cobradas</w:t>
      </w:r>
      <w:r w:rsidRPr="00716631">
        <w:rPr>
          <w:lang w:val="pt"/>
        </w:rPr>
        <w:t xml:space="preserve"> pelas autoridades brasileiras sobre a entrada de dinheiro investido às taxas atuais no momento da</w:t>
      </w:r>
      <w:r w:rsidR="00061510" w:rsidRPr="00716631">
        <w:rPr>
          <w:lang w:val="pt"/>
        </w:rPr>
        <w:t xml:space="preserve"> aplicação</w:t>
      </w:r>
      <w:r w:rsidRPr="00716631">
        <w:rPr>
          <w:lang w:val="pt"/>
        </w:rPr>
        <w:t xml:space="preserve">. A Companhia informará os investidores sobre a existência, natureza e valor de tais deduções em relação ao Subfundo. </w:t>
      </w:r>
    </w:p>
    <w:p w14:paraId="20A3D56A" w14:textId="77777777" w:rsidR="002B13C1" w:rsidRPr="00716631" w:rsidRDefault="00816A35">
      <w:pPr>
        <w:spacing w:after="19" w:line="259" w:lineRule="auto"/>
        <w:ind w:left="0" w:firstLine="0"/>
        <w:jc w:val="left"/>
      </w:pPr>
      <w:r w:rsidRPr="00716631">
        <w:rPr>
          <w:rFonts w:ascii="Verdana" w:eastAsia="Verdana" w:hAnsi="Verdana" w:cs="Verdana"/>
          <w:sz w:val="17"/>
        </w:rPr>
        <w:t xml:space="preserve"> </w:t>
      </w:r>
    </w:p>
    <w:p w14:paraId="483F0299" w14:textId="28131535" w:rsidR="002B13C1" w:rsidRPr="00716631" w:rsidRDefault="00816A35">
      <w:pPr>
        <w:ind w:left="-5" w:right="54"/>
        <w:rPr>
          <w:lang w:val="pt"/>
        </w:rPr>
      </w:pPr>
      <w:r w:rsidRPr="00716631">
        <w:rPr>
          <w:lang w:val="pt"/>
        </w:rPr>
        <w:t xml:space="preserve">Os custos organizacionais da Companhia e os custos desta oferta foram </w:t>
      </w:r>
      <w:r w:rsidR="00D54DDD" w:rsidRPr="00716631">
        <w:rPr>
          <w:lang w:val="pt"/>
        </w:rPr>
        <w:t>honrados</w:t>
      </w:r>
      <w:r w:rsidRPr="00716631">
        <w:rPr>
          <w:lang w:val="pt"/>
        </w:rPr>
        <w:t xml:space="preserve"> pelos Subfundos e amortizados em uma base linear ao longo de um período de cinco anos. Além disso, a Empresa é obrigada a pagar suas despesas operacionais contínuas, incluindo despesas de investimento e taxas legais, contábeis, de auditoria, relatórios, impressão, registro e do governo das Ilhas Cayman, que serão alocadas proporcionalmente entre os Subfundos. A Companhia também é responsável por suas despesas extraordinárias, se houver, que serão alocadas aos Subfundos em relação aos quais as </w:t>
      </w:r>
      <w:r w:rsidR="00904B58" w:rsidRPr="00716631">
        <w:rPr>
          <w:lang w:val="pt"/>
        </w:rPr>
        <w:t>estas</w:t>
      </w:r>
      <w:r w:rsidRPr="00716631">
        <w:rPr>
          <w:lang w:val="pt"/>
        </w:rPr>
        <w:t xml:space="preserve"> são atribuíveis ou, se não atribuíveis a qualquer Subfundo específico, alocadas proporcionalmente entre os Subfundos. A Companhia poderá, com relação a qualquer emissão de </w:t>
      </w:r>
      <w:r w:rsidR="00663095" w:rsidRPr="00716631">
        <w:rPr>
          <w:lang w:val="pt"/>
        </w:rPr>
        <w:t>Quotas</w:t>
      </w:r>
      <w:r w:rsidRPr="00716631">
        <w:rPr>
          <w:lang w:val="pt"/>
        </w:rPr>
        <w:t xml:space="preserve">, pagar as taxas de corretagem, descontos ou comissões que possam ser lícitos, que serão atribuíveis aos Subfundos relevantes. A fim de custear tais despesas, os Subfundos podem usar a Taxa de Administração dispensada ou recebida (se aplicável) do </w:t>
      </w:r>
      <w:r w:rsidR="0001788C" w:rsidRPr="00716631">
        <w:rPr>
          <w:lang w:val="pt"/>
        </w:rPr>
        <w:t>Gestor</w:t>
      </w:r>
      <w:r w:rsidRPr="00716631">
        <w:rPr>
          <w:lang w:val="pt"/>
        </w:rPr>
        <w:t xml:space="preserve">, no caso de o </w:t>
      </w:r>
      <w:r w:rsidR="0001788C" w:rsidRPr="00716631">
        <w:rPr>
          <w:lang w:val="pt"/>
        </w:rPr>
        <w:t>Gestor</w:t>
      </w:r>
      <w:r w:rsidRPr="00716631">
        <w:rPr>
          <w:lang w:val="pt"/>
        </w:rPr>
        <w:t xml:space="preserve"> renunciar ao seu direito de receber a Taxa de Administração ou ceder qualquer parte ou a totalidade de sua Taxa de Administração ao Subfundo relevante. </w:t>
      </w:r>
    </w:p>
    <w:p w14:paraId="6A5548ED" w14:textId="77777777" w:rsidR="00BC0ECB" w:rsidRDefault="00BC0ECB">
      <w:pPr>
        <w:ind w:left="-5" w:right="54"/>
      </w:pPr>
    </w:p>
    <w:p w14:paraId="74CD1B33" w14:textId="77777777" w:rsidR="00977CC7" w:rsidRDefault="00977CC7">
      <w:pPr>
        <w:ind w:left="-5" w:right="54"/>
      </w:pPr>
    </w:p>
    <w:p w14:paraId="45BAE421" w14:textId="77777777" w:rsidR="00977CC7" w:rsidRDefault="00977CC7">
      <w:pPr>
        <w:ind w:left="-5" w:right="54"/>
      </w:pPr>
    </w:p>
    <w:p w14:paraId="6D20BF4D" w14:textId="77777777" w:rsidR="00977CC7" w:rsidRPr="00716631" w:rsidRDefault="00977CC7">
      <w:pPr>
        <w:ind w:left="-5" w:right="54"/>
      </w:pPr>
    </w:p>
    <w:p w14:paraId="34537F2D" w14:textId="742D3734" w:rsidR="002B13C1" w:rsidRPr="00716631" w:rsidRDefault="00BC0ECB">
      <w:pPr>
        <w:pStyle w:val="Ttulo2"/>
        <w:spacing w:after="407"/>
        <w:ind w:right="55"/>
      </w:pPr>
      <w:r w:rsidRPr="00716631">
        <w:rPr>
          <w:lang w:val="pt"/>
        </w:rPr>
        <w:lastRenderedPageBreak/>
        <w:t>APLICAÇÕES/ INVESTIMENTOS</w:t>
      </w:r>
    </w:p>
    <w:p w14:paraId="0242A1CA" w14:textId="4A66A441" w:rsidR="002B13C1" w:rsidRPr="00716631" w:rsidRDefault="00816A35">
      <w:pPr>
        <w:pStyle w:val="Ttulo3"/>
        <w:ind w:left="-5"/>
      </w:pPr>
      <w:r w:rsidRPr="00716631">
        <w:rPr>
          <w:lang w:val="pt"/>
        </w:rPr>
        <w:t xml:space="preserve">PREÇO DE </w:t>
      </w:r>
      <w:r w:rsidR="00BC0ECB" w:rsidRPr="00716631">
        <w:rPr>
          <w:lang w:val="pt"/>
        </w:rPr>
        <w:t>APLICAÇÃO</w:t>
      </w:r>
      <w:r w:rsidRPr="00716631">
        <w:rPr>
          <w:lang w:val="pt"/>
        </w:rPr>
        <w:t xml:space="preserve"> E EMISSÃO </w:t>
      </w:r>
    </w:p>
    <w:p w14:paraId="51457DF3" w14:textId="174717D4" w:rsidR="002B13C1" w:rsidRPr="00716631" w:rsidRDefault="00816A35">
      <w:pPr>
        <w:ind w:left="-5" w:right="54"/>
      </w:pPr>
      <w:r w:rsidRPr="00716631">
        <w:rPr>
          <w:lang w:val="pt"/>
        </w:rPr>
        <w:t xml:space="preserve">As </w:t>
      </w:r>
      <w:r w:rsidR="00663095" w:rsidRPr="00716631">
        <w:rPr>
          <w:lang w:val="pt"/>
        </w:rPr>
        <w:t>Quotas</w:t>
      </w:r>
      <w:r w:rsidRPr="00716631">
        <w:rPr>
          <w:lang w:val="pt"/>
        </w:rPr>
        <w:t xml:space="preserve"> estão sendo oferecidas por um preço de </w:t>
      </w:r>
      <w:r w:rsidR="00AB77A8" w:rsidRPr="00716631">
        <w:rPr>
          <w:lang w:val="pt"/>
        </w:rPr>
        <w:t>aplicação</w:t>
      </w:r>
      <w:r w:rsidRPr="00716631">
        <w:rPr>
          <w:lang w:val="pt"/>
        </w:rPr>
        <w:t xml:space="preserve"> fix</w:t>
      </w:r>
      <w:r w:rsidR="00EB2EE8">
        <w:rPr>
          <w:lang w:val="pt"/>
        </w:rPr>
        <w:t>a</w:t>
      </w:r>
      <w:r w:rsidRPr="00716631">
        <w:rPr>
          <w:lang w:val="pt"/>
        </w:rPr>
        <w:t xml:space="preserve"> inicial de US$ 1.000 por </w:t>
      </w:r>
      <w:r w:rsidR="00AB77A8" w:rsidRPr="00716631">
        <w:rPr>
          <w:lang w:val="pt"/>
        </w:rPr>
        <w:t>Quota</w:t>
      </w:r>
      <w:r w:rsidRPr="00716631">
        <w:rPr>
          <w:lang w:val="pt"/>
        </w:rPr>
        <w:t xml:space="preserve">. </w:t>
      </w:r>
    </w:p>
    <w:p w14:paraId="71FDBCA0" w14:textId="5BD12929" w:rsidR="002B13C1" w:rsidRPr="00716631" w:rsidRDefault="00816A35">
      <w:pPr>
        <w:ind w:left="-5" w:right="54"/>
      </w:pPr>
      <w:r w:rsidRPr="00716631">
        <w:rPr>
          <w:lang w:val="pt"/>
        </w:rPr>
        <w:t xml:space="preserve">Após a compra inicial, as </w:t>
      </w:r>
      <w:r w:rsidR="00663095" w:rsidRPr="00716631">
        <w:rPr>
          <w:lang w:val="pt"/>
        </w:rPr>
        <w:t>Quotas</w:t>
      </w:r>
      <w:r w:rsidRPr="00716631">
        <w:rPr>
          <w:lang w:val="pt"/>
        </w:rPr>
        <w:t xml:space="preserve"> estarão disponíveis para </w:t>
      </w:r>
      <w:r w:rsidR="008B0653" w:rsidRPr="00716631">
        <w:rPr>
          <w:lang w:val="pt"/>
        </w:rPr>
        <w:t>aplicação</w:t>
      </w:r>
      <w:r w:rsidR="00B217AF" w:rsidRPr="00716631">
        <w:rPr>
          <w:lang w:val="pt"/>
        </w:rPr>
        <w:t xml:space="preserve"> em cada d</w:t>
      </w:r>
      <w:r w:rsidRPr="00716631">
        <w:rPr>
          <w:lang w:val="pt"/>
        </w:rPr>
        <w:t xml:space="preserve">ia de </w:t>
      </w:r>
      <w:r w:rsidR="008B0653" w:rsidRPr="00716631">
        <w:rPr>
          <w:lang w:val="pt"/>
        </w:rPr>
        <w:t>aplicação</w:t>
      </w:r>
      <w:r w:rsidRPr="00716631">
        <w:rPr>
          <w:lang w:val="pt"/>
        </w:rPr>
        <w:t xml:space="preserve"> ao Preço de </w:t>
      </w:r>
      <w:r w:rsidR="008B0653" w:rsidRPr="00716631">
        <w:rPr>
          <w:lang w:val="pt"/>
        </w:rPr>
        <w:t>aplicação</w:t>
      </w:r>
      <w:r w:rsidRPr="00716631">
        <w:rPr>
          <w:lang w:val="pt"/>
        </w:rPr>
        <w:t xml:space="preserve"> relevante.  O Formulário de Negociação preenchido deve ser recebido até as 21</w:t>
      </w:r>
      <w:r w:rsidR="008B0653" w:rsidRPr="00716631">
        <w:rPr>
          <w:lang w:val="pt"/>
        </w:rPr>
        <w:t>h</w:t>
      </w:r>
      <w:r w:rsidRPr="00716631">
        <w:rPr>
          <w:lang w:val="pt"/>
        </w:rPr>
        <w:t xml:space="preserve"> (horário irlandês) no Dia da Assinatura relevante. A menos que os Diretores concordem de outra forma, qualquer Formulário de </w:t>
      </w:r>
      <w:r w:rsidR="009F3A6F" w:rsidRPr="00716631">
        <w:rPr>
          <w:lang w:val="pt"/>
        </w:rPr>
        <w:t>Aplicação/Resgate</w:t>
      </w:r>
      <w:r w:rsidRPr="00716631">
        <w:rPr>
          <w:lang w:val="pt"/>
        </w:rPr>
        <w:t xml:space="preserve"> recebido após esse </w:t>
      </w:r>
      <w:r w:rsidR="00B217AF" w:rsidRPr="00716631">
        <w:rPr>
          <w:lang w:val="pt"/>
        </w:rPr>
        <w:t>horário</w:t>
      </w:r>
      <w:r w:rsidRPr="00716631">
        <w:rPr>
          <w:lang w:val="pt"/>
        </w:rPr>
        <w:t xml:space="preserve"> será retido e tratado no próximo Dia de </w:t>
      </w:r>
      <w:r w:rsidR="00060944" w:rsidRPr="00716631">
        <w:rPr>
          <w:lang w:val="pt"/>
        </w:rPr>
        <w:t>aplicação</w:t>
      </w:r>
      <w:r w:rsidRPr="00716631">
        <w:rPr>
          <w:lang w:val="pt"/>
        </w:rPr>
        <w:t xml:space="preserve"> relevante. </w:t>
      </w:r>
    </w:p>
    <w:p w14:paraId="2E3A45CE" w14:textId="73A81703" w:rsidR="002B13C1" w:rsidRPr="00716631" w:rsidRDefault="00816A35" w:rsidP="0363F18F">
      <w:pPr>
        <w:ind w:left="-5" w:right="54"/>
      </w:pPr>
      <w:r w:rsidRPr="0363F18F">
        <w:t xml:space="preserve">O </w:t>
      </w:r>
      <w:r w:rsidR="00F8563E" w:rsidRPr="0363F18F">
        <w:t>valor de aplicação</w:t>
      </w:r>
      <w:r w:rsidRPr="0363F18F">
        <w:t xml:space="preserve"> será igual ao </w:t>
      </w:r>
      <w:r w:rsidR="00221A54" w:rsidRPr="0363F18F">
        <w:t xml:space="preserve">valor da </w:t>
      </w:r>
      <w:r w:rsidR="00F8563E" w:rsidRPr="0363F18F">
        <w:t>quota</w:t>
      </w:r>
      <w:r w:rsidRPr="0363F18F">
        <w:t xml:space="preserve"> do Subfundo relevante no Dia da </w:t>
      </w:r>
      <w:proofErr w:type="spellStart"/>
      <w:r w:rsidR="00F8563E" w:rsidRPr="0363F18F">
        <w:t>Valuation</w:t>
      </w:r>
      <w:proofErr w:type="spellEnd"/>
      <w:r w:rsidRPr="0363F18F">
        <w:t xml:space="preserve"> relevante.  </w:t>
      </w:r>
    </w:p>
    <w:p w14:paraId="43ECCCE7" w14:textId="77777777" w:rsidR="00B217AF" w:rsidRPr="00716631" w:rsidRDefault="00B217AF">
      <w:pPr>
        <w:ind w:left="-5" w:right="54"/>
      </w:pPr>
    </w:p>
    <w:p w14:paraId="0C94B719" w14:textId="77777777" w:rsidR="002B13C1" w:rsidRPr="00716631" w:rsidRDefault="00816A35">
      <w:pPr>
        <w:pStyle w:val="Ttulo3"/>
        <w:ind w:left="-5"/>
      </w:pPr>
      <w:r w:rsidRPr="00716631">
        <w:rPr>
          <w:lang w:val="pt"/>
        </w:rPr>
        <w:t xml:space="preserve">INVESTIMENTO MÍNIMO </w:t>
      </w:r>
    </w:p>
    <w:p w14:paraId="4040E398" w14:textId="5C46C128" w:rsidR="002B13C1" w:rsidRPr="00716631" w:rsidRDefault="00816A35">
      <w:pPr>
        <w:ind w:left="-5" w:right="54"/>
      </w:pPr>
      <w:r w:rsidRPr="00716631">
        <w:rPr>
          <w:lang w:val="pt"/>
        </w:rPr>
        <w:t xml:space="preserve">O investimento inicial mínimo por </w:t>
      </w:r>
      <w:r w:rsidR="00F8563E" w:rsidRPr="00716631">
        <w:rPr>
          <w:lang w:val="pt"/>
        </w:rPr>
        <w:t>investidor</w:t>
      </w:r>
      <w:r w:rsidRPr="00716631">
        <w:rPr>
          <w:lang w:val="pt"/>
        </w:rPr>
        <w:t xml:space="preserve"> é de US$ 50.000 no </w:t>
      </w:r>
      <w:r w:rsidR="00F8563E" w:rsidRPr="00716631">
        <w:rPr>
          <w:lang w:val="pt"/>
        </w:rPr>
        <w:t xml:space="preserve">caso de ações </w:t>
      </w:r>
      <w:r w:rsidR="008D17E7">
        <w:rPr>
          <w:lang w:val="pt"/>
        </w:rPr>
        <w:t>BB F</w:t>
      </w:r>
      <w:r w:rsidR="00EB2EE8">
        <w:rPr>
          <w:lang w:val="pt"/>
        </w:rPr>
        <w:t>und</w:t>
      </w:r>
      <w:r w:rsidR="008D17E7">
        <w:rPr>
          <w:lang w:val="pt"/>
        </w:rPr>
        <w:t xml:space="preserve"> D</w:t>
      </w:r>
      <w:r w:rsidR="00F8563E" w:rsidRPr="00716631">
        <w:rPr>
          <w:lang w:val="pt"/>
        </w:rPr>
        <w:t>.</w:t>
      </w:r>
      <w:r w:rsidRPr="00716631">
        <w:rPr>
          <w:lang w:val="pt"/>
        </w:rPr>
        <w:t xml:space="preserve">  Os Diretores podem renunciar ou reduzir o investimento inicial mínimo, em geral o</w:t>
      </w:r>
      <w:r w:rsidR="00B217AF" w:rsidRPr="00716631">
        <w:rPr>
          <w:lang w:val="pt"/>
        </w:rPr>
        <w:t xml:space="preserve">u em qualquer caso particular. </w:t>
      </w:r>
      <w:r w:rsidRPr="00716631">
        <w:rPr>
          <w:lang w:val="pt"/>
        </w:rPr>
        <w:t xml:space="preserve">No entanto, enquanto a Empresa estiver registrada sob a seção 4(3) da Lei de Fundos Mútuos, o investimento inicial mínimo não pode ser inferior a US$ 50.000 (ou seu equivalente na Moeda de Negociação relevante).  </w:t>
      </w:r>
      <w:r w:rsidRPr="00716631">
        <w:rPr>
          <w:lang w:val="pt"/>
        </w:rPr>
        <w:br w:type="page"/>
      </w:r>
    </w:p>
    <w:p w14:paraId="146809D3" w14:textId="77777777" w:rsidR="002B13C1" w:rsidRPr="00716631" w:rsidRDefault="00816A35">
      <w:pPr>
        <w:pStyle w:val="Ttulo2"/>
        <w:spacing w:after="407"/>
        <w:ind w:right="53"/>
      </w:pPr>
      <w:r w:rsidRPr="00716631">
        <w:rPr>
          <w:lang w:val="pt"/>
        </w:rPr>
        <w:lastRenderedPageBreak/>
        <w:t xml:space="preserve">RESGATES </w:t>
      </w:r>
    </w:p>
    <w:p w14:paraId="764DA1B1" w14:textId="68D816E2" w:rsidR="002B13C1" w:rsidRPr="00716631" w:rsidRDefault="00816A35">
      <w:pPr>
        <w:pStyle w:val="Ttulo3"/>
        <w:ind w:left="-5"/>
      </w:pPr>
      <w:r w:rsidRPr="00716631">
        <w:rPr>
          <w:lang w:val="pt"/>
        </w:rPr>
        <w:t xml:space="preserve">PROCEDIMENTO PARA O RESGATE DAS </w:t>
      </w:r>
      <w:r w:rsidR="00242DBC" w:rsidRPr="00716631">
        <w:rPr>
          <w:lang w:val="pt"/>
        </w:rPr>
        <w:t>QUOTAS</w:t>
      </w:r>
      <w:r w:rsidRPr="00716631">
        <w:rPr>
          <w:lang w:val="pt"/>
        </w:rPr>
        <w:t xml:space="preserve"> </w:t>
      </w:r>
    </w:p>
    <w:p w14:paraId="1B40EC6E" w14:textId="0B3CA275" w:rsidR="002B13C1" w:rsidRPr="00716631" w:rsidRDefault="00816A35">
      <w:pPr>
        <w:ind w:left="-5" w:right="54"/>
      </w:pPr>
      <w:r w:rsidRPr="0363F18F">
        <w:t xml:space="preserve">Sujeito a quaisquer restrições estabelecidas nesta seção e sob a seção do </w:t>
      </w:r>
      <w:proofErr w:type="spellStart"/>
      <w:r w:rsidR="00902626" w:rsidRPr="0363F18F">
        <w:rPr>
          <w:i/>
          <w:iCs/>
        </w:rPr>
        <w:t>p</w:t>
      </w:r>
      <w:r w:rsidR="002C0F33" w:rsidRPr="0363F18F">
        <w:rPr>
          <w:i/>
          <w:iCs/>
        </w:rPr>
        <w:t>rospectus</w:t>
      </w:r>
      <w:proofErr w:type="spellEnd"/>
      <w:r w:rsidRPr="0363F18F">
        <w:t xml:space="preserve"> intitulada "Valor Patrimonial Líquido - Suspensões", as </w:t>
      </w:r>
      <w:r w:rsidR="00663095" w:rsidRPr="0363F18F">
        <w:t>Quotas</w:t>
      </w:r>
      <w:r w:rsidRPr="0363F18F">
        <w:t xml:space="preserve"> podem ser resgatadas a critério do </w:t>
      </w:r>
      <w:r w:rsidR="00B468A8" w:rsidRPr="0363F18F">
        <w:t>quotista</w:t>
      </w:r>
      <w:r w:rsidRPr="0363F18F">
        <w:t xml:space="preserve"> em qualquer Dia de Resgate. </w:t>
      </w:r>
    </w:p>
    <w:p w14:paraId="24BAE572" w14:textId="6A66D8AF" w:rsidR="002B13C1" w:rsidRPr="00716631" w:rsidRDefault="00816A35">
      <w:pPr>
        <w:ind w:left="-5" w:right="54"/>
      </w:pPr>
      <w:r w:rsidRPr="00716631">
        <w:rPr>
          <w:lang w:val="pt"/>
        </w:rPr>
        <w:t xml:space="preserve">Um </w:t>
      </w:r>
      <w:r w:rsidR="00B468A8" w:rsidRPr="00716631">
        <w:rPr>
          <w:lang w:val="pt"/>
        </w:rPr>
        <w:t>quotista</w:t>
      </w:r>
      <w:r w:rsidRPr="00716631">
        <w:rPr>
          <w:lang w:val="pt"/>
        </w:rPr>
        <w:t xml:space="preserve"> que deseje resgatar suas </w:t>
      </w:r>
      <w:r w:rsidR="00663095" w:rsidRPr="00716631">
        <w:rPr>
          <w:lang w:val="pt"/>
        </w:rPr>
        <w:t>Quotas</w:t>
      </w:r>
      <w:r w:rsidRPr="00716631">
        <w:rPr>
          <w:lang w:val="pt"/>
        </w:rPr>
        <w:t xml:space="preserve"> deve enviar um Aviso de Resgate preenchido ao Administrador no endereço especificado no Aviso de Resgate. Um Aviso de Resgate pode ser enviado por fax ou e-mail.   </w:t>
      </w:r>
    </w:p>
    <w:p w14:paraId="310103B5" w14:textId="69F87DE5" w:rsidR="002B13C1" w:rsidRPr="00716631" w:rsidRDefault="00816A35" w:rsidP="004175D3">
      <w:pPr>
        <w:spacing w:after="241" w:line="239" w:lineRule="auto"/>
        <w:ind w:left="-5"/>
      </w:pPr>
      <w:r w:rsidRPr="00716631">
        <w:rPr>
          <w:lang w:val="pt"/>
        </w:rPr>
        <w:t xml:space="preserve">Nenhum dos Diretores, </w:t>
      </w:r>
      <w:r w:rsidR="00B36CC2" w:rsidRPr="00716631">
        <w:rPr>
          <w:lang w:val="pt"/>
        </w:rPr>
        <w:t>a</w:t>
      </w:r>
      <w:r w:rsidRPr="00716631">
        <w:rPr>
          <w:lang w:val="pt"/>
        </w:rPr>
        <w:t xml:space="preserve"> Empresa ou </w:t>
      </w:r>
      <w:r w:rsidR="00B36CC2" w:rsidRPr="00716631">
        <w:rPr>
          <w:lang w:val="pt"/>
        </w:rPr>
        <w:t>o</w:t>
      </w:r>
      <w:r w:rsidRPr="00716631">
        <w:rPr>
          <w:lang w:val="pt"/>
        </w:rPr>
        <w:t xml:space="preserve"> Administrador aceita qualquer responsabilidade por qualquer perda decorrente do não recebimento ou ilegibilidade de qualquer Aviso de Resgate enviado por fax ou e-mail, ou por qualquer perda causada por ou como resultado de qualquer ação </w:t>
      </w:r>
      <w:r w:rsidR="00B36CC2" w:rsidRPr="00716631">
        <w:rPr>
          <w:lang w:val="pt"/>
        </w:rPr>
        <w:t>enviada por</w:t>
      </w:r>
      <w:r w:rsidRPr="00716631">
        <w:rPr>
          <w:lang w:val="pt"/>
        </w:rPr>
        <w:t xml:space="preserve"> </w:t>
      </w:r>
      <w:r w:rsidR="00902626" w:rsidRPr="00716631">
        <w:rPr>
          <w:lang w:val="pt"/>
        </w:rPr>
        <w:t>fax</w:t>
      </w:r>
      <w:r w:rsidRPr="00716631">
        <w:rPr>
          <w:lang w:val="pt"/>
        </w:rPr>
        <w:t xml:space="preserve"> ou instruções por e-mail que se acredite, de </w:t>
      </w:r>
      <w:r w:rsidR="00B468A8" w:rsidRPr="00716631">
        <w:rPr>
          <w:lang w:val="pt"/>
        </w:rPr>
        <w:t>boa-fé</w:t>
      </w:r>
      <w:r w:rsidRPr="00716631">
        <w:rPr>
          <w:lang w:val="pt"/>
        </w:rPr>
        <w:t xml:space="preserve">, ter </w:t>
      </w:r>
      <w:r w:rsidR="00B36CC2" w:rsidRPr="00716631">
        <w:rPr>
          <w:lang w:val="pt"/>
        </w:rPr>
        <w:t>sido</w:t>
      </w:r>
      <w:r w:rsidRPr="00716631">
        <w:rPr>
          <w:lang w:val="pt"/>
        </w:rPr>
        <w:t xml:space="preserve"> originado de pessoas devidamente autorizadas. </w:t>
      </w:r>
    </w:p>
    <w:p w14:paraId="0EF80090" w14:textId="2E458260" w:rsidR="002B13C1" w:rsidRPr="00716631" w:rsidRDefault="00816A35">
      <w:pPr>
        <w:ind w:left="-5" w:right="54"/>
      </w:pPr>
      <w:r w:rsidRPr="00716631">
        <w:rPr>
          <w:lang w:val="pt"/>
        </w:rPr>
        <w:t>O Aviso de Resgate preenchido deve ser recebido até as 21</w:t>
      </w:r>
      <w:r w:rsidR="00B36CC2" w:rsidRPr="00716631">
        <w:rPr>
          <w:lang w:val="pt"/>
        </w:rPr>
        <w:t>h</w:t>
      </w:r>
      <w:r w:rsidRPr="00716631">
        <w:rPr>
          <w:lang w:val="pt"/>
        </w:rPr>
        <w:t xml:space="preserve"> (horário irlandês) no Dia de Resgate relevante.  A menos que os Diretores concordem de outra forma, qualquer Aviso de Resgate recebido após esse período será retido e tratado no próximo Dia de Resgate relevante. </w:t>
      </w:r>
    </w:p>
    <w:p w14:paraId="5B3A4491" w14:textId="4FD2DD93" w:rsidR="002B13C1" w:rsidRPr="00716631" w:rsidRDefault="00816A35">
      <w:pPr>
        <w:ind w:left="-5" w:right="54"/>
      </w:pPr>
      <w:r w:rsidRPr="00716631">
        <w:rPr>
          <w:lang w:val="pt"/>
        </w:rPr>
        <w:t xml:space="preserve">As </w:t>
      </w:r>
      <w:r w:rsidR="00663095" w:rsidRPr="00716631">
        <w:rPr>
          <w:lang w:val="pt"/>
        </w:rPr>
        <w:t>Quotas</w:t>
      </w:r>
      <w:r w:rsidRPr="00716631">
        <w:rPr>
          <w:lang w:val="pt"/>
        </w:rPr>
        <w:t xml:space="preserve"> do Subfundo relevante serão resgatadas em uma base</w:t>
      </w:r>
      <w:r w:rsidR="00B36CC2" w:rsidRPr="00716631">
        <w:rPr>
          <w:lang w:val="pt"/>
        </w:rPr>
        <w:t xml:space="preserve"> de "primeira emissão, primeiro resgate</w:t>
      </w:r>
      <w:r w:rsidRPr="00716631">
        <w:rPr>
          <w:lang w:val="pt"/>
        </w:rPr>
        <w:t xml:space="preserve">". </w:t>
      </w:r>
    </w:p>
    <w:p w14:paraId="6565479D" w14:textId="54279825" w:rsidR="002B13C1" w:rsidRDefault="00816A35">
      <w:pPr>
        <w:ind w:left="-5" w:right="54"/>
      </w:pPr>
      <w:r w:rsidRPr="0363F18F">
        <w:t xml:space="preserve">Uma vez que um Aviso de Resgate tenha sido recebido pelo Administrador, ele não poderá ser revogado pelo Acionista, a menos que os resgates tenham sido suspensos nas circunstâncias estabelecidas na seção do </w:t>
      </w:r>
      <w:proofErr w:type="spellStart"/>
      <w:r w:rsidR="00AA75E6" w:rsidRPr="0363F18F">
        <w:rPr>
          <w:i/>
          <w:iCs/>
        </w:rPr>
        <w:t>p</w:t>
      </w:r>
      <w:r w:rsidR="002C0F33" w:rsidRPr="0363F18F">
        <w:rPr>
          <w:i/>
          <w:iCs/>
        </w:rPr>
        <w:t>rospectus</w:t>
      </w:r>
      <w:proofErr w:type="spellEnd"/>
      <w:r w:rsidRPr="0363F18F">
        <w:t xml:space="preserve"> intitulada "Patrim</w:t>
      </w:r>
      <w:r w:rsidR="00FD393F" w:rsidRPr="0363F18F">
        <w:t>ônio</w:t>
      </w:r>
      <w:r w:rsidRPr="0363F18F">
        <w:t xml:space="preserve"> Líquido - Suspensões", ou os Diretores concordem de outra forma. </w:t>
      </w:r>
    </w:p>
    <w:p w14:paraId="0F779A31" w14:textId="77777777" w:rsidR="00A22AA1" w:rsidRPr="00716631" w:rsidRDefault="00A22AA1">
      <w:pPr>
        <w:ind w:left="-5" w:right="54"/>
      </w:pPr>
    </w:p>
    <w:p w14:paraId="7979432C" w14:textId="77777777" w:rsidR="002B13C1" w:rsidRPr="00716631" w:rsidRDefault="00816A35">
      <w:pPr>
        <w:pStyle w:val="Ttulo3"/>
        <w:ind w:left="-5"/>
      </w:pPr>
      <w:r w:rsidRPr="00716631">
        <w:rPr>
          <w:lang w:val="pt"/>
        </w:rPr>
        <w:t xml:space="preserve">PREÇO DE RESGATE E RECEITAS DE RESGATE </w:t>
      </w:r>
    </w:p>
    <w:p w14:paraId="3C12F9D4" w14:textId="6348223F" w:rsidR="002B13C1" w:rsidRPr="00716631" w:rsidRDefault="00816A35">
      <w:pPr>
        <w:ind w:left="-5" w:right="54"/>
      </w:pPr>
      <w:r w:rsidRPr="0363F18F">
        <w:t xml:space="preserve">O Preço de Resgate de uma </w:t>
      </w:r>
      <w:r w:rsidR="00AB77A8" w:rsidRPr="0363F18F">
        <w:t>Quota</w:t>
      </w:r>
      <w:r w:rsidRPr="0363F18F">
        <w:t xml:space="preserve"> será igual ao </w:t>
      </w:r>
      <w:r w:rsidR="00056082" w:rsidRPr="0363F18F">
        <w:t>Patrimônio Líquido</w:t>
      </w:r>
      <w:r w:rsidRPr="0363F18F">
        <w:t xml:space="preserve"> </w:t>
      </w:r>
      <w:r w:rsidR="002B0A3F" w:rsidRPr="0363F18F">
        <w:t>dividido por</w:t>
      </w:r>
      <w:r w:rsidRPr="0363F18F">
        <w:t xml:space="preserve"> </w:t>
      </w:r>
      <w:r w:rsidR="00056082" w:rsidRPr="0363F18F">
        <w:t xml:space="preserve">quotas </w:t>
      </w:r>
      <w:r w:rsidRPr="0363F18F">
        <w:t xml:space="preserve">do Subfundo no Dia da </w:t>
      </w:r>
      <w:proofErr w:type="spellStart"/>
      <w:r w:rsidR="002B0A3F" w:rsidRPr="0363F18F">
        <w:t>Valuation</w:t>
      </w:r>
      <w:proofErr w:type="spellEnd"/>
      <w:r w:rsidRPr="0363F18F">
        <w:t xml:space="preserve"> do Dia de Resgate.   </w:t>
      </w:r>
    </w:p>
    <w:p w14:paraId="3F0703D2" w14:textId="1705BDF1" w:rsidR="002B13C1" w:rsidRPr="00716631" w:rsidRDefault="00816A35">
      <w:pPr>
        <w:ind w:left="-5" w:right="54"/>
      </w:pPr>
      <w:r w:rsidRPr="00716631">
        <w:rPr>
          <w:lang w:val="pt"/>
        </w:rPr>
        <w:t xml:space="preserve">O pagamento </w:t>
      </w:r>
      <w:r w:rsidR="0022618C" w:rsidRPr="00716631">
        <w:rPr>
          <w:lang w:val="pt"/>
        </w:rPr>
        <w:t>dos resgates</w:t>
      </w:r>
      <w:r w:rsidRPr="00716631">
        <w:rPr>
          <w:lang w:val="pt"/>
        </w:rPr>
        <w:t xml:space="preserve"> será normalmente efetuado no prazo de </w:t>
      </w:r>
      <w:r w:rsidR="00B64E97">
        <w:rPr>
          <w:lang w:val="pt"/>
        </w:rPr>
        <w:t>9</w:t>
      </w:r>
      <w:r w:rsidRPr="00716631">
        <w:rPr>
          <w:lang w:val="pt"/>
        </w:rPr>
        <w:t xml:space="preserve"> dia</w:t>
      </w:r>
      <w:r w:rsidR="00B64E97">
        <w:rPr>
          <w:lang w:val="pt"/>
        </w:rPr>
        <w:t>s</w:t>
      </w:r>
      <w:r w:rsidRPr="00716631">
        <w:rPr>
          <w:lang w:val="pt"/>
        </w:rPr>
        <w:t xml:space="preserve"> út</w:t>
      </w:r>
      <w:r w:rsidR="00B64E97">
        <w:rPr>
          <w:lang w:val="pt"/>
        </w:rPr>
        <w:t>eis</w:t>
      </w:r>
      <w:r w:rsidRPr="00716631">
        <w:rPr>
          <w:lang w:val="pt"/>
        </w:rPr>
        <w:t xml:space="preserve"> a contar do Dia de Resgate relevante. </w:t>
      </w:r>
    </w:p>
    <w:p w14:paraId="0B2A65E9" w14:textId="7ACD9880" w:rsidR="002B13C1" w:rsidRPr="00716631" w:rsidRDefault="00816A35">
      <w:pPr>
        <w:ind w:left="-5" w:right="54"/>
        <w:rPr>
          <w:lang w:val="pt"/>
        </w:rPr>
      </w:pPr>
      <w:r w:rsidRPr="00716631">
        <w:rPr>
          <w:lang w:val="pt"/>
        </w:rPr>
        <w:t xml:space="preserve">O pagamento será feito na Moeda de Negociação das </w:t>
      </w:r>
      <w:r w:rsidR="00663095" w:rsidRPr="00716631">
        <w:rPr>
          <w:lang w:val="pt"/>
        </w:rPr>
        <w:t>Quotas</w:t>
      </w:r>
      <w:r w:rsidR="00522782" w:rsidRPr="00716631">
        <w:rPr>
          <w:lang w:val="pt"/>
        </w:rPr>
        <w:t>;</w:t>
      </w:r>
      <w:r w:rsidRPr="00716631">
        <w:rPr>
          <w:lang w:val="pt"/>
        </w:rPr>
        <w:t xml:space="preserve"> sendo resgatadas por transferência direta para u</w:t>
      </w:r>
      <w:r w:rsidR="00AA75E6" w:rsidRPr="00716631">
        <w:rPr>
          <w:lang w:val="pt"/>
        </w:rPr>
        <w:t xml:space="preserve">ma conta em nome do </w:t>
      </w:r>
      <w:r w:rsidR="00F30DFC" w:rsidRPr="00716631">
        <w:rPr>
          <w:lang w:val="pt"/>
        </w:rPr>
        <w:t>quotista</w:t>
      </w:r>
      <w:r w:rsidR="00AA75E6" w:rsidRPr="00716631">
        <w:rPr>
          <w:lang w:val="pt"/>
        </w:rPr>
        <w:t xml:space="preserve">. </w:t>
      </w:r>
      <w:r w:rsidRPr="00716631">
        <w:rPr>
          <w:lang w:val="pt"/>
        </w:rPr>
        <w:t>Quaisquer custos incorridos na realização da transferência serão</w:t>
      </w:r>
      <w:r w:rsidR="00522782" w:rsidRPr="00716631">
        <w:rPr>
          <w:lang w:val="pt"/>
        </w:rPr>
        <w:t xml:space="preserve"> suportados pelo </w:t>
      </w:r>
      <w:r w:rsidR="00F30DFC" w:rsidRPr="00716631">
        <w:rPr>
          <w:lang w:val="pt"/>
        </w:rPr>
        <w:t>quotista</w:t>
      </w:r>
      <w:r w:rsidR="00522782" w:rsidRPr="00716631">
        <w:rPr>
          <w:lang w:val="pt"/>
        </w:rPr>
        <w:t xml:space="preserve">. </w:t>
      </w:r>
      <w:r w:rsidRPr="00716631">
        <w:rPr>
          <w:lang w:val="pt"/>
        </w:rPr>
        <w:t xml:space="preserve">Nenhum resgate será pago a terceiros. Nenhum juro será pago ao </w:t>
      </w:r>
      <w:r w:rsidR="00F30DFC" w:rsidRPr="00716631">
        <w:rPr>
          <w:lang w:val="pt"/>
        </w:rPr>
        <w:t>quotista</w:t>
      </w:r>
      <w:r w:rsidRPr="00716631">
        <w:rPr>
          <w:lang w:val="pt"/>
        </w:rPr>
        <w:t xml:space="preserve"> em relação ao produto do resgate. Um </w:t>
      </w:r>
      <w:r w:rsidR="00F30DFC" w:rsidRPr="00716631">
        <w:rPr>
          <w:lang w:val="pt"/>
        </w:rPr>
        <w:t>quotista</w:t>
      </w:r>
      <w:r w:rsidRPr="00716631">
        <w:rPr>
          <w:lang w:val="pt"/>
        </w:rPr>
        <w:t xml:space="preserve"> pode solicitar que o pagamento dos recursos de resgate seja feito em uma moeda diferente da Moeda de Negociação relevante.  Se os Diretores permitirem o pagamento em uma moeda diferente da Moeda de Negociação relevante, o custo da conversão será deduzido do produto do resgate. </w:t>
      </w:r>
    </w:p>
    <w:p w14:paraId="6EC5C3DD" w14:textId="77777777" w:rsidR="00AA75E6" w:rsidRPr="00716631" w:rsidRDefault="00AA75E6">
      <w:pPr>
        <w:ind w:left="-5" w:right="54"/>
      </w:pPr>
    </w:p>
    <w:p w14:paraId="74944E38" w14:textId="77777777" w:rsidR="002B13C1" w:rsidRPr="00716631" w:rsidRDefault="00816A35">
      <w:pPr>
        <w:pStyle w:val="Ttulo2"/>
        <w:spacing w:after="407"/>
        <w:ind w:right="58"/>
      </w:pPr>
      <w:r w:rsidRPr="00716631">
        <w:rPr>
          <w:lang w:val="pt"/>
        </w:rPr>
        <w:lastRenderedPageBreak/>
        <w:t xml:space="preserve">FATORES DE RISCO </w:t>
      </w:r>
    </w:p>
    <w:p w14:paraId="7889AB7B" w14:textId="5B04E66A" w:rsidR="002B13C1" w:rsidRPr="00716631" w:rsidRDefault="00816A35">
      <w:pPr>
        <w:ind w:left="-5" w:right="54"/>
      </w:pPr>
      <w:r w:rsidRPr="0363F18F">
        <w:t xml:space="preserve">Um investimento no Subfundo implica riscos. A natureza dos investimentos do Subfundo envolve certos riscos, incluindo, mas não se limitando a, os listados abaixo, e o </w:t>
      </w:r>
      <w:r w:rsidR="003E68FD" w:rsidRPr="0363F18F">
        <w:t>Gestor</w:t>
      </w:r>
      <w:r w:rsidRPr="0363F18F">
        <w:t xml:space="preserve"> pode utilizar técnicas de investimento qu</w:t>
      </w:r>
      <w:r w:rsidR="00AA75E6" w:rsidRPr="0363F18F">
        <w:t xml:space="preserve">e acarretam riscos adicionais. </w:t>
      </w:r>
      <w:r w:rsidRPr="0363F18F">
        <w:t xml:space="preserve">Os potenciais investidores devem cuidadosamente </w:t>
      </w:r>
      <w:r w:rsidR="00800EDD" w:rsidRPr="0363F18F">
        <w:t>considerar</w:t>
      </w:r>
      <w:r w:rsidRPr="0363F18F">
        <w:t xml:space="preserve"> os seguintes fatores de risco e os fatores de risco estabelecidos no </w:t>
      </w:r>
      <w:proofErr w:type="spellStart"/>
      <w:r w:rsidR="00800EDD" w:rsidRPr="0363F18F">
        <w:rPr>
          <w:i/>
          <w:iCs/>
        </w:rPr>
        <w:t>prospectus</w:t>
      </w:r>
      <w:proofErr w:type="spellEnd"/>
      <w:r w:rsidRPr="0363F18F">
        <w:t xml:space="preserve">, entre outros, para determinar se um investimento no Subfundo é adequado para eles. </w:t>
      </w:r>
    </w:p>
    <w:p w14:paraId="548498AD" w14:textId="77777777" w:rsidR="002B13C1" w:rsidRPr="00716631" w:rsidRDefault="00816A35">
      <w:pPr>
        <w:pStyle w:val="Ttulo3"/>
        <w:ind w:left="-5"/>
      </w:pPr>
      <w:r w:rsidRPr="00716631">
        <w:rPr>
          <w:lang w:val="pt"/>
        </w:rPr>
        <w:t xml:space="preserve">RISCOS ESPECÍFICOS DA CARTEIRA  </w:t>
      </w:r>
    </w:p>
    <w:p w14:paraId="7DE1FC96" w14:textId="20203084" w:rsidR="002B13C1" w:rsidRPr="00716631" w:rsidRDefault="00816A35">
      <w:pPr>
        <w:ind w:left="-5" w:right="54"/>
      </w:pPr>
      <w:r w:rsidRPr="0363F18F">
        <w:rPr>
          <w:b/>
          <w:bCs/>
        </w:rPr>
        <w:t>Disponibilidade de estratégias de investimento</w:t>
      </w:r>
      <w:r w:rsidR="00AA75E6" w:rsidRPr="0363F18F">
        <w:t xml:space="preserve">. </w:t>
      </w:r>
      <w:r w:rsidRPr="0363F18F">
        <w:t xml:space="preserve">O sucesso das estratégias de investimento do Subfundo dependerá da capacidade da Companhia de identificar oportunidades de investimento sobrevalorizadas e subvalorizadas e de explorar discrepâncias de preços nos mercados financeiros, bem como avaliar a </w:t>
      </w:r>
      <w:r w:rsidR="001B512E" w:rsidRPr="0363F18F">
        <w:t>importância</w:t>
      </w:r>
      <w:r w:rsidRPr="0363F18F">
        <w:t xml:space="preserve"> de notícias e eventos que possam afetar os mercados financeiros.  A identificação e a exploração das oportunidades de investimento a prosseguir implicam um elevado grau de incerteza. Nenhuma garantia pode ser dada de que a Empresa será capaz de localizar oportunidades de investimento adequadas para implantar todos os ativos do Subfundo ou explorar discrepâncias nos mercados de val</w:t>
      </w:r>
      <w:r w:rsidR="00AA75E6" w:rsidRPr="0363F18F">
        <w:t xml:space="preserve">ores mobiliários e derivativos. </w:t>
      </w:r>
      <w:r w:rsidRPr="0363F18F">
        <w:t xml:space="preserve">Os fatores de mercado, incluindo uma redução da liquidez do mercado ou a ineficiência dos preços dos mercados em que os ativos do </w:t>
      </w:r>
      <w:proofErr w:type="spellStart"/>
      <w:r w:rsidRPr="0363F18F">
        <w:t>SubFundo</w:t>
      </w:r>
      <w:proofErr w:type="spellEnd"/>
      <w:r w:rsidRPr="0363F18F">
        <w:t xml:space="preserve"> são investidos, podem reduzir a margem de manobra para as oportunidades de investimento para o Subfundo. </w:t>
      </w:r>
    </w:p>
    <w:p w14:paraId="54C09E37" w14:textId="676E6AD5" w:rsidR="002B13C1" w:rsidRPr="00716631" w:rsidRDefault="00816A35">
      <w:pPr>
        <w:ind w:left="-5" w:right="54"/>
      </w:pPr>
      <w:r w:rsidRPr="00716631">
        <w:rPr>
          <w:b/>
          <w:lang w:val="pt"/>
        </w:rPr>
        <w:t>Obrigações de dívida corporativa</w:t>
      </w:r>
      <w:r w:rsidRPr="00716631">
        <w:rPr>
          <w:lang w:val="pt"/>
        </w:rPr>
        <w:t>.  O investimento em obrigações de dívida emitidas por sociedades e outras entidades está sujeito ao risco de um determinado emitente não cumprir o seu pagamento ou outras obrigações relativas a essas obrigações de dívida. Além disso, um emissor pode sofrer uma mudança adversa em sua condição financeira devido, por exemplo, a condições econômicas, aumento da concorrência ou eventos corporativos. Qualquer alteração adversa pode, por sua v</w:t>
      </w:r>
      <w:r w:rsidR="00877D42" w:rsidRPr="00716631">
        <w:rPr>
          <w:lang w:val="pt"/>
        </w:rPr>
        <w:t xml:space="preserve">ez, resultar numa diminuição do </w:t>
      </w:r>
      <w:r w:rsidR="00877D42" w:rsidRPr="00716631">
        <w:rPr>
          <w:i/>
          <w:lang w:val="pt"/>
        </w:rPr>
        <w:t>rating</w:t>
      </w:r>
      <w:r w:rsidR="00877D42" w:rsidRPr="00716631">
        <w:rPr>
          <w:lang w:val="pt"/>
        </w:rPr>
        <w:t xml:space="preserve"> de risco atribuído</w:t>
      </w:r>
      <w:r w:rsidRPr="00716631">
        <w:rPr>
          <w:lang w:val="pt"/>
        </w:rPr>
        <w:t xml:space="preserve"> a esse emitente e das suas obrigações de dívida, </w:t>
      </w:r>
      <w:r w:rsidR="00877D42" w:rsidRPr="00716631">
        <w:rPr>
          <w:lang w:val="pt"/>
        </w:rPr>
        <w:t>possivelmente</w:t>
      </w:r>
      <w:r w:rsidRPr="00716631">
        <w:rPr>
          <w:lang w:val="pt"/>
        </w:rPr>
        <w:t xml:space="preserve"> abaixo do grau de investimento. Tal alteração adversa da situação financeira ou diminuição d</w:t>
      </w:r>
      <w:r w:rsidR="00877D42" w:rsidRPr="00716631">
        <w:rPr>
          <w:lang w:val="pt"/>
        </w:rPr>
        <w:t>o</w:t>
      </w:r>
      <w:r w:rsidR="00C63104" w:rsidRPr="00716631">
        <w:rPr>
          <w:lang w:val="pt"/>
        </w:rPr>
        <w:t xml:space="preserve"> </w:t>
      </w:r>
      <w:r w:rsidR="00877D42" w:rsidRPr="00716631">
        <w:rPr>
          <w:lang w:val="pt"/>
        </w:rPr>
        <w:t>(s) rating</w:t>
      </w:r>
      <w:r w:rsidR="00FD15CE" w:rsidRPr="00716631">
        <w:rPr>
          <w:lang w:val="pt"/>
        </w:rPr>
        <w:t xml:space="preserve"> </w:t>
      </w:r>
      <w:r w:rsidR="00877D42" w:rsidRPr="00716631">
        <w:rPr>
          <w:lang w:val="pt"/>
        </w:rPr>
        <w:t xml:space="preserve">(s) de crédito </w:t>
      </w:r>
      <w:r w:rsidRPr="00716631">
        <w:rPr>
          <w:lang w:val="pt"/>
        </w:rPr>
        <w:t xml:space="preserve">pode resultar num aumento da volatilidade do preço das obrigações de dívida de um emitente e afetar negativamente </w:t>
      </w:r>
      <w:r w:rsidR="00161A2E" w:rsidRPr="00716631">
        <w:rPr>
          <w:lang w:val="pt"/>
        </w:rPr>
        <w:t>su</w:t>
      </w:r>
      <w:r w:rsidRPr="00716631">
        <w:rPr>
          <w:lang w:val="pt"/>
        </w:rPr>
        <w:t xml:space="preserve">a liquidez, tornando qualquer obrigação de dívida mais difícil de vender. </w:t>
      </w:r>
    </w:p>
    <w:p w14:paraId="7C827DD1" w14:textId="3D567D79" w:rsidR="002B13C1" w:rsidRPr="00716631" w:rsidRDefault="00816A35">
      <w:pPr>
        <w:ind w:left="-5" w:right="54"/>
      </w:pPr>
      <w:r w:rsidRPr="0363F18F">
        <w:rPr>
          <w:b/>
          <w:bCs/>
        </w:rPr>
        <w:t>Risco de contraparte</w:t>
      </w:r>
      <w:r w:rsidR="00161A2E" w:rsidRPr="0363F18F">
        <w:t xml:space="preserve">. </w:t>
      </w:r>
      <w:r w:rsidRPr="0363F18F">
        <w:t>O Subfundo está sujeito ao risco de incapacidade de qualquer contraparte (incluindo quaisqu</w:t>
      </w:r>
      <w:r w:rsidR="00FD15CE" w:rsidRPr="0363F18F">
        <w:t xml:space="preserve">er corretores e custodiantes </w:t>
      </w:r>
      <w:r w:rsidR="00FD15CE" w:rsidRPr="0363F18F">
        <w:rPr>
          <w:i/>
          <w:iCs/>
        </w:rPr>
        <w:t>prime</w:t>
      </w:r>
      <w:r w:rsidRPr="0363F18F">
        <w:t xml:space="preserve">) de realizar transações relacionadas a transações, seja devido a insolvência, falência ou outras circunstâncias. O </w:t>
      </w:r>
      <w:proofErr w:type="spellStart"/>
      <w:r w:rsidRPr="0363F18F">
        <w:t>SubFundo</w:t>
      </w:r>
      <w:proofErr w:type="spellEnd"/>
      <w:r w:rsidRPr="0363F18F">
        <w:t xml:space="preserve"> está sujeito ao risco de as contrapartes não terem acesso a financiamento e/ou ativos no momento relevante e de não </w:t>
      </w:r>
      <w:r w:rsidR="00BD7928" w:rsidRPr="0363F18F">
        <w:t xml:space="preserve">cumprirem as suas obrigações à luz </w:t>
      </w:r>
      <w:r w:rsidRPr="0363F18F">
        <w:t>dos acordos de compra e recompra. No caso de qualquer contraparte entrar em um processo de insolvência, a Empresa pode sofrer atrasos na liquidação de posições e</w:t>
      </w:r>
      <w:r w:rsidR="00DA784C" w:rsidRPr="0363F18F">
        <w:t xml:space="preserve"> perdas significativas podem ocorrer</w:t>
      </w:r>
      <w:r w:rsidRPr="0363F18F">
        <w:t>, incluindo a perda dessa parte dos ativos do Subfundo financiado, um declínio no valor do investimento relevante durante o período em que a Empres</w:t>
      </w:r>
      <w:r w:rsidR="00FD15CE" w:rsidRPr="0363F18F">
        <w:t xml:space="preserve">a procura executar o contrato, </w:t>
      </w:r>
      <w:r w:rsidRPr="0363F18F">
        <w:t xml:space="preserve">uma incapacidade de realizar quaisquer ganhos sobre o seu investimento durante esse período e taxas e despesas incorridas na execução do contrato.  Durante um processo de insolvência (que pode durar muitos anos), o uso de ativos detidos por ou em nome da contraparte relevante pode ser restrito e, </w:t>
      </w:r>
      <w:r w:rsidR="00FD15CE" w:rsidRPr="0363F18F">
        <w:t>portanto</w:t>
      </w:r>
      <w:r w:rsidRPr="0363F18F">
        <w:t xml:space="preserve">, (a) a capacidade da Companhia de cumprir o objetivo de investimento pode ser severamente restringida, (b) os Diretores podem ser obrigados a suspender o cálculo do Valor Patrimonial Líquido e, como resultado, </w:t>
      </w:r>
      <w:r w:rsidR="0074197A" w:rsidRPr="0363F18F">
        <w:t>aplicações</w:t>
      </w:r>
      <w:r w:rsidRPr="0363F18F">
        <w:t xml:space="preserve"> e resgates de </w:t>
      </w:r>
      <w:r w:rsidR="00663095" w:rsidRPr="0363F18F">
        <w:t>Quotas</w:t>
      </w:r>
      <w:r w:rsidRPr="0363F18F">
        <w:t xml:space="preserve">.  Durante esse procedimento, é provável que o Subfundo seja um credor não garantido em relação a determinados ativos (incluindo aqueles em relação aos quais tinha sido anteriormente um credor garantido) e, por </w:t>
      </w:r>
      <w:r w:rsidRPr="0363F18F">
        <w:lastRenderedPageBreak/>
        <w:t xml:space="preserve">conseguinte, pode não ser possível recuperar esses ativos da massa insolvente da contraparte </w:t>
      </w:r>
      <w:r w:rsidR="00161A2E" w:rsidRPr="0363F18F">
        <w:t>na íntegra.</w:t>
      </w:r>
    </w:p>
    <w:p w14:paraId="68DB60E8" w14:textId="4481D456" w:rsidR="002B13C1" w:rsidRPr="00716631" w:rsidRDefault="00816A35">
      <w:pPr>
        <w:ind w:left="-5" w:right="54"/>
      </w:pPr>
      <w:r w:rsidRPr="00716631">
        <w:rPr>
          <w:b/>
          <w:lang w:val="pt"/>
        </w:rPr>
        <w:t>Risco de crédito</w:t>
      </w:r>
      <w:r w:rsidR="00161A2E" w:rsidRPr="00716631">
        <w:rPr>
          <w:lang w:val="pt"/>
        </w:rPr>
        <w:t xml:space="preserve">. </w:t>
      </w:r>
      <w:r w:rsidRPr="00716631">
        <w:rPr>
          <w:lang w:val="pt"/>
        </w:rPr>
        <w:t xml:space="preserve">O investimento em títulos de dívida está sujeito ao risco de crédito dos emitentes, que podem não ser capazes ou não </w:t>
      </w:r>
      <w:r w:rsidR="00AD6BCC" w:rsidRPr="00716631">
        <w:rPr>
          <w:lang w:val="pt"/>
        </w:rPr>
        <w:t>desejarem</w:t>
      </w:r>
      <w:r w:rsidRPr="00716631">
        <w:rPr>
          <w:lang w:val="pt"/>
        </w:rPr>
        <w:t xml:space="preserve"> efetuar pag</w:t>
      </w:r>
      <w:r w:rsidR="00AD6BCC" w:rsidRPr="00716631">
        <w:rPr>
          <w:lang w:val="pt"/>
        </w:rPr>
        <w:t xml:space="preserve">amentos periódicos </w:t>
      </w:r>
      <w:r w:rsidRPr="00716631">
        <w:rPr>
          <w:lang w:val="pt"/>
        </w:rPr>
        <w:t>de capital e/ou juros.  Em geral, os</w:t>
      </w:r>
      <w:r w:rsidR="00AD6BCC" w:rsidRPr="00716631">
        <w:rPr>
          <w:lang w:val="pt"/>
        </w:rPr>
        <w:t xml:space="preserve"> instrumentos de dívida com um </w:t>
      </w:r>
      <w:r w:rsidR="00AD6BCC" w:rsidRPr="00716631">
        <w:rPr>
          <w:i/>
          <w:lang w:val="pt"/>
        </w:rPr>
        <w:t>rating</w:t>
      </w:r>
      <w:r w:rsidR="00AD6BCC" w:rsidRPr="00716631">
        <w:rPr>
          <w:lang w:val="pt"/>
        </w:rPr>
        <w:t xml:space="preserve"> de crédito mais baixo</w:t>
      </w:r>
      <w:r w:rsidRPr="00716631">
        <w:rPr>
          <w:lang w:val="pt"/>
        </w:rPr>
        <w:t xml:space="preserve">, ou que não são avaliados, estão sujeitos a um grau mais elevado de risco de crédito.  A </w:t>
      </w:r>
      <w:r w:rsidR="00AD6BCC" w:rsidRPr="00716631">
        <w:rPr>
          <w:lang w:val="pt"/>
        </w:rPr>
        <w:t>avaliação</w:t>
      </w:r>
      <w:r w:rsidRPr="00716631">
        <w:rPr>
          <w:lang w:val="pt"/>
        </w:rPr>
        <w:t xml:space="preserve"> de risco de um título representa as opiniões de uma agência de </w:t>
      </w:r>
      <w:r w:rsidR="00AD6BCC" w:rsidRPr="00716631">
        <w:rPr>
          <w:lang w:val="pt"/>
        </w:rPr>
        <w:t>avaliação</w:t>
      </w:r>
      <w:r w:rsidRPr="00716631">
        <w:rPr>
          <w:lang w:val="pt"/>
        </w:rPr>
        <w:t xml:space="preserve"> sobre a qualidade de crédito do emitente e não constitui uma garantia do desempenho futuro do crédito desse emitente. As agência</w:t>
      </w:r>
      <w:r w:rsidR="00AD6BCC" w:rsidRPr="00716631">
        <w:rPr>
          <w:lang w:val="pt"/>
        </w:rPr>
        <w:t xml:space="preserve">s de </w:t>
      </w:r>
      <w:r w:rsidR="00AD6BCC" w:rsidRPr="00716631">
        <w:rPr>
          <w:i/>
          <w:lang w:val="pt"/>
        </w:rPr>
        <w:t>rating</w:t>
      </w:r>
      <w:r w:rsidR="00AD6BCC" w:rsidRPr="00716631">
        <w:rPr>
          <w:lang w:val="pt"/>
        </w:rPr>
        <w:t xml:space="preserve"> t</w:t>
      </w:r>
      <w:r w:rsidRPr="00716631">
        <w:rPr>
          <w:lang w:val="pt"/>
        </w:rPr>
        <w:t xml:space="preserve">entam avaliar a solvabilidade de um emitente determinando </w:t>
      </w:r>
      <w:r w:rsidR="00AF46F3" w:rsidRPr="00716631">
        <w:rPr>
          <w:lang w:val="pt"/>
        </w:rPr>
        <w:t>e</w:t>
      </w:r>
      <w:r w:rsidRPr="00716631">
        <w:rPr>
          <w:lang w:val="pt"/>
        </w:rPr>
        <w:t xml:space="preserve"> sua capacidade de </w:t>
      </w:r>
      <w:r w:rsidR="009364B5" w:rsidRPr="00716631">
        <w:rPr>
          <w:lang w:val="pt"/>
        </w:rPr>
        <w:t>honrar</w:t>
      </w:r>
      <w:r w:rsidRPr="00716631">
        <w:rPr>
          <w:lang w:val="pt"/>
        </w:rPr>
        <w:t xml:space="preserve"> um empréstimo.  Não avaliam os riscos de flutuação do valor de mercado, mas as flutuações do valor de mercado de um título podem ser afetadas pelas </w:t>
      </w:r>
      <w:r w:rsidR="00257080" w:rsidRPr="00716631">
        <w:rPr>
          <w:lang w:val="pt"/>
        </w:rPr>
        <w:t>avaliações</w:t>
      </w:r>
      <w:r w:rsidR="00161A2E" w:rsidRPr="00716631">
        <w:rPr>
          <w:lang w:val="pt"/>
        </w:rPr>
        <w:t xml:space="preserve"> atribuídas ao emitente. </w:t>
      </w:r>
      <w:r w:rsidRPr="00716631">
        <w:rPr>
          <w:lang w:val="pt"/>
        </w:rPr>
        <w:t xml:space="preserve">Em especial, se a </w:t>
      </w:r>
      <w:r w:rsidR="00257080" w:rsidRPr="00716631">
        <w:rPr>
          <w:lang w:val="pt"/>
        </w:rPr>
        <w:t>avaliação</w:t>
      </w:r>
      <w:r w:rsidRPr="00716631">
        <w:rPr>
          <w:lang w:val="pt"/>
        </w:rPr>
        <w:t xml:space="preserve"> de risco de um emitente for desvalorizada, o valor de mercado dos valores mobiliár</w:t>
      </w:r>
      <w:r w:rsidR="00257080" w:rsidRPr="00716631">
        <w:rPr>
          <w:lang w:val="pt"/>
        </w:rPr>
        <w:t xml:space="preserve">ios desse emitente pode ser afetado negativamente. </w:t>
      </w:r>
      <w:r w:rsidRPr="00716631">
        <w:rPr>
          <w:lang w:val="pt"/>
        </w:rPr>
        <w:t>Em caso de inadimplência ou rebaixamento da classificação de crédito do emissor de qualquer instrumento de renda fixa detido pela Companhia, o Valor Patrimonial Líquido po</w:t>
      </w:r>
      <w:r w:rsidR="00161A2E" w:rsidRPr="00716631">
        <w:rPr>
          <w:lang w:val="pt"/>
        </w:rPr>
        <w:t xml:space="preserve">derá ser afetado adversamente. </w:t>
      </w:r>
      <w:r w:rsidRPr="00716631">
        <w:rPr>
          <w:lang w:val="pt"/>
        </w:rPr>
        <w:t xml:space="preserve">Os títulos de dívida são oferecidos numa base não garantida, sem garantias, e serão classificados em pé de igualdade com outras dívidas não garantidas do emitente. Consequentemente, se o emitente </w:t>
      </w:r>
      <w:r w:rsidR="00257080" w:rsidRPr="00716631">
        <w:rPr>
          <w:lang w:val="pt"/>
        </w:rPr>
        <w:t xml:space="preserve">decretar </w:t>
      </w:r>
      <w:r w:rsidR="00C177FE" w:rsidRPr="00716631">
        <w:rPr>
          <w:lang w:val="pt"/>
        </w:rPr>
        <w:t>falência, o resultado da</w:t>
      </w:r>
      <w:r w:rsidR="00257080" w:rsidRPr="00716631">
        <w:rPr>
          <w:lang w:val="pt"/>
        </w:rPr>
        <w:t xml:space="preserve"> liquidação dos a</w:t>
      </w:r>
      <w:r w:rsidRPr="00716631">
        <w:rPr>
          <w:lang w:val="pt"/>
        </w:rPr>
        <w:t xml:space="preserve">tivos do emitente só será pago aos titulares de títulos de dívida depois de todos os créditos garantidos terem sido </w:t>
      </w:r>
      <w:r w:rsidR="00AB641F" w:rsidRPr="00716631">
        <w:rPr>
          <w:lang w:val="pt"/>
        </w:rPr>
        <w:t xml:space="preserve">realizados na íntegra. </w:t>
      </w:r>
      <w:r w:rsidRPr="00716631">
        <w:rPr>
          <w:lang w:val="pt"/>
        </w:rPr>
        <w:t xml:space="preserve">Por conseguinte, o Subfundo está exposto ao risco de crédito dos emitentes dos títulos de dívida enquanto credor não garantido. </w:t>
      </w:r>
    </w:p>
    <w:p w14:paraId="43218071" w14:textId="44C4E243" w:rsidR="002B13C1" w:rsidRPr="00716631" w:rsidRDefault="00816A35">
      <w:pPr>
        <w:ind w:left="-5" w:right="54"/>
      </w:pPr>
      <w:r w:rsidRPr="00716631">
        <w:rPr>
          <w:b/>
          <w:lang w:val="pt"/>
        </w:rPr>
        <w:t>Exposição cambial</w:t>
      </w:r>
      <w:r w:rsidR="00161A2E" w:rsidRPr="00716631">
        <w:rPr>
          <w:lang w:val="pt"/>
        </w:rPr>
        <w:t xml:space="preserve">. </w:t>
      </w:r>
      <w:r w:rsidRPr="00716631">
        <w:rPr>
          <w:lang w:val="pt"/>
        </w:rPr>
        <w:t xml:space="preserve">Os ativos do Subfundo podem ser investidos em valores mobiliários e outros investimentos que sejam </w:t>
      </w:r>
      <w:r w:rsidR="00C177FE" w:rsidRPr="00716631">
        <w:rPr>
          <w:lang w:val="pt"/>
        </w:rPr>
        <w:t>realizados</w:t>
      </w:r>
      <w:r w:rsidRPr="00716631">
        <w:rPr>
          <w:lang w:val="pt"/>
        </w:rPr>
        <w:t xml:space="preserve"> em moedas </w:t>
      </w:r>
      <w:r w:rsidR="003533D5" w:rsidRPr="00716631">
        <w:rPr>
          <w:lang w:val="pt"/>
        </w:rPr>
        <w:t>além daquelas em</w:t>
      </w:r>
      <w:r w:rsidRPr="00716631">
        <w:rPr>
          <w:lang w:val="pt"/>
        </w:rPr>
        <w:t xml:space="preserve"> que as </w:t>
      </w:r>
      <w:r w:rsidR="00663095" w:rsidRPr="00716631">
        <w:rPr>
          <w:lang w:val="pt"/>
        </w:rPr>
        <w:t>Quotas</w:t>
      </w:r>
      <w:r w:rsidRPr="00716631">
        <w:rPr>
          <w:lang w:val="pt"/>
        </w:rPr>
        <w:t xml:space="preserve"> são denominadas</w:t>
      </w:r>
      <w:r w:rsidR="00161A2E" w:rsidRPr="00716631">
        <w:rPr>
          <w:lang w:val="pt"/>
        </w:rPr>
        <w:t xml:space="preserve">. </w:t>
      </w:r>
      <w:r w:rsidRPr="00716631">
        <w:rPr>
          <w:lang w:val="pt"/>
        </w:rPr>
        <w:t>Po</w:t>
      </w:r>
      <w:r w:rsidR="004A4B5E" w:rsidRPr="00716631">
        <w:rPr>
          <w:lang w:val="pt"/>
        </w:rPr>
        <w:t>r conseguinte, o valor desses a</w:t>
      </w:r>
      <w:r w:rsidRPr="00716631">
        <w:rPr>
          <w:lang w:val="pt"/>
        </w:rPr>
        <w:t>tivos pode ser afetado favor</w:t>
      </w:r>
      <w:r w:rsidR="00670B4D" w:rsidRPr="00716631">
        <w:rPr>
          <w:lang w:val="pt"/>
        </w:rPr>
        <w:t>ável</w:t>
      </w:r>
      <w:r w:rsidRPr="00716631">
        <w:rPr>
          <w:lang w:val="pt"/>
        </w:rPr>
        <w:t xml:space="preserve"> ou desfavoravelmente por flutuações das taxas de câmbio.  A Companhia não pretende cobrir a exposição em moeda estrangeira e, portanto, o Subfundo estará sujeito a riscos cambiais. Os </w:t>
      </w:r>
      <w:r w:rsidR="004A4B5E" w:rsidRPr="00716631">
        <w:rPr>
          <w:lang w:val="pt"/>
        </w:rPr>
        <w:t>potenciais investidores cujos a</w:t>
      </w:r>
      <w:r w:rsidR="00D26107" w:rsidRPr="00716631">
        <w:rPr>
          <w:lang w:val="pt"/>
        </w:rPr>
        <w:t xml:space="preserve">tivos e passivos estejam </w:t>
      </w:r>
      <w:r w:rsidRPr="00716631">
        <w:rPr>
          <w:lang w:val="pt"/>
        </w:rPr>
        <w:t>predominantemente em moedas difer</w:t>
      </w:r>
      <w:r w:rsidR="00D26107" w:rsidRPr="00716631">
        <w:rPr>
          <w:lang w:val="pt"/>
        </w:rPr>
        <w:t>entes da moeda em que as suas quotas</w:t>
      </w:r>
      <w:r w:rsidRPr="00716631">
        <w:rPr>
          <w:lang w:val="pt"/>
        </w:rPr>
        <w:t xml:space="preserve"> serão denominadas devem </w:t>
      </w:r>
      <w:r w:rsidR="00D26107" w:rsidRPr="00716631">
        <w:rPr>
          <w:lang w:val="pt"/>
        </w:rPr>
        <w:t>considerar</w:t>
      </w:r>
      <w:r w:rsidRPr="00716631">
        <w:rPr>
          <w:lang w:val="pt"/>
        </w:rPr>
        <w:t xml:space="preserve"> o risco potencial de perda decorrente de flutuações de valor</w:t>
      </w:r>
      <w:r w:rsidR="00D26107" w:rsidRPr="00716631">
        <w:rPr>
          <w:lang w:val="pt"/>
        </w:rPr>
        <w:t xml:space="preserve"> entre a moeda em que as suas quotas</w:t>
      </w:r>
      <w:r w:rsidRPr="00716631">
        <w:rPr>
          <w:lang w:val="pt"/>
        </w:rPr>
        <w:t xml:space="preserve"> serão denominadas, a moeda de inve</w:t>
      </w:r>
      <w:r w:rsidR="00EB3051" w:rsidRPr="00716631">
        <w:rPr>
          <w:lang w:val="pt"/>
        </w:rPr>
        <w:t>stimento e as moedas dos seus a</w:t>
      </w:r>
      <w:r w:rsidRPr="00716631">
        <w:rPr>
          <w:lang w:val="pt"/>
        </w:rPr>
        <w:t xml:space="preserve">tivos e passivos. </w:t>
      </w:r>
    </w:p>
    <w:p w14:paraId="53E548D3" w14:textId="268AF434" w:rsidR="002B13C1" w:rsidRPr="00716631" w:rsidRDefault="00816A35">
      <w:pPr>
        <w:ind w:left="-5" w:right="54"/>
      </w:pPr>
      <w:r w:rsidRPr="00716631">
        <w:rPr>
          <w:b/>
          <w:lang w:val="pt"/>
        </w:rPr>
        <w:t>Títulos de dívida</w:t>
      </w:r>
      <w:r w:rsidRPr="00716631">
        <w:rPr>
          <w:lang w:val="pt"/>
        </w:rPr>
        <w:t xml:space="preserve">.  Os ativos do Subfundo podem ser investidos em títulos de </w:t>
      </w:r>
      <w:r w:rsidR="001102B9" w:rsidRPr="00716631">
        <w:rPr>
          <w:lang w:val="pt"/>
        </w:rPr>
        <w:t>renda fixa que podem não ser obje</w:t>
      </w:r>
      <w:r w:rsidRPr="00716631">
        <w:rPr>
          <w:lang w:val="pt"/>
        </w:rPr>
        <w:t xml:space="preserve">to de </w:t>
      </w:r>
      <w:r w:rsidR="001102B9" w:rsidRPr="00716631">
        <w:rPr>
          <w:lang w:val="pt"/>
        </w:rPr>
        <w:t>avaliação</w:t>
      </w:r>
      <w:r w:rsidRPr="00716631">
        <w:rPr>
          <w:lang w:val="pt"/>
        </w:rPr>
        <w:t xml:space="preserve"> por uma agência de </w:t>
      </w:r>
      <w:r w:rsidR="001102B9" w:rsidRPr="00716631">
        <w:rPr>
          <w:i/>
          <w:lang w:val="pt"/>
        </w:rPr>
        <w:t>rating</w:t>
      </w:r>
      <w:r w:rsidRPr="00716631">
        <w:rPr>
          <w:lang w:val="pt"/>
        </w:rPr>
        <w:t xml:space="preserve"> reconhecida ou inferiores ao grau de investimento e que estão sujeitos a um maior risco de perda de capital e de juros do que os títulos de dívida com </w:t>
      </w:r>
      <w:r w:rsidR="001102B9" w:rsidRPr="00716631">
        <w:rPr>
          <w:lang w:val="pt"/>
        </w:rPr>
        <w:t>avaliação</w:t>
      </w:r>
      <w:r w:rsidR="00EC67A6" w:rsidRPr="00716631">
        <w:rPr>
          <w:lang w:val="pt"/>
        </w:rPr>
        <w:t xml:space="preserve"> mais elevada. </w:t>
      </w:r>
      <w:r w:rsidRPr="00716631">
        <w:rPr>
          <w:lang w:val="pt"/>
        </w:rPr>
        <w:t xml:space="preserve">Uma vez </w:t>
      </w:r>
      <w:r w:rsidR="00EC67A6" w:rsidRPr="00716631">
        <w:rPr>
          <w:lang w:val="pt"/>
        </w:rPr>
        <w:t>que os</w:t>
      </w:r>
      <w:r w:rsidRPr="00716631">
        <w:rPr>
          <w:lang w:val="pt"/>
        </w:rPr>
        <w:t xml:space="preserve"> maiores riscos</w:t>
      </w:r>
      <w:r w:rsidR="00EC67A6" w:rsidRPr="00716631">
        <w:rPr>
          <w:lang w:val="pt"/>
        </w:rPr>
        <w:t xml:space="preserve"> são</w:t>
      </w:r>
      <w:r w:rsidRPr="00716631">
        <w:rPr>
          <w:lang w:val="pt"/>
        </w:rPr>
        <w:t xml:space="preserve"> associados a valores mobiliários </w:t>
      </w:r>
      <w:r w:rsidR="00EC67A6" w:rsidRPr="00716631">
        <w:rPr>
          <w:lang w:val="pt"/>
        </w:rPr>
        <w:t>sem classificação</w:t>
      </w:r>
      <w:r w:rsidRPr="00716631">
        <w:rPr>
          <w:lang w:val="pt"/>
        </w:rPr>
        <w:t xml:space="preserve"> </w:t>
      </w:r>
      <w:r w:rsidR="00EC67A6" w:rsidRPr="00716631">
        <w:rPr>
          <w:lang w:val="pt"/>
        </w:rPr>
        <w:t>ou com baixos graus de investimento</w:t>
      </w:r>
      <w:r w:rsidRPr="00716631">
        <w:rPr>
          <w:lang w:val="pt"/>
        </w:rPr>
        <w:t xml:space="preserve">, os rendimentos e os preços desses títulos podem flutuar mais do que </w:t>
      </w:r>
      <w:r w:rsidR="00EC67A6" w:rsidRPr="00716631">
        <w:rPr>
          <w:lang w:val="pt"/>
        </w:rPr>
        <w:t>aqueles</w:t>
      </w:r>
      <w:r w:rsidRPr="00716631">
        <w:rPr>
          <w:lang w:val="pt"/>
        </w:rPr>
        <w:t xml:space="preserve"> valores mobiliários com </w:t>
      </w:r>
      <w:r w:rsidR="00EC67A6" w:rsidRPr="00716631">
        <w:rPr>
          <w:lang w:val="pt"/>
        </w:rPr>
        <w:t>avaliação</w:t>
      </w:r>
      <w:r w:rsidRPr="00716631">
        <w:rPr>
          <w:lang w:val="pt"/>
        </w:rPr>
        <w:t xml:space="preserve"> mais elevada.  O mercado de títulos sem grau de investimento pode ser menor e menos ativo do que </w:t>
      </w:r>
      <w:r w:rsidR="00EC67A6" w:rsidRPr="00716631">
        <w:rPr>
          <w:lang w:val="pt"/>
        </w:rPr>
        <w:t>aqueles de</w:t>
      </w:r>
      <w:r w:rsidRPr="00716631">
        <w:rPr>
          <w:lang w:val="pt"/>
        </w:rPr>
        <w:t xml:space="preserve"> valores mobiliários com </w:t>
      </w:r>
      <w:r w:rsidR="00EC67A6" w:rsidRPr="00716631">
        <w:rPr>
          <w:lang w:val="pt"/>
        </w:rPr>
        <w:t>avaliação</w:t>
      </w:r>
      <w:r w:rsidRPr="00716631">
        <w:rPr>
          <w:lang w:val="pt"/>
        </w:rPr>
        <w:t xml:space="preserve"> mais elevada, o que pode afetar negativamente os preços </w:t>
      </w:r>
      <w:r w:rsidR="00EC67A6" w:rsidRPr="00716631">
        <w:rPr>
          <w:lang w:val="pt"/>
        </w:rPr>
        <w:t xml:space="preserve">de venda </w:t>
      </w:r>
      <w:r w:rsidRPr="00716631">
        <w:rPr>
          <w:lang w:val="pt"/>
        </w:rPr>
        <w:t>e resultar e</w:t>
      </w:r>
      <w:r w:rsidR="00EC67A6" w:rsidRPr="00716631">
        <w:rPr>
          <w:lang w:val="pt"/>
        </w:rPr>
        <w:t>m perdas para o Subfundo.  Os a</w:t>
      </w:r>
      <w:r w:rsidRPr="00716631">
        <w:rPr>
          <w:lang w:val="pt"/>
        </w:rPr>
        <w:t>tivos do Subfundo podem ser investidos em títulos de dívida que se classifiquem como inferiores aos outros títulos e obrigações em circulação do emitente, todos ou uma parte significativa dos quais possam ser garantidos</w:t>
      </w:r>
      <w:r w:rsidR="00EC67A6" w:rsidRPr="00716631">
        <w:rPr>
          <w:lang w:val="pt"/>
        </w:rPr>
        <w:t xml:space="preserve"> em substancialmente todos os a</w:t>
      </w:r>
      <w:r w:rsidRPr="00716631">
        <w:rPr>
          <w:lang w:val="pt"/>
        </w:rPr>
        <w:t xml:space="preserve">tivos desse emitente.  Os ativos do Subfundo podem ser </w:t>
      </w:r>
      <w:r w:rsidR="00EC67A6" w:rsidRPr="00716631">
        <w:rPr>
          <w:lang w:val="pt"/>
        </w:rPr>
        <w:t xml:space="preserve">investidos em títulos de dívida </w:t>
      </w:r>
      <w:r w:rsidRPr="00716631">
        <w:rPr>
          <w:lang w:val="pt"/>
        </w:rPr>
        <w:t xml:space="preserve">que não estejam protegidos por </w:t>
      </w:r>
      <w:r w:rsidR="00EC67A6" w:rsidRPr="00716631">
        <w:rPr>
          <w:lang w:val="pt"/>
        </w:rPr>
        <w:t>convênios</w:t>
      </w:r>
      <w:r w:rsidRPr="00716631">
        <w:rPr>
          <w:lang w:val="pt"/>
        </w:rPr>
        <w:t xml:space="preserve"> financeiros ou limitações </w:t>
      </w:r>
      <w:r w:rsidR="00EC67A6" w:rsidRPr="00716631">
        <w:rPr>
          <w:lang w:val="pt"/>
        </w:rPr>
        <w:t>de</w:t>
      </w:r>
      <w:r w:rsidRPr="00716631">
        <w:rPr>
          <w:lang w:val="pt"/>
        </w:rPr>
        <w:t xml:space="preserve"> endividamento adicional.  Os emitentes de títulos de dívida podem não cumprir a</w:t>
      </w:r>
      <w:r w:rsidR="00EC67A6" w:rsidRPr="00716631">
        <w:rPr>
          <w:lang w:val="pt"/>
        </w:rPr>
        <w:t>s suas obrigações, quer devido à</w:t>
      </w:r>
      <w:r w:rsidRPr="00716631">
        <w:rPr>
          <w:lang w:val="pt"/>
        </w:rPr>
        <w:t xml:space="preserve"> insolvência, falência, fraude ou outras causas, e a sua falta de pagamento programada pode fazer com que o Subfundo sofra perdas significativas.  O Subfundo estará, por conseguinte, sujeito a riscos de crédito, liquidez e taxas de juro</w:t>
      </w:r>
      <w:r w:rsidR="00EC67A6" w:rsidRPr="00716631">
        <w:rPr>
          <w:lang w:val="pt"/>
        </w:rPr>
        <w:t>s</w:t>
      </w:r>
      <w:r w:rsidRPr="00716631">
        <w:rPr>
          <w:lang w:val="pt"/>
        </w:rPr>
        <w:t xml:space="preserve">.  Além disso, a avaliação do risco de crédito para títulos de dívida envolve incerteza </w:t>
      </w:r>
      <w:r w:rsidR="00670B4D" w:rsidRPr="00716631">
        <w:rPr>
          <w:lang w:val="pt"/>
        </w:rPr>
        <w:t>pois</w:t>
      </w:r>
      <w:r w:rsidRPr="00716631">
        <w:rPr>
          <w:lang w:val="pt"/>
        </w:rPr>
        <w:t xml:space="preserve"> as agências de </w:t>
      </w:r>
      <w:r w:rsidR="00BD0606" w:rsidRPr="00716631">
        <w:rPr>
          <w:lang w:val="pt"/>
        </w:rPr>
        <w:t>avaliação</w:t>
      </w:r>
      <w:r w:rsidRPr="00716631">
        <w:rPr>
          <w:lang w:val="pt"/>
        </w:rPr>
        <w:t xml:space="preserve"> de risco em todo o mundo têm padrões </w:t>
      </w:r>
      <w:r w:rsidR="00827BB8" w:rsidRPr="00716631">
        <w:rPr>
          <w:lang w:val="pt"/>
        </w:rPr>
        <w:t>distintos</w:t>
      </w:r>
      <w:r w:rsidRPr="00716631">
        <w:rPr>
          <w:lang w:val="pt"/>
        </w:rPr>
        <w:t xml:space="preserve">, dificultando a comparação entre países.  Além disso, o mercado de </w:t>
      </w:r>
      <w:r w:rsidRPr="00716631">
        <w:rPr>
          <w:i/>
          <w:lang w:val="pt"/>
        </w:rPr>
        <w:t>spreads</w:t>
      </w:r>
      <w:r w:rsidRPr="00716631">
        <w:rPr>
          <w:lang w:val="pt"/>
        </w:rPr>
        <w:t xml:space="preserve"> de crédito é muitas vezes ineficiente e ilíquido, dificultando o cálculo preciso dos </w:t>
      </w:r>
      <w:r w:rsidRPr="00716631">
        <w:rPr>
          <w:i/>
          <w:lang w:val="pt"/>
        </w:rPr>
        <w:t>spreads</w:t>
      </w:r>
      <w:r w:rsidRPr="00716631">
        <w:rPr>
          <w:lang w:val="pt"/>
        </w:rPr>
        <w:t xml:space="preserve"> de desconto para avaliar instrumentos financeiros. </w:t>
      </w:r>
    </w:p>
    <w:p w14:paraId="1E27A07E" w14:textId="19116082" w:rsidR="002B13C1" w:rsidRPr="00716631" w:rsidRDefault="00816A35">
      <w:pPr>
        <w:ind w:left="-5" w:right="54"/>
      </w:pPr>
      <w:r w:rsidRPr="0363F18F">
        <w:rPr>
          <w:b/>
          <w:bCs/>
        </w:rPr>
        <w:lastRenderedPageBreak/>
        <w:t xml:space="preserve">Instrumentos </w:t>
      </w:r>
      <w:r w:rsidR="00BD0606" w:rsidRPr="0363F18F">
        <w:rPr>
          <w:b/>
          <w:bCs/>
        </w:rPr>
        <w:t>de derivativos</w:t>
      </w:r>
      <w:r w:rsidRPr="0363F18F">
        <w:t xml:space="preserve">.  A Companhia pode fazer uso extensivo de instrumentos derivativos negociados em bolsa e balcão, como futuros, termo, swaps, opções e contratos por diferenças.  Os instrumentos derivativos normalmente têm </w:t>
      </w:r>
      <w:proofErr w:type="gramStart"/>
      <w:r w:rsidRPr="0363F18F">
        <w:t>um alto grau de</w:t>
      </w:r>
      <w:proofErr w:type="gramEnd"/>
      <w:r w:rsidRPr="0363F18F">
        <w:t xml:space="preserve"> alavancagem embutido e, consequentemente, um movimento relativamente pequeno no preço de um instrumento pode resultar em lucro ou perda alto em proporção à margem depositada.  No caso de uma chamada para margem adicional exceder a quantidade de dinheiro disponível no Subfundo, a Empresa será obrigada a fechar o contrato.</w:t>
      </w:r>
      <w:r w:rsidR="008B38AF" w:rsidRPr="0363F18F">
        <w:t xml:space="preserve"> </w:t>
      </w:r>
      <w:r w:rsidRPr="0363F18F">
        <w:t xml:space="preserve">O mercado de </w:t>
      </w:r>
      <w:r w:rsidR="008B38AF" w:rsidRPr="0363F18F">
        <w:t>derivativos</w:t>
      </w:r>
      <w:r w:rsidRPr="0363F18F">
        <w:t xml:space="preserve"> caracteriza-se frequentemente por uma liquidez limitada e por limites diários às flutuações de preços, bem como por limites de posições especulativas nas bolsas, podendo impedir a rápida liquidação das posições, resultando em </w:t>
      </w:r>
      <w:r w:rsidR="008B38AF" w:rsidRPr="0363F18F">
        <w:t xml:space="preserve">perdas potencialmente maiores. </w:t>
      </w:r>
      <w:r w:rsidRPr="0363F18F">
        <w:t xml:space="preserve">Quando utilizados para fins de </w:t>
      </w:r>
      <w:r w:rsidR="008B38AF" w:rsidRPr="0363F18F">
        <w:rPr>
          <w:i/>
          <w:iCs/>
        </w:rPr>
        <w:t>hedge</w:t>
      </w:r>
      <w:r w:rsidRPr="0363F18F">
        <w:t xml:space="preserve">, pode haver uma correlação imperfeita entre os </w:t>
      </w:r>
      <w:r w:rsidR="008B38AF" w:rsidRPr="0363F18F">
        <w:t>derivativos</w:t>
      </w:r>
      <w:r w:rsidRPr="0363F18F">
        <w:t xml:space="preserve"> e os investimentos ou setores de mercado que estão a ser </w:t>
      </w:r>
      <w:proofErr w:type="spellStart"/>
      <w:r w:rsidR="006D546E" w:rsidRPr="0363F18F">
        <w:t>hedgeados</w:t>
      </w:r>
      <w:proofErr w:type="spellEnd"/>
      <w:r w:rsidRPr="0363F18F">
        <w:t xml:space="preserve">. As relações de fixação de preços entre os </w:t>
      </w:r>
      <w:r w:rsidR="006D546E" w:rsidRPr="0363F18F">
        <w:t>derivativos</w:t>
      </w:r>
      <w:r w:rsidRPr="0363F18F">
        <w:t xml:space="preserve"> e os instrumentos subjacentes em que se baseiam podem não estar em conformidade com os padrões de correlação previstos ou históricos, resultando em perdas imprevistas.   </w:t>
      </w:r>
    </w:p>
    <w:p w14:paraId="7144D371" w14:textId="4D4550BB" w:rsidR="002B13C1" w:rsidRPr="00716631" w:rsidRDefault="00816A35">
      <w:pPr>
        <w:ind w:left="-5" w:right="54"/>
      </w:pPr>
      <w:r w:rsidRPr="00716631">
        <w:rPr>
          <w:lang w:val="pt"/>
        </w:rPr>
        <w:t xml:space="preserve">As operações com instrumentos </w:t>
      </w:r>
      <w:r w:rsidR="006D546E" w:rsidRPr="00716631">
        <w:rPr>
          <w:lang w:val="pt"/>
        </w:rPr>
        <w:t>de derivativos</w:t>
      </w:r>
      <w:r w:rsidRPr="00716631">
        <w:rPr>
          <w:lang w:val="pt"/>
        </w:rPr>
        <w:t xml:space="preserve"> do mercado de balcão devem ter como contraposição uma instituição financeira aderente às Regras de Basileia, que deve ser classificada como de baixo risco de crédito pelo gestor do investimento e supervisionada pelas autoridades locais. Tais transações envolvem risco adicional, p</w:t>
      </w:r>
      <w:r w:rsidR="006D546E" w:rsidRPr="00716631">
        <w:rPr>
          <w:lang w:val="pt"/>
        </w:rPr>
        <w:t>ois não há mercado de câmbio para fechar uma posição. Deve-se considerar</w:t>
      </w:r>
      <w:r w:rsidRPr="00716631">
        <w:rPr>
          <w:lang w:val="pt"/>
        </w:rPr>
        <w:t xml:space="preserve"> ser impossível liquidar uma posição existente, avaliar o valor de uma posição ou avaliar a exposição ao risco. Além disso, os spreads "</w:t>
      </w:r>
      <w:r w:rsidR="006D546E" w:rsidRPr="00716631">
        <w:rPr>
          <w:lang w:val="pt"/>
        </w:rPr>
        <w:t>oferta/ demanda</w:t>
      </w:r>
      <w:r w:rsidRPr="00716631">
        <w:rPr>
          <w:lang w:val="pt"/>
        </w:rPr>
        <w:t xml:space="preserve">" podem ser amplos nos mercados de balcão </w:t>
      </w:r>
      <w:r w:rsidR="006D546E" w:rsidRPr="00716631">
        <w:rPr>
          <w:lang w:val="pt"/>
        </w:rPr>
        <w:t xml:space="preserve">não regulamentados. </w:t>
      </w:r>
      <w:r w:rsidRPr="00716631">
        <w:rPr>
          <w:lang w:val="pt"/>
        </w:rPr>
        <w:t>Certas contrapartes podem exigi</w:t>
      </w:r>
      <w:r w:rsidR="006D546E" w:rsidRPr="00716631">
        <w:rPr>
          <w:lang w:val="pt"/>
        </w:rPr>
        <w:t xml:space="preserve">r garantias em relação a transações de balcão. </w:t>
      </w:r>
      <w:r w:rsidRPr="00716631">
        <w:rPr>
          <w:lang w:val="pt"/>
        </w:rPr>
        <w:t>Embora a Empresa se envolva em tais transações com instituições financeiras, o Subfundo ainda estará sujeito ao risco de contraparte, incluindo o ris</w:t>
      </w:r>
      <w:r w:rsidR="00332DBA" w:rsidRPr="00716631">
        <w:rPr>
          <w:lang w:val="pt"/>
        </w:rPr>
        <w:t xml:space="preserve">co de perda de tais garantias. </w:t>
      </w:r>
      <w:r w:rsidRPr="00716631">
        <w:rPr>
          <w:lang w:val="pt"/>
        </w:rPr>
        <w:t xml:space="preserve">O risco de </w:t>
      </w:r>
      <w:r w:rsidR="00332DBA" w:rsidRPr="00716631">
        <w:rPr>
          <w:lang w:val="pt"/>
        </w:rPr>
        <w:t>não cumprimento</w:t>
      </w:r>
      <w:r w:rsidRPr="00716631">
        <w:rPr>
          <w:lang w:val="pt"/>
        </w:rPr>
        <w:t xml:space="preserve"> da contraparte pode ser significativamente maior no caso destes instrumentos de balcão, em oposição aos instrumentos </w:t>
      </w:r>
      <w:r w:rsidR="00332DBA" w:rsidRPr="00716631">
        <w:rPr>
          <w:lang w:val="pt"/>
        </w:rPr>
        <w:t>de derivativos</w:t>
      </w:r>
      <w:r w:rsidRPr="00716631">
        <w:rPr>
          <w:lang w:val="pt"/>
        </w:rPr>
        <w:t xml:space="preserve"> negociados em bolsa. </w:t>
      </w:r>
    </w:p>
    <w:p w14:paraId="787095CD" w14:textId="45EF1532" w:rsidR="002B13C1" w:rsidRPr="00716631" w:rsidRDefault="00816A35">
      <w:pPr>
        <w:ind w:left="-5" w:right="54"/>
      </w:pPr>
      <w:r w:rsidRPr="0363F18F">
        <w:rPr>
          <w:b/>
          <w:bCs/>
        </w:rPr>
        <w:t>Negociação direcional</w:t>
      </w:r>
      <w:r w:rsidRPr="0363F18F">
        <w:t xml:space="preserve">.  Algumas das posições tomadas pela Empresa serão projetadas para lucrar com a previsão de movimentos absolutos de preços em um determinado instrumento ou classe de ativos.  Prever preços futuros </w:t>
      </w:r>
      <w:proofErr w:type="spellStart"/>
      <w:r w:rsidRPr="0363F18F">
        <w:t>é</w:t>
      </w:r>
      <w:proofErr w:type="spellEnd"/>
      <w:r w:rsidRPr="0363F18F">
        <w:t xml:space="preserve"> inerentemente incerto e as perdas incorridas, se o mercado se mover contra uma posição, muit</w:t>
      </w:r>
      <w:r w:rsidR="004C5A66" w:rsidRPr="0363F18F">
        <w:t xml:space="preserve">as vezes não serão protegidas. </w:t>
      </w:r>
      <w:r w:rsidRPr="0363F18F">
        <w:t xml:space="preserve">O aspecto especulativo da tentativa de prever movimentos absolutos de preços é geralmente percebido como excedendo o envolvido na tentativa de prever flutuações relativas de preços. </w:t>
      </w:r>
    </w:p>
    <w:p w14:paraId="4706FB12"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sz w:val="22"/>
          <w:szCs w:val="22"/>
          <w:lang w:val="pt-PT"/>
        </w:rPr>
        <w:t>Mercados emergentes</w:t>
      </w:r>
      <w:r w:rsidRPr="00716631">
        <w:rPr>
          <w:rStyle w:val="normaltextrun"/>
          <w:rFonts w:ascii="Calibri" w:hAnsi="Calibri" w:cs="Calibri"/>
          <w:color w:val="000000"/>
          <w:sz w:val="22"/>
          <w:szCs w:val="22"/>
          <w:lang w:val="pt-PT"/>
        </w:rPr>
        <w:t>.  Os ativos do Subfundo podem ser investidos em ações ou outros valores mobiliários de empresas constituídas ou cujas operações comerciais estejam em mercados emergentes.  Tais investimentos consideram um maior grau de risco quando comparado a um investimento em títulos de emissores sediados em países mais desenvolvidos.  Riscos adicionais que podem ser encontrados incluem: </w:t>
      </w:r>
      <w:r w:rsidRPr="00716631">
        <w:rPr>
          <w:rStyle w:val="eop"/>
          <w:rFonts w:ascii="Calibri" w:hAnsi="Calibri" w:cs="Calibri"/>
          <w:color w:val="000000"/>
          <w:sz w:val="22"/>
          <w:szCs w:val="22"/>
        </w:rPr>
        <w:t> </w:t>
      </w:r>
    </w:p>
    <w:p w14:paraId="71DAB708"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 xml:space="preserve">Fatores políticos: </w:t>
      </w:r>
      <w:r w:rsidRPr="00716631">
        <w:rPr>
          <w:rStyle w:val="normaltextrun"/>
          <w:rFonts w:ascii="Calibri" w:hAnsi="Calibri" w:cs="Calibri"/>
          <w:color w:val="000000"/>
          <w:sz w:val="22"/>
          <w:szCs w:val="22"/>
          <w:lang w:val="pt-PT"/>
        </w:rPr>
        <w:t>Os mercados emergentes terão maiores riscos políticos e econômicos do que os mercados mais desenvolvidos, incluindo: (i) maiores riscos de expropriação, nacionalização e menor estabilidade social, política e econômica; (ii) um maior nível de envolvimento e controle do governo sobre a economia: (iii) taxas de inflação substancialmente mais altas; iv) certas políticas nacionais que possam restringir as oportunidades de investimento estrangeiro, incluindo restrições ao investimento em emitentes ou indústrias consideradas sensíveis ao interesse nacional; e (v) restrições burocráticas relativas ao investimento estrangeiro. </w:t>
      </w:r>
      <w:r w:rsidRPr="00716631">
        <w:rPr>
          <w:rStyle w:val="eop"/>
          <w:rFonts w:ascii="Calibri" w:hAnsi="Calibri" w:cs="Calibri"/>
          <w:color w:val="000000"/>
          <w:sz w:val="22"/>
          <w:szCs w:val="22"/>
        </w:rPr>
        <w:t> </w:t>
      </w:r>
    </w:p>
    <w:p w14:paraId="6EAC9169"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 xml:space="preserve">Fatores </w:t>
      </w:r>
      <w:r w:rsidRPr="00665C18">
        <w:rPr>
          <w:rStyle w:val="normaltextrun"/>
          <w:rFonts w:ascii="Calibri" w:hAnsi="Calibri" w:cs="Calibri"/>
          <w:i/>
          <w:iCs/>
          <w:color w:val="000000"/>
          <w:sz w:val="22"/>
          <w:szCs w:val="22"/>
          <w:lang w:val="pt-PT"/>
        </w:rPr>
        <w:t>econômicos</w:t>
      </w:r>
      <w:r w:rsidRPr="00716631">
        <w:rPr>
          <w:rStyle w:val="normaltextrun"/>
          <w:rFonts w:ascii="Calibri" w:hAnsi="Calibri" w:cs="Calibri"/>
          <w:color w:val="000000"/>
          <w:sz w:val="22"/>
          <w:szCs w:val="22"/>
          <w:lang w:val="pt-PT"/>
        </w:rPr>
        <w:t xml:space="preserve">: As economias dos mercados emergentes são geralmente dependentes do comércio internacional e, consequentemente, podem ser afetadas negativamente pelas condições econômicas nos países com os quais negociam e/ou medidas protecionistas impostas ou negociadas pelos países com os quais negociam, incluindo barreiras comerciais, </w:t>
      </w:r>
      <w:r w:rsidRPr="00716631">
        <w:rPr>
          <w:rStyle w:val="normaltextrun"/>
          <w:rFonts w:ascii="Calibri" w:hAnsi="Calibri" w:cs="Calibri"/>
          <w:color w:val="000000"/>
          <w:sz w:val="22"/>
          <w:szCs w:val="22"/>
          <w:lang w:val="pt-PT"/>
        </w:rPr>
        <w:lastRenderedPageBreak/>
        <w:t>controles cambiais e ajustes nos valores relativos da moeda e outros.  As economias de certos mercados emergentes podem basear-se predominantemente em apenas algumas indústrias, tornando-as vulneráveis a mudanças nas condições comerciais. </w:t>
      </w:r>
      <w:r w:rsidRPr="00716631">
        <w:rPr>
          <w:rStyle w:val="eop"/>
          <w:rFonts w:ascii="Calibri" w:hAnsi="Calibri" w:cs="Calibri"/>
          <w:color w:val="000000"/>
          <w:sz w:val="22"/>
          <w:szCs w:val="22"/>
        </w:rPr>
        <w:t> </w:t>
      </w:r>
    </w:p>
    <w:p w14:paraId="6D534B60"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Desenvolvimento do sistema jurídico</w:t>
      </w:r>
      <w:r w:rsidRPr="00716631">
        <w:rPr>
          <w:rStyle w:val="normaltextrun"/>
          <w:rFonts w:ascii="Calibri" w:hAnsi="Calibri" w:cs="Calibri"/>
          <w:color w:val="000000"/>
          <w:sz w:val="22"/>
          <w:szCs w:val="22"/>
          <w:lang w:val="pt-PT"/>
        </w:rPr>
        <w:t>: Atualmente, o mercado de valores mobiliários e o quadro regulamentar para a indústria de valores mobiliários em muitos mercados emergentes estão em fase inicial de desenvolvimento. As leis fiscais e associadas também estão evoluindo continuamente.  Como essas leis, regulamentos e requisitos legais são recentes, a interpretação e a aplicação envolvem incertezas significativas. Em particular, as leis que regem as organizações empresariais, a falência e a insolvência nos mercados emergentes podem proporcionar, de forma substancial, menos proteção aos investidores do que a prevista pelas leis dos países mais desenvolvidos. </w:t>
      </w:r>
      <w:r w:rsidRPr="00716631">
        <w:rPr>
          <w:rStyle w:val="eop"/>
          <w:rFonts w:ascii="Calibri" w:hAnsi="Calibri" w:cs="Calibri"/>
          <w:color w:val="000000"/>
          <w:sz w:val="22"/>
          <w:szCs w:val="22"/>
        </w:rPr>
        <w:t> </w:t>
      </w:r>
    </w:p>
    <w:p w14:paraId="2F7F80CF"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Considerações de mercado</w:t>
      </w:r>
      <w:r w:rsidRPr="00716631">
        <w:rPr>
          <w:rStyle w:val="normaltextrun"/>
          <w:rFonts w:ascii="Calibri" w:hAnsi="Calibri" w:cs="Calibri"/>
          <w:color w:val="000000"/>
          <w:sz w:val="22"/>
          <w:szCs w:val="22"/>
          <w:lang w:val="pt-PT"/>
        </w:rPr>
        <w:t>: Como os mercados emergentes estão em um estágio inicial de desenvolvimento, eles tendem a possuir menos volume, ser menos líquidos e experimentar maior volatilidade do que os mercados mais estabelecidos. Ao procurar vender títulos de mercados emergentes, pouco ou nenhuma demanda pode existir para os títulos. A liquidação de transações pode estar sujeita a atrasos e incertezas administrativas. </w:t>
      </w:r>
      <w:r w:rsidRPr="00716631">
        <w:rPr>
          <w:rStyle w:val="eop"/>
          <w:rFonts w:ascii="Calibri" w:hAnsi="Calibri" w:cs="Calibri"/>
          <w:color w:val="000000"/>
          <w:sz w:val="22"/>
          <w:szCs w:val="22"/>
        </w:rPr>
        <w:t> </w:t>
      </w:r>
    </w:p>
    <w:p w14:paraId="497D646F"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665C18">
        <w:rPr>
          <w:rStyle w:val="normaltextrun"/>
          <w:rFonts w:ascii="Calibri" w:hAnsi="Calibri" w:cs="Calibri"/>
          <w:i/>
          <w:iCs/>
          <w:color w:val="000000"/>
          <w:sz w:val="22"/>
          <w:szCs w:val="22"/>
          <w:lang w:val="pt-PT"/>
        </w:rPr>
        <w:t>Moeda</w:t>
      </w:r>
      <w:r w:rsidRPr="00716631">
        <w:rPr>
          <w:rStyle w:val="normaltextrun"/>
          <w:rFonts w:ascii="Calibri" w:hAnsi="Calibri" w:cs="Calibri"/>
          <w:color w:val="000000"/>
          <w:sz w:val="22"/>
          <w:szCs w:val="22"/>
          <w:lang w:val="pt-PT"/>
        </w:rPr>
        <w:t>: As moedas em que os investimentos são denominados podem ser instáveis, altamente voláteis e/ou sujeitas a depreciação significativa.  Os riscos associados a qualquer moeda em particular podem ser difíceis de quantificar e, portanto, de proteger.  Essas moedas podem não ser livremente conversíveis ou podem estar sujeitas a restrições à repatriação. </w:t>
      </w:r>
      <w:r w:rsidRPr="00716631">
        <w:rPr>
          <w:rStyle w:val="eop"/>
          <w:rFonts w:ascii="Calibri" w:hAnsi="Calibri" w:cs="Calibri"/>
          <w:color w:val="000000"/>
          <w:sz w:val="22"/>
          <w:szCs w:val="22"/>
        </w:rPr>
        <w:t> </w:t>
      </w:r>
    </w:p>
    <w:p w14:paraId="6A82CAFE"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Risco de custódia e corretagem</w:t>
      </w:r>
      <w:r w:rsidRPr="00716631">
        <w:rPr>
          <w:rStyle w:val="normaltextrun"/>
          <w:rFonts w:ascii="Calibri" w:hAnsi="Calibri" w:cs="Calibri"/>
          <w:color w:val="000000"/>
          <w:sz w:val="22"/>
          <w:szCs w:val="22"/>
          <w:lang w:val="pt-PT"/>
        </w:rPr>
        <w:t>: Os custodiantes em mercados emergentes não são capazes de oferecer o nível de serviço e guarda em relação à liquidação e administração de valores mobiliários que é habitual em mercados mais desenvolvidos.  Em particular, existe o risco de que a Empresa não seja reconhecida como proprietária de valores mobiliários detidos em seu nome por um subcustodiante.  A liquidação de negociações em alguns mercados emergentes é muito mais lenta e sujeita a um maior risco de falha do que nos mercados de países mais desenvolvidos. </w:t>
      </w:r>
      <w:r w:rsidRPr="00716631">
        <w:rPr>
          <w:rStyle w:val="eop"/>
          <w:rFonts w:ascii="Calibri" w:hAnsi="Calibri" w:cs="Calibri"/>
          <w:color w:val="000000"/>
          <w:sz w:val="22"/>
          <w:szCs w:val="22"/>
        </w:rPr>
        <w:t> </w:t>
      </w:r>
    </w:p>
    <w:p w14:paraId="36B255DB" w14:textId="77777777" w:rsidR="004F4DBF" w:rsidRPr="00716631" w:rsidRDefault="004F4DBF" w:rsidP="00665C18">
      <w:pPr>
        <w:pStyle w:val="paragraph"/>
        <w:numPr>
          <w:ilvl w:val="0"/>
          <w:numId w:val="14"/>
        </w:numPr>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 xml:space="preserve">Informações menos confiáveis: Os emitentes estabelecidos em </w:t>
      </w:r>
      <w:r w:rsidRPr="00716631">
        <w:rPr>
          <w:rStyle w:val="normaltextrun"/>
          <w:rFonts w:ascii="Calibri" w:hAnsi="Calibri" w:cs="Calibri"/>
          <w:color w:val="000000"/>
          <w:sz w:val="22"/>
          <w:szCs w:val="22"/>
          <w:lang w:val="pt-PT"/>
        </w:rPr>
        <w:t>mercados emergentes não estão frequentemente sujeitos a normas, práticas e requisitos uniformes de relato contabilístico e financeiro comparáveis aos aplicáveis aos emitentes estabelecidos em países mais desenvolvidos.  Consequentemente, as informações financeiras e outras informações disponíveis podem ser incompletas e não confiáveis e há potencialmente um aumento do risco de fraude ou outras práticas enganosas.  Além disso, a qualidade e a fiabilidade dos dados oficiais publicados pelo governo ou pelas bolsas de valores mobiliários nos mercados emergentes podem não refletir com exatidão as circunstâncias reais que estão a ser divulgadas. </w:t>
      </w:r>
      <w:r w:rsidRPr="00716631">
        <w:rPr>
          <w:rStyle w:val="eop"/>
          <w:rFonts w:ascii="Calibri" w:hAnsi="Calibri" w:cs="Calibri"/>
          <w:color w:val="000000"/>
          <w:sz w:val="22"/>
          <w:szCs w:val="22"/>
        </w:rPr>
        <w:t> </w:t>
      </w:r>
    </w:p>
    <w:p w14:paraId="77C71A99" w14:textId="7A62F089" w:rsidR="004F4DBF" w:rsidRPr="005F184E" w:rsidRDefault="004F4DBF" w:rsidP="004F4DBF">
      <w:pPr>
        <w:pStyle w:val="paragraph"/>
        <w:ind w:left="-15" w:right="45"/>
        <w:jc w:val="both"/>
        <w:textAlignment w:val="baseline"/>
        <w:rPr>
          <w:rFonts w:ascii="Calibri" w:hAnsi="Calibri" w:cs="Calibri"/>
          <w:color w:val="000000"/>
          <w:sz w:val="22"/>
          <w:szCs w:val="22"/>
        </w:rPr>
      </w:pPr>
      <w:r w:rsidRPr="005F184E">
        <w:rPr>
          <w:rStyle w:val="normaltextrun"/>
          <w:rFonts w:ascii="Calibri" w:hAnsi="Calibri" w:cs="Calibri"/>
          <w:b/>
          <w:bCs/>
          <w:color w:val="000000"/>
          <w:sz w:val="22"/>
          <w:szCs w:val="22"/>
          <w:lang w:val="pt-PT"/>
        </w:rPr>
        <w:t>Fundos negociados em bolsa</w:t>
      </w:r>
      <w:r w:rsidRPr="005F184E">
        <w:rPr>
          <w:rStyle w:val="normaltextrun"/>
          <w:rFonts w:ascii="Calibri" w:hAnsi="Calibri" w:cs="Calibri"/>
          <w:color w:val="000000"/>
          <w:sz w:val="22"/>
          <w:szCs w:val="22"/>
          <w:lang w:val="pt-PT"/>
        </w:rPr>
        <w:t xml:space="preserve"> (</w:t>
      </w:r>
      <w:r w:rsidRPr="005F184E">
        <w:rPr>
          <w:rStyle w:val="normaltextrun"/>
          <w:rFonts w:ascii="Calibri" w:hAnsi="Calibri" w:cs="Calibri"/>
          <w:b/>
          <w:bCs/>
          <w:i/>
          <w:iCs/>
          <w:color w:val="000000"/>
          <w:sz w:val="22"/>
          <w:szCs w:val="22"/>
          <w:lang w:val="pt-PT"/>
        </w:rPr>
        <w:t>ETFs</w:t>
      </w:r>
      <w:r w:rsidRPr="005F184E">
        <w:rPr>
          <w:rStyle w:val="normaltextrun"/>
          <w:rFonts w:ascii="Calibri" w:hAnsi="Calibri" w:cs="Calibri"/>
          <w:color w:val="000000"/>
          <w:sz w:val="22"/>
          <w:szCs w:val="22"/>
          <w:lang w:val="pt-PT"/>
        </w:rPr>
        <w:t>).  ETFs são empresas de investimento compradas e vendidas em uma bolsa de valores. Um ETF terá como objetivo rastrear um índice subjacente, adquirindo os títulos constituintes do mesmo (ou uma amostra representativa de tais títulos) ou replicando sinteticamente os títulos constituintes do índice subjacente. Se os ativos do Subfundo forem investidos em um ETF, o Subfundo arcará com despesas adicionais com base em sua participação, de forma proporcional, nas despesas operacionais do ETF.  Além disso, o Subfundo incorrerá em custos de corretagem ao comprar e vender ações de ETFs.  O risco de possuir ações em um ETF geralmente reflete os riscos dos títulos detidos pelo ETF e as estratégias de investimento empregadas pelo mesmo (como o uso de alavancagem).   </w:t>
      </w:r>
      <w:r w:rsidRPr="005F184E">
        <w:rPr>
          <w:rStyle w:val="eop"/>
          <w:rFonts w:ascii="Calibri" w:hAnsi="Calibri" w:cs="Calibri"/>
          <w:color w:val="000000"/>
          <w:sz w:val="22"/>
          <w:szCs w:val="22"/>
        </w:rPr>
        <w:t> </w:t>
      </w:r>
    </w:p>
    <w:p w14:paraId="2C545B37" w14:textId="45464118" w:rsidR="004F4DBF" w:rsidRPr="005F184E" w:rsidRDefault="004F4DBF" w:rsidP="004F4DBF">
      <w:pPr>
        <w:pStyle w:val="paragraph"/>
        <w:ind w:left="-15" w:right="45"/>
        <w:jc w:val="both"/>
        <w:textAlignment w:val="baseline"/>
        <w:rPr>
          <w:rFonts w:ascii="Calibri" w:hAnsi="Calibri" w:cs="Calibri"/>
          <w:color w:val="000000"/>
          <w:sz w:val="22"/>
          <w:szCs w:val="22"/>
        </w:rPr>
      </w:pPr>
      <w:r w:rsidRPr="005F184E">
        <w:rPr>
          <w:rStyle w:val="normaltextrun"/>
          <w:rFonts w:ascii="Calibri" w:hAnsi="Calibri" w:cs="Calibri"/>
          <w:color w:val="000000"/>
          <w:sz w:val="22"/>
          <w:szCs w:val="22"/>
          <w:lang w:val="pt-PT"/>
        </w:rPr>
        <w:t xml:space="preserve">Os ETFs são gerenciados passivamente na medida em que não tentam superar ou ter um desempenho melhor do que o índice subjacente relevante.  Um ETF investirá (direta ou indiretamente) nos títulos incluídos ou representativos de seu índice subjacente, independentemente de seu mérito de investimento.  Espera-se, por conseguinte, que qualquer queda no índice subjacente resulte numa </w:t>
      </w:r>
      <w:r w:rsidRPr="005F184E">
        <w:rPr>
          <w:rStyle w:val="normaltextrun"/>
          <w:rFonts w:ascii="Calibri" w:hAnsi="Calibri" w:cs="Calibri"/>
          <w:color w:val="000000"/>
          <w:sz w:val="22"/>
          <w:szCs w:val="22"/>
          <w:lang w:val="pt-PT"/>
        </w:rPr>
        <w:lastRenderedPageBreak/>
        <w:t xml:space="preserve">queda correspondente do valor do ETF. </w:t>
      </w:r>
      <w:r w:rsidRPr="005F184E">
        <w:rPr>
          <w:rFonts w:ascii="Calibri" w:hAnsi="Calibri" w:cs="Calibri"/>
          <w:sz w:val="22"/>
          <w:szCs w:val="22"/>
        </w:rPr>
        <w:t>derivativos, disponibilidade de instrumentos de derivativos e restrições de propriedade estrangeira.</w:t>
      </w:r>
      <w:r w:rsidRPr="005F184E">
        <w:rPr>
          <w:rStyle w:val="normaltextrun"/>
          <w:rFonts w:ascii="Calibri" w:hAnsi="Calibri" w:cs="Calibri"/>
          <w:color w:val="000000"/>
          <w:sz w:val="22"/>
          <w:szCs w:val="22"/>
          <w:lang w:val="pt-PT"/>
        </w:rPr>
        <w:t> </w:t>
      </w:r>
      <w:r w:rsidRPr="005F184E">
        <w:rPr>
          <w:rStyle w:val="eop"/>
          <w:rFonts w:ascii="Calibri" w:hAnsi="Calibri" w:cs="Calibri"/>
          <w:color w:val="000000"/>
          <w:sz w:val="22"/>
          <w:szCs w:val="22"/>
        </w:rPr>
        <w:t> </w:t>
      </w:r>
    </w:p>
    <w:p w14:paraId="10B0D9F1"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Condições econômicas e de mercado gerais</w:t>
      </w:r>
      <w:r w:rsidRPr="00716631">
        <w:rPr>
          <w:rStyle w:val="normaltextrun"/>
          <w:rFonts w:ascii="Calibri" w:hAnsi="Calibri" w:cs="Calibri"/>
          <w:color w:val="000000"/>
          <w:sz w:val="22"/>
          <w:szCs w:val="22"/>
          <w:lang w:val="pt-PT"/>
        </w:rPr>
        <w:t>.  O sucesso do Subfundo será afetado pelas condições econômicas e de mercado gerais, como taxas de juros, disponibilidade de crédito, taxas de inflação, incerteza econômica, mudanças nas leis, barreiras comerciais, controles cambiais e circunstâncias políticas nacionais e internacionais.  Estes fatores podem afetar o nível e a volatilidade dos preços dos títulos e a liquidez dos investimentos do Subfundo.  A volatilidade ou a iliquidez podem prejudicar os rendimentos do Subfundo ou resultar em perdas. </w:t>
      </w:r>
      <w:r w:rsidRPr="00716631">
        <w:rPr>
          <w:rStyle w:val="eop"/>
          <w:rFonts w:ascii="Calibri" w:hAnsi="Calibri" w:cs="Calibri"/>
          <w:color w:val="000000"/>
          <w:sz w:val="22"/>
          <w:szCs w:val="22"/>
        </w:rPr>
        <w:t> </w:t>
      </w:r>
    </w:p>
    <w:p w14:paraId="6BA5AFB1"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Intervenção governamental</w:t>
      </w:r>
      <w:r w:rsidRPr="00716631">
        <w:rPr>
          <w:rStyle w:val="normaltextrun"/>
          <w:rFonts w:ascii="Calibri" w:hAnsi="Calibri" w:cs="Calibri"/>
          <w:color w:val="000000"/>
          <w:sz w:val="22"/>
          <w:szCs w:val="22"/>
          <w:lang w:val="pt-PT"/>
        </w:rPr>
        <w:t>. Os mercados financeiros globais passaram recentemente por perturbações generalizadas e uma instabilidade dramática que levou a uma intervenção governamental extensa e sem precedentes.  Os reguladores em muitas jurisdições implementaram uma série de medidas regulatórias de emergência, incluindo restrições à venda a descoberto de ações financeiras e outras.  Tal intervenção foi, em certos casos, implementada numa base de emergência sem grande ou qualquer aviso prévio, com a consequência de que a capacidade de alguns participantes no mercado para continuarem a aplicar determinadas estratégias ou a gerir o risco das suas posições em circulação foi subitamente e/ou substancialmente eliminada.  Dadas as complexidades dos mercados financeiros globais e o prazo limitado dentro do qual os governos foram capazes de agir, essas intervenções às vezes não eram claras em escopo e aplicação, resultando em incerteza que, por si só, era materialmente prejudicial ao funcionamento eficiente de tais mercados, bem como estratégias de investimento anteriormente bem-sucedidas.  É impossível prever com certeza quais restrições governamentais adicionais ou futuras podem ser impostas aos mercados e/ou o efeito de tais restrições na capacidade da Companhia de implementar o objetivo de investimento do Subfundo.  No entanto, a Companhia acredita que há uma probabilidade de aumento da regulamentação dos mercados financeiros globais e que tal aumento da regulamentação poderia ser materialmente prejudicial ao desempenho do Subfundo. </w:t>
      </w:r>
      <w:r w:rsidRPr="00716631">
        <w:rPr>
          <w:rStyle w:val="eop"/>
          <w:rFonts w:ascii="Calibri" w:hAnsi="Calibri" w:cs="Calibri"/>
          <w:color w:val="000000"/>
          <w:sz w:val="22"/>
          <w:szCs w:val="22"/>
        </w:rPr>
        <w:t> </w:t>
      </w:r>
    </w:p>
    <w:p w14:paraId="4E51FB88" w14:textId="57E0C1A6" w:rsidR="004F4DBF" w:rsidRPr="00716631" w:rsidRDefault="004F4DBF" w:rsidP="004F4DBF">
      <w:pPr>
        <w:pStyle w:val="paragraph"/>
        <w:ind w:left="-15" w:right="45"/>
        <w:jc w:val="both"/>
        <w:textAlignment w:val="baseline"/>
        <w:rPr>
          <w:rStyle w:val="eop"/>
          <w:rFonts w:ascii="Calibri" w:hAnsi="Calibri" w:cs="Calibri"/>
          <w:color w:val="000000"/>
          <w:sz w:val="22"/>
          <w:szCs w:val="22"/>
        </w:rPr>
      </w:pPr>
      <w:r w:rsidRPr="00716631">
        <w:rPr>
          <w:rStyle w:val="normaltextrun"/>
          <w:rFonts w:ascii="Calibri" w:hAnsi="Calibri" w:cs="Calibri"/>
          <w:b/>
          <w:bCs/>
          <w:color w:val="000000"/>
          <w:sz w:val="22"/>
          <w:szCs w:val="22"/>
          <w:lang w:val="pt-PT"/>
        </w:rPr>
        <w:t>Exposição ao mercado global</w:t>
      </w:r>
      <w:r w:rsidRPr="00716631">
        <w:rPr>
          <w:rStyle w:val="normaltextrun"/>
          <w:rFonts w:ascii="Calibri" w:hAnsi="Calibri" w:cs="Calibri"/>
          <w:color w:val="000000"/>
          <w:sz w:val="22"/>
          <w:szCs w:val="22"/>
          <w:lang w:val="pt-PT"/>
        </w:rPr>
        <w:t>.  Os ativos do Subfundo serão investidos em uma base global em mercados desenvolvidos e emergentes. Consequentemente, o Subfundo está sujeito a (i) risco cambial, (ii) à eventual imposição de impostos retidos na fonte, rendimentos ou impostos especiais de consumo, (iii) à ausência de normas uniformes de contabilidade, auditoria e relatórios financeiros, práticas e requisitos de divulgação e supervisão e regulamentação governamentais pouco ou potencialmente tendenciosas, e (iv) riscos econômicos e políticos, incluindo expropriação, controle cambial e potenciais restrições ao investimento e repatriamento de capital. </w:t>
      </w:r>
      <w:r w:rsidRPr="00716631">
        <w:rPr>
          <w:rStyle w:val="eop"/>
          <w:rFonts w:ascii="Calibri" w:hAnsi="Calibri" w:cs="Calibri"/>
          <w:color w:val="000000"/>
          <w:sz w:val="22"/>
          <w:szCs w:val="22"/>
        </w:rPr>
        <w:t> </w:t>
      </w:r>
    </w:p>
    <w:p w14:paraId="3A2B6F57" w14:textId="6DF6CE97" w:rsidR="004F4DBF" w:rsidRPr="00716631" w:rsidRDefault="004C5A66" w:rsidP="004F4DBF">
      <w:pPr>
        <w:pStyle w:val="paragraph"/>
        <w:ind w:left="-15" w:right="45"/>
        <w:jc w:val="both"/>
        <w:textAlignment w:val="baseline"/>
        <w:rPr>
          <w:color w:val="000000"/>
        </w:rPr>
      </w:pPr>
      <w:r w:rsidRPr="00716631">
        <w:rPr>
          <w:rFonts w:ascii="Calibri" w:hAnsi="Calibri"/>
          <w:b/>
          <w:sz w:val="22"/>
          <w:szCs w:val="22"/>
        </w:rPr>
        <w:t>Operações de hedge.</w:t>
      </w:r>
      <w:r w:rsidRPr="00716631">
        <w:rPr>
          <w:rFonts w:ascii="Calibri" w:hAnsi="Calibri"/>
          <w:sz w:val="22"/>
          <w:szCs w:val="22"/>
        </w:rPr>
        <w:t xml:space="preserve"> </w:t>
      </w:r>
      <w:r w:rsidRPr="00716631">
        <w:rPr>
          <w:rFonts w:ascii="Calibri" w:hAnsi="Calibri"/>
          <w:color w:val="000000"/>
          <w:sz w:val="22"/>
          <w:szCs w:val="22"/>
        </w:rPr>
        <w:t>E</w:t>
      </w:r>
      <w:r w:rsidR="004F4DBF" w:rsidRPr="00716631">
        <w:rPr>
          <w:rStyle w:val="normaltextrun"/>
          <w:rFonts w:ascii="Calibri" w:hAnsi="Calibri" w:cs="Calibri"/>
          <w:sz w:val="22"/>
          <w:szCs w:val="22"/>
          <w:lang w:val="pt-PT"/>
        </w:rPr>
        <w:t xml:space="preserve">mbora </w:t>
      </w:r>
      <w:r w:rsidR="004F4DBF" w:rsidRPr="00716631">
        <w:rPr>
          <w:rStyle w:val="normaltextrun"/>
          <w:rFonts w:ascii="Calibri" w:hAnsi="Calibri" w:cs="Calibri"/>
          <w:color w:val="000000"/>
          <w:sz w:val="22"/>
          <w:szCs w:val="22"/>
          <w:lang w:val="pt-PT"/>
        </w:rPr>
        <w:t xml:space="preserve">a Companhia possa utilizar uma variedade de instrumentos financeiros, como derivativos, opções, swaps de taxa de juros, swaps, </w:t>
      </w:r>
      <w:r w:rsidR="004F4DBF" w:rsidRPr="00716631">
        <w:rPr>
          <w:rStyle w:val="normaltextrun"/>
          <w:rFonts w:ascii="Calibri" w:hAnsi="Calibri" w:cs="Calibri"/>
          <w:i/>
          <w:iCs/>
          <w:color w:val="000000"/>
          <w:sz w:val="22"/>
          <w:szCs w:val="22"/>
          <w:lang w:val="pt-PT"/>
        </w:rPr>
        <w:t>caps and floors</w:t>
      </w:r>
      <w:r w:rsidR="004F4DBF" w:rsidRPr="00716631">
        <w:rPr>
          <w:rStyle w:val="normaltextrun"/>
          <w:rFonts w:ascii="Calibri" w:hAnsi="Calibri" w:cs="Calibri"/>
          <w:color w:val="000000"/>
          <w:sz w:val="22"/>
          <w:szCs w:val="22"/>
          <w:lang w:val="pt-PT"/>
        </w:rPr>
        <w:t>, contratos futuros e a termo, não pode haver garantias de que um hedge específico seja apropriado ou que um determinado risco seja medido adequadamente.  A cobertura contra um declínio no valor de uma posição não elimina flutuações nos valores desta última ou evita perdas se o valor de tal posição diminuir, mas estabelece outra posição projetada para ganhar com esses desenvolvimentos, compensando assim seu declínio.  Por conseguinte, essas operações de cobertura também limitam a oportunidade de ganhos se o valor das posições cobertas aumentar.  Assim, embora a Empresa possa entrar em transações de hedge para buscar reduzir o risco, tais transações podem resultar em um pior desempenho e um aumento do risco para o Subfundo. Além disso, o Subfundo estará sempre exposto a certos riscos, como o risco de crédito, que não pode ser coberto. </w:t>
      </w:r>
      <w:r w:rsidR="004F4DBF" w:rsidRPr="00716631">
        <w:rPr>
          <w:rStyle w:val="eop"/>
          <w:rFonts w:ascii="Calibri" w:hAnsi="Calibri" w:cs="Calibri"/>
          <w:color w:val="000000"/>
          <w:sz w:val="22"/>
          <w:szCs w:val="22"/>
        </w:rPr>
        <w:t> </w:t>
      </w:r>
    </w:p>
    <w:p w14:paraId="279E9A3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Risco de taxa de juros</w:t>
      </w:r>
      <w:r w:rsidRPr="00716631">
        <w:rPr>
          <w:rStyle w:val="normaltextrun"/>
          <w:rFonts w:ascii="Calibri" w:hAnsi="Calibri" w:cs="Calibri"/>
          <w:color w:val="000000"/>
          <w:sz w:val="22"/>
          <w:szCs w:val="22"/>
          <w:lang w:val="pt-PT"/>
        </w:rPr>
        <w:t xml:space="preserve">. O investimento em títulos de dívida está sujeito ao risco de taxa de juros.  Geralmente, espera-se que o valor dos títulos de dívida esteja inversamente correlacionado com as mudanças nas taxas de juros.  À medida que as taxas de juros aumentam, o valor de mercado dos títulos de dívida tende a diminuir.  Os títulos de dívida de longo prazo em geral estão sujeitos a uma </w:t>
      </w:r>
      <w:r w:rsidRPr="00716631">
        <w:rPr>
          <w:rStyle w:val="normaltextrun"/>
          <w:rFonts w:ascii="Calibri" w:hAnsi="Calibri" w:cs="Calibri"/>
          <w:color w:val="000000"/>
          <w:sz w:val="22"/>
          <w:szCs w:val="22"/>
          <w:lang w:val="pt-PT"/>
        </w:rPr>
        <w:lastRenderedPageBreak/>
        <w:t xml:space="preserve">maior sensibilidade às alterações das taxas de juros do que os títulos de dívida de curto prazo.  A Companhia pode tentar minimizar a exposição a mudanças nas taxas de juros por meio do uso de </w:t>
      </w:r>
      <w:r w:rsidRPr="00716631">
        <w:rPr>
          <w:rStyle w:val="normaltextrun"/>
          <w:rFonts w:ascii="Calibri" w:hAnsi="Calibri" w:cs="Calibri"/>
          <w:i/>
          <w:iCs/>
          <w:color w:val="000000"/>
          <w:sz w:val="22"/>
          <w:szCs w:val="22"/>
          <w:lang w:val="pt-PT"/>
        </w:rPr>
        <w:t>swaps</w:t>
      </w:r>
      <w:r w:rsidRPr="00716631">
        <w:rPr>
          <w:rStyle w:val="normaltextrun"/>
          <w:rFonts w:ascii="Calibri" w:hAnsi="Calibri" w:cs="Calibri"/>
          <w:color w:val="000000"/>
          <w:sz w:val="22"/>
          <w:szCs w:val="22"/>
          <w:lang w:val="pt-PT"/>
        </w:rPr>
        <w:t xml:space="preserve"> de taxas de juros, futuros e/ou opções.  No entanto, não pode haver expectativa ou garantia de que a Empresa será bem-sucedida em mitigar totalmente o impacto das mudanças nas taxas de juros. </w:t>
      </w:r>
      <w:r w:rsidRPr="00716631">
        <w:rPr>
          <w:rStyle w:val="eop"/>
          <w:rFonts w:ascii="Calibri" w:hAnsi="Calibri" w:cs="Calibri"/>
          <w:color w:val="000000"/>
          <w:sz w:val="22"/>
          <w:szCs w:val="22"/>
        </w:rPr>
        <w:t> </w:t>
      </w:r>
    </w:p>
    <w:p w14:paraId="0A8F5AF8"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Investir em estruturas de investimento coletivo</w:t>
      </w:r>
      <w:r w:rsidRPr="00716631">
        <w:rPr>
          <w:rStyle w:val="normaltextrun"/>
          <w:rFonts w:ascii="Calibri" w:hAnsi="Calibri" w:cs="Calibri"/>
          <w:color w:val="000000"/>
          <w:sz w:val="22"/>
          <w:szCs w:val="22"/>
          <w:lang w:val="pt-PT"/>
        </w:rPr>
        <w:t>.  Os ativos do SubFundo podem incluir investimentos em veículos de investimento ou estruturas de investimento coletivo (</w:t>
      </w:r>
      <w:r w:rsidRPr="00716631">
        <w:rPr>
          <w:rStyle w:val="normaltextrun"/>
          <w:rFonts w:ascii="Calibri" w:hAnsi="Calibri" w:cs="Calibri"/>
          <w:b/>
          <w:bCs/>
          <w:i/>
          <w:iCs/>
          <w:color w:val="000000"/>
          <w:sz w:val="22"/>
          <w:szCs w:val="22"/>
          <w:lang w:val="pt-PT"/>
        </w:rPr>
        <w:t>Entidades de Investimento</w:t>
      </w:r>
      <w:r w:rsidRPr="00716631">
        <w:rPr>
          <w:rStyle w:val="normaltextrun"/>
          <w:rFonts w:ascii="Calibri" w:hAnsi="Calibri" w:cs="Calibri"/>
          <w:color w:val="000000"/>
          <w:sz w:val="22"/>
          <w:szCs w:val="22"/>
          <w:lang w:val="pt-PT"/>
        </w:rPr>
        <w:t>) geridos por terceiros.  Os riscos associados ao investimento em Entidades de Investimento incluem: </w:t>
      </w:r>
      <w:r w:rsidRPr="00716631">
        <w:rPr>
          <w:rStyle w:val="eop"/>
          <w:rFonts w:ascii="Calibri" w:hAnsi="Calibri" w:cs="Calibri"/>
          <w:color w:val="000000"/>
          <w:sz w:val="22"/>
          <w:szCs w:val="22"/>
        </w:rPr>
        <w:t> </w:t>
      </w:r>
    </w:p>
    <w:p w14:paraId="38A1A2E7"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Informação imperfeita</w:t>
      </w:r>
      <w:r w:rsidRPr="00716631">
        <w:rPr>
          <w:rStyle w:val="normaltextrun"/>
          <w:rFonts w:ascii="Calibri" w:hAnsi="Calibri" w:cs="Calibri"/>
          <w:color w:val="000000"/>
          <w:sz w:val="22"/>
          <w:szCs w:val="22"/>
          <w:lang w:val="pt-PT"/>
        </w:rPr>
        <w:t>.  Embora a Empresa tente monitorar o desempenho de quaisquer Entidades de Investimento, a mesma não receberá informações perfeitas sobre os investimentos reais realizados e, em última análise, deve confiar em: (i) o gerente de investimentos ou patrocinador de cada Entidade de Investimento para operar de acordo com a estratégia de investimento ou diretrizes estabelecidas por tal gerente de investimento ou patrocinador, (ii) a exatidão das informações fornecidas por tal gestor ou patrocinador de investimentos. </w:t>
      </w:r>
      <w:r w:rsidRPr="00716631">
        <w:rPr>
          <w:rStyle w:val="eop"/>
          <w:rFonts w:ascii="Calibri" w:hAnsi="Calibri" w:cs="Calibri"/>
          <w:color w:val="000000"/>
          <w:sz w:val="22"/>
          <w:szCs w:val="22"/>
        </w:rPr>
        <w:t> </w:t>
      </w:r>
    </w:p>
    <w:p w14:paraId="2BF34459"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Tomada de decisão independente</w:t>
      </w:r>
      <w:r w:rsidRPr="00716631">
        <w:rPr>
          <w:rStyle w:val="normaltextrun"/>
          <w:rFonts w:ascii="Calibri" w:hAnsi="Calibri" w:cs="Calibri"/>
          <w:color w:val="000000"/>
          <w:sz w:val="22"/>
          <w:szCs w:val="22"/>
          <w:lang w:val="pt-PT"/>
        </w:rPr>
        <w:t>.  As decisões de investimento são tomadas de forma independente ao nível das Entidades de Investimento e é possível que alguns gestores terceiros assumam posições, que podem ser posições de compensação, no mesmo título, moeda ou mercadoria ao mesmo tempo.  Consequentemente, não há garantia de que a seleção de Entidades de Investimento resultará em uma diversificação dos estilos de investimento. </w:t>
      </w:r>
      <w:r w:rsidRPr="00716631">
        <w:rPr>
          <w:rStyle w:val="eop"/>
          <w:rFonts w:ascii="Calibri" w:hAnsi="Calibri" w:cs="Calibri"/>
          <w:color w:val="000000"/>
          <w:sz w:val="22"/>
          <w:szCs w:val="22"/>
        </w:rPr>
        <w:t> </w:t>
      </w:r>
    </w:p>
    <w:p w14:paraId="2E91C84D"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Falta de liquidez</w:t>
      </w:r>
      <w:r w:rsidRPr="00716631">
        <w:rPr>
          <w:rStyle w:val="normaltextrun"/>
          <w:rFonts w:ascii="Calibri" w:hAnsi="Calibri" w:cs="Calibri"/>
          <w:color w:val="000000"/>
          <w:sz w:val="22"/>
          <w:szCs w:val="22"/>
          <w:lang w:val="pt-PT"/>
        </w:rPr>
        <w:t>.  Embora a Companhia busque selecionar Entidades de Investimento que ofereçam a oportunidade de ter suas ações ou unidades resgatadas dentro de um prazo razoável, não pode haver garantia de que a liquidez dos investimentos sempre será suficiente para atender às solicitações de resgate conforme feitas.  A falta de liquidez em uma Entidade de Investimento também pode resultar em dificuldades na determinação do valor patrimonial líquido da Entidade de Investimento. </w:t>
      </w:r>
      <w:r w:rsidRPr="00716631">
        <w:rPr>
          <w:rStyle w:val="eop"/>
          <w:rFonts w:ascii="Calibri" w:hAnsi="Calibri" w:cs="Calibri"/>
          <w:color w:val="000000"/>
          <w:sz w:val="22"/>
          <w:szCs w:val="22"/>
        </w:rPr>
        <w:t> </w:t>
      </w:r>
    </w:p>
    <w:p w14:paraId="29BDEDC4" w14:textId="77777777" w:rsidR="004F4DBF" w:rsidRPr="00716631" w:rsidRDefault="004F4DBF" w:rsidP="004F4DBF">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Camadas de taxas</w:t>
      </w:r>
      <w:r w:rsidRPr="00716631">
        <w:rPr>
          <w:rStyle w:val="normaltextrun"/>
          <w:rFonts w:ascii="Calibri" w:hAnsi="Calibri" w:cs="Calibri"/>
          <w:color w:val="000000"/>
          <w:sz w:val="22"/>
          <w:szCs w:val="22"/>
          <w:lang w:val="pt-PT"/>
        </w:rPr>
        <w:t>.  As Entidades de Investimento normalmente pagarão taxas de administração e poderão pagar outras taxas com base no desempenho dos investimentos.  Como consequência do investimento em Entidades de Investimento, o SubFundo suportará uma parte proporcional das taxas e despesas incorridas. </w:t>
      </w:r>
      <w:r w:rsidRPr="00716631">
        <w:rPr>
          <w:rStyle w:val="eop"/>
          <w:rFonts w:ascii="Calibri" w:hAnsi="Calibri" w:cs="Calibri"/>
          <w:color w:val="000000"/>
          <w:sz w:val="22"/>
          <w:szCs w:val="22"/>
        </w:rPr>
        <w:t> </w:t>
      </w:r>
    </w:p>
    <w:p w14:paraId="4132DA5F" w14:textId="77777777" w:rsidR="00D1682F" w:rsidRPr="00716631" w:rsidRDefault="004F4DBF" w:rsidP="008B7FBB">
      <w:pPr>
        <w:pStyle w:val="paragraph"/>
        <w:numPr>
          <w:ilvl w:val="0"/>
          <w:numId w:val="12"/>
        </w:numPr>
        <w:ind w:firstLine="0"/>
        <w:jc w:val="both"/>
        <w:textAlignment w:val="baseline"/>
        <w:rPr>
          <w:rStyle w:val="eop"/>
          <w:rFonts w:ascii="Calibri" w:hAnsi="Calibri" w:cs="Calibri"/>
          <w:color w:val="000000"/>
          <w:sz w:val="22"/>
          <w:szCs w:val="22"/>
        </w:rPr>
      </w:pPr>
      <w:r w:rsidRPr="00716631">
        <w:rPr>
          <w:rStyle w:val="normaltextrun"/>
          <w:rFonts w:ascii="Calibri" w:hAnsi="Calibri" w:cs="Calibri"/>
          <w:i/>
          <w:iCs/>
          <w:color w:val="000000"/>
          <w:sz w:val="22"/>
          <w:szCs w:val="22"/>
          <w:lang w:val="pt-PT"/>
        </w:rPr>
        <w:t>Natureza dos investimentos das Entidades de Investimento</w:t>
      </w:r>
      <w:r w:rsidRPr="00716631">
        <w:rPr>
          <w:rStyle w:val="normaltextrun"/>
          <w:rFonts w:ascii="Calibri" w:hAnsi="Calibri" w:cs="Calibri"/>
          <w:color w:val="000000"/>
          <w:sz w:val="22"/>
          <w:szCs w:val="22"/>
          <w:lang w:val="pt-PT"/>
        </w:rPr>
        <w:t>.  As Entidades de Investimento podem investir e negociar ativamente instrumentos com características de risco significativas, incluindo riscos decorrentes da volatilidade de valores mobiliários, futuros financeiros, derivativos, mercados cambiais e de taxas de juros, bem como fatores de alavancagem associados à negociação nesses mercados e instrumentos e sua potencial exposição a perdas resultantes de não cumprimentos de contraparte. </w:t>
      </w:r>
      <w:r w:rsidRPr="00716631">
        <w:rPr>
          <w:rStyle w:val="eop"/>
          <w:rFonts w:ascii="Calibri" w:hAnsi="Calibri" w:cs="Calibri"/>
          <w:color w:val="000000"/>
          <w:sz w:val="22"/>
          <w:szCs w:val="22"/>
        </w:rPr>
        <w:t> </w:t>
      </w:r>
    </w:p>
    <w:p w14:paraId="0EA88509" w14:textId="2589DEBF" w:rsidR="004F4DBF" w:rsidRPr="00716631" w:rsidRDefault="00D1682F" w:rsidP="008B7FBB">
      <w:pPr>
        <w:pStyle w:val="paragraph"/>
        <w:numPr>
          <w:ilvl w:val="0"/>
          <w:numId w:val="12"/>
        </w:numPr>
        <w:ind w:firstLine="0"/>
        <w:jc w:val="both"/>
        <w:textAlignment w:val="baseline"/>
        <w:rPr>
          <w:rFonts w:ascii="Calibri" w:hAnsi="Calibri" w:cs="Calibri"/>
          <w:color w:val="000000"/>
          <w:sz w:val="22"/>
          <w:szCs w:val="22"/>
        </w:rPr>
      </w:pPr>
      <w:r w:rsidRPr="00716631">
        <w:rPr>
          <w:rStyle w:val="normaltextrun"/>
          <w:rFonts w:ascii="Calibri" w:hAnsi="Calibri" w:cs="Calibri"/>
          <w:i/>
          <w:iCs/>
          <w:color w:val="000000"/>
          <w:sz w:val="22"/>
          <w:szCs w:val="22"/>
          <w:lang w:val="pt-PT"/>
        </w:rPr>
        <w:t>N</w:t>
      </w:r>
      <w:r w:rsidR="004F4DBF" w:rsidRPr="00716631">
        <w:rPr>
          <w:rStyle w:val="normaltextrun"/>
          <w:rFonts w:ascii="Calibri" w:hAnsi="Calibri" w:cs="Calibri"/>
          <w:i/>
          <w:iCs/>
          <w:color w:val="000000"/>
          <w:sz w:val="22"/>
          <w:szCs w:val="22"/>
          <w:lang w:val="pt-PT"/>
        </w:rPr>
        <w:t>enhum papel ativo no gerenciamento</w:t>
      </w:r>
      <w:r w:rsidR="004F4DBF" w:rsidRPr="00716631">
        <w:rPr>
          <w:rStyle w:val="normaltextrun"/>
          <w:rFonts w:ascii="Calibri" w:hAnsi="Calibri" w:cs="Calibri"/>
          <w:color w:val="000000"/>
          <w:sz w:val="22"/>
          <w:szCs w:val="22"/>
          <w:lang w:val="pt-PT"/>
        </w:rPr>
        <w:t>.  A Empresa não terá um papel ativo na gestão diária das Entidades de Investimento e não controlará quaisquer decisões de investimento tomadas por gestores terceiros. </w:t>
      </w:r>
      <w:r w:rsidR="004F4DBF" w:rsidRPr="00716631">
        <w:rPr>
          <w:rStyle w:val="eop"/>
          <w:rFonts w:ascii="Calibri" w:hAnsi="Calibri" w:cs="Calibri"/>
          <w:color w:val="000000"/>
          <w:sz w:val="22"/>
          <w:szCs w:val="22"/>
        </w:rPr>
        <w:t> </w:t>
      </w:r>
    </w:p>
    <w:p w14:paraId="7204555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Investimentos em empréstimos e participações bancárias</w:t>
      </w:r>
      <w:r w:rsidRPr="00716631">
        <w:rPr>
          <w:rStyle w:val="normaltextrun"/>
          <w:rFonts w:ascii="Calibri" w:hAnsi="Calibri" w:cs="Calibri"/>
          <w:color w:val="000000"/>
          <w:sz w:val="22"/>
          <w:szCs w:val="22"/>
          <w:lang w:val="pt-PT"/>
        </w:rPr>
        <w:t>.  Os riscos associados aos investimentos em empréstimos e participações incluem (i) a possível invalidação de uma transação de investimento como uma transmissão fraudulenta sob as leis relevantes de direitos dos credores, (ii) reivindicações de responsabilidade do credor pelo emissor das obrigações, (iii) responsabilidades que possam surgir com relação a garantias de suas obrigações e (iv) limitações à capacidade da Empresa de fazer valer diretamente os direitos em relação às participações. Reclamações bem-sucedidas de terceiros decorrentes desses e de outros riscos, na ausência de má-fé, serão assumidas pelo Subfundo. </w:t>
      </w:r>
      <w:r w:rsidRPr="00716631">
        <w:rPr>
          <w:rStyle w:val="eop"/>
          <w:rFonts w:ascii="Calibri" w:hAnsi="Calibri" w:cs="Calibri"/>
          <w:color w:val="000000"/>
          <w:sz w:val="22"/>
          <w:szCs w:val="22"/>
        </w:rPr>
        <w:t> </w:t>
      </w:r>
    </w:p>
    <w:p w14:paraId="2B4B488B"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Em relação à negociação de empréstimos, diretamente ou por meio de participações, a capacidade da Empresa de adquirir ou alienar posições pode ser restringida, atrasada ou impedida na medida em que quaisquer condições para a transferência sejam satisfeitas.  Tais condições podem incluir, sem </w:t>
      </w:r>
      <w:r w:rsidRPr="00716631">
        <w:rPr>
          <w:rStyle w:val="normaltextrun"/>
          <w:rFonts w:ascii="Calibri" w:hAnsi="Calibri" w:cs="Calibri"/>
          <w:color w:val="000000"/>
          <w:sz w:val="22"/>
          <w:szCs w:val="22"/>
          <w:lang w:val="pt-PT"/>
        </w:rPr>
        <w:lastRenderedPageBreak/>
        <w:t>limitação, obrigações para a Empresa, como cessionária, de fornecer compromissos de confidencialidade satisfatórios ao mutuário, concedente de uma participação ou cedente para obter o mesmo de qualquer cessionário subsequente.  Os documentos subjacentes que regem a detenção de uma posição de empréstimo podem conter restrições à capacidade de transferir a posição deste último, incluindo que pode ser necessário o consentimento do concedente de qualquer participação.  Além disso, a iliquidez no mercado de negociação de posições de empréstimo pode afetar a capacidade da Empresa de alienar e realizar valor em relação a posições de empréstimo. </w:t>
      </w:r>
      <w:r w:rsidRPr="00716631">
        <w:rPr>
          <w:rStyle w:val="eop"/>
          <w:rFonts w:ascii="Calibri" w:hAnsi="Calibri" w:cs="Calibri"/>
          <w:color w:val="000000"/>
          <w:sz w:val="22"/>
          <w:szCs w:val="22"/>
        </w:rPr>
        <w:t> </w:t>
      </w:r>
    </w:p>
    <w:p w14:paraId="022AD73D"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Perturbações do mercado</w:t>
      </w:r>
      <w:r w:rsidRPr="00716631">
        <w:rPr>
          <w:rStyle w:val="normaltextrun"/>
          <w:rFonts w:ascii="Calibri" w:hAnsi="Calibri" w:cs="Calibri"/>
          <w:color w:val="000000"/>
          <w:sz w:val="22"/>
          <w:szCs w:val="22"/>
          <w:lang w:val="pt-PT"/>
        </w:rPr>
        <w:t>.  O Subfundo pode incorrer em perdas importantes em caso de perturbação dos mercados e outros acontecimentos extraordinários que possam afetar os mercados de uma forma que não seja consistente com as relações históricas de preços.  O risco de perda de uma desconexão com os preços históricos é agravado pelo fato de que, em mercados interrompidos, muitas posições se tornam ilíquidas. O financiamento disponível para o Subfundo pelos seus bancos, concessionários e outras contrapartes será normalmente reduzido em mercados perturbados. Tal redução pode resultar em perdas substanciais para o Subfundo. Uma súbita restrição de crédito pela comunidade de concessionários resultou em liquidações forçadas e grandes perdas para vários fundos de investimento e outros veículos.  Uma vez que as perturbações e perdas do mercado num setor podem causar efeitos em cascata noutros setores, muitos fundos de investimento e outros veículos sofreram pesadas perdas, embora não tenham sido necessariamente aplicados em investimentos relacionados com o crédito.  Além disso, as perturbações do mercado causadas por acontecimentos políticos, militares e terroristas inesperados podem, de tempos a tempos, causar perdas dramáticas para o Subfundo; e tais eventos podem resultar em estratégias de baixo risco que, de outra forma, teriam um desempenho com volatilidade e risco sem precedentes, considerando panorama histórico.  Uma bolsa financeira pode, de tempos em tempos, suspender ou limitar a negociação.  Tal suspensão poderia tornar difícil ou impossível para a Companhia liquidar as posições afetadas e, assim, expor o Subfundo a perdas.  Também não há garantia de que os mercados fora da bolsa permanecerão líquidos o suficiente para que a empresa feche posições. </w:t>
      </w:r>
      <w:r w:rsidRPr="00716631">
        <w:rPr>
          <w:rStyle w:val="eop"/>
          <w:rFonts w:ascii="Calibri" w:hAnsi="Calibri" w:cs="Calibri"/>
          <w:color w:val="000000"/>
          <w:sz w:val="22"/>
          <w:szCs w:val="22"/>
        </w:rPr>
        <w:t> </w:t>
      </w:r>
    </w:p>
    <w:p w14:paraId="408FF15D"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Liquidez de mercado</w:t>
      </w:r>
      <w:r w:rsidRPr="00716631">
        <w:rPr>
          <w:rStyle w:val="normaltextrun"/>
          <w:rFonts w:ascii="Calibri" w:hAnsi="Calibri" w:cs="Calibri"/>
          <w:color w:val="000000"/>
          <w:sz w:val="22"/>
          <w:szCs w:val="22"/>
          <w:lang w:val="pt-PT"/>
        </w:rPr>
        <w:t>.  O Subfundo pode ser adversamente afetado por uma diminuição da liquidez do mercado para os instrumentos em que investe, o que pode prejudicar a sua capacidade de ajustar as suas posições. A dimensão das posições do SubFundo pode ampliar o efeito de uma diminuição da liquidez do mercado para esses instrumentos.  As alterações na alavancagem global do mercado, a desalavancagem em consequência de uma decisão de qualquer mutuante de não oferecer crédito ou de outras contrapartes, ou ainda, a liquidação, por outros participantes no mercado, das mesmas posições ou de posições semelhantes podem também afetar negativamente o Subfundo. </w:t>
      </w:r>
      <w:r w:rsidRPr="00716631">
        <w:rPr>
          <w:rStyle w:val="eop"/>
          <w:rFonts w:ascii="Calibri" w:hAnsi="Calibri" w:cs="Calibri"/>
          <w:color w:val="000000"/>
          <w:sz w:val="22"/>
          <w:szCs w:val="22"/>
        </w:rPr>
        <w:t> </w:t>
      </w:r>
    </w:p>
    <w:p w14:paraId="6D2B4B16" w14:textId="00718144" w:rsidR="004F4DBF" w:rsidRPr="00716631" w:rsidRDefault="004F4DBF" w:rsidP="004F4DBF">
      <w:pPr>
        <w:pStyle w:val="paragraph"/>
        <w:ind w:left="-15" w:right="45"/>
        <w:jc w:val="both"/>
        <w:textAlignment w:val="baseline"/>
        <w:rPr>
          <w:rStyle w:val="eop"/>
          <w:rFonts w:ascii="Calibri" w:hAnsi="Calibri" w:cs="Calibri"/>
          <w:color w:val="000000"/>
          <w:sz w:val="22"/>
          <w:szCs w:val="22"/>
        </w:rPr>
      </w:pPr>
      <w:r w:rsidRPr="00716631">
        <w:rPr>
          <w:rStyle w:val="normaltextrun"/>
          <w:rFonts w:ascii="Calibri" w:hAnsi="Calibri" w:cs="Calibri"/>
          <w:b/>
          <w:bCs/>
          <w:color w:val="000000"/>
          <w:sz w:val="22"/>
          <w:szCs w:val="22"/>
          <w:lang w:val="pt-PT"/>
        </w:rPr>
        <w:t>Natureza dos investimentos</w:t>
      </w:r>
      <w:r w:rsidRPr="00716631">
        <w:rPr>
          <w:rStyle w:val="normaltextrun"/>
          <w:rFonts w:ascii="Calibri" w:hAnsi="Calibri" w:cs="Calibri"/>
          <w:color w:val="000000"/>
          <w:sz w:val="22"/>
          <w:szCs w:val="22"/>
          <w:lang w:val="pt-PT"/>
        </w:rPr>
        <w:t xml:space="preserve">.  O Gestor  terá ampla discricionariedade na realização de investimentos para o Subfundo.  Os investimentos geralmente consistirão em vários instrumentos e outros ativos que podem ser afetados por incertezas comerciais, financeiras ou jurídicas.  Não pode haver garantia de que o Gerente de Investimentos avaliará corretamente a natureza e a magnitude dos vários fatores que podem afetar o valor e o retorno dos investimentos. Os preços dos investimentos podem ser voláteis e, ainda, uma variedade de fatores que são inerentemente difíceis de prever, como a evolução econômica e política doméstica ou internacional, pode afetar os resultados das atividades do Subfundo e o valor de seus investimentos.  Entre outras coisas, o desempenho dependerá da capacidade do Gerente de Investimentos de avaliar a importância de notícias e eventos, prever macrotendências, fazer previsões precisas sobre fatores econômicos e fundamentais e seu impacto potencial nos mercados financeiros. Movimentos inesperados nas taxas de juros, câmbio, inadimplência e </w:t>
      </w:r>
      <w:r w:rsidRPr="00716631">
        <w:rPr>
          <w:rStyle w:val="normaltextrun"/>
          <w:rFonts w:ascii="Calibri" w:hAnsi="Calibri" w:cs="Calibri"/>
          <w:i/>
          <w:iCs/>
          <w:color w:val="000000"/>
          <w:sz w:val="22"/>
          <w:szCs w:val="22"/>
          <w:lang w:val="pt-PT"/>
        </w:rPr>
        <w:t>spreads</w:t>
      </w:r>
      <w:r w:rsidRPr="00716631">
        <w:rPr>
          <w:rStyle w:val="normaltextrun"/>
          <w:rFonts w:ascii="Calibri" w:hAnsi="Calibri" w:cs="Calibri"/>
          <w:color w:val="000000"/>
          <w:sz w:val="22"/>
          <w:szCs w:val="22"/>
          <w:lang w:val="pt-PT"/>
        </w:rPr>
        <w:t xml:space="preserve"> de crédito, preços de commodities ou valores patrimoniais podem afetar adversamente o desempenho. Nenhuma garantia ou representação é feita no sentido de garantir que o objetivo de investimento do Subfundo será alcançado. </w:t>
      </w:r>
      <w:r w:rsidRPr="00716631">
        <w:rPr>
          <w:rStyle w:val="eop"/>
          <w:rFonts w:ascii="Calibri" w:hAnsi="Calibri" w:cs="Calibri"/>
          <w:color w:val="000000"/>
          <w:sz w:val="22"/>
          <w:szCs w:val="22"/>
        </w:rPr>
        <w:t> </w:t>
      </w:r>
    </w:p>
    <w:p w14:paraId="7A4675B5"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lastRenderedPageBreak/>
        <w:t>Risco geral de investimento</w:t>
      </w:r>
      <w:r w:rsidRPr="00716631">
        <w:rPr>
          <w:rStyle w:val="normaltextrun"/>
          <w:rFonts w:ascii="Calibri" w:hAnsi="Calibri" w:cs="Calibri"/>
          <w:color w:val="000000"/>
          <w:sz w:val="22"/>
          <w:szCs w:val="22"/>
          <w:lang w:val="pt-PT"/>
        </w:rPr>
        <w:t>.  Todos os investimentos do Subfundo correm o risco de perda de capital.  A natureza dos títulos a serem comprados e negociados para o Subfundo e as técnicas e estratégias de investimento a serem empregadas em um esforço para aumentar os lucros podem aumentar esse risco.  Muitos eventos imprevisíveis, incluindo ações de várias agências governamentais e eventos políticos nacionais e internacionais, podem causar flutuações acentuadas no mercado.  As alterações no ambiente macroeconômico, incluindo, por exemplo, as taxas de juros, as taxas de inflação, as condições da indústria, a concorrência, a evolução tecnológica, os acontecimentos e tendências políticas, as alterações à legislação fiscal, as taxas de câmbio, a política regulamentar, a procura de emprego e inúmeros outros fatores, podem afetar substancial e negativamente o desempenho de um investimento do Subfundo.  Nenhuma dessas condições estará sob o controle da Empresa e não pode haver garantia de que o SubFundo não incorrerá em perdas. </w:t>
      </w:r>
      <w:r w:rsidRPr="00716631">
        <w:rPr>
          <w:rStyle w:val="eop"/>
          <w:rFonts w:ascii="Calibri" w:hAnsi="Calibri" w:cs="Calibri"/>
          <w:color w:val="000000"/>
          <w:sz w:val="22"/>
          <w:szCs w:val="22"/>
        </w:rPr>
        <w:t> </w:t>
      </w:r>
    </w:p>
    <w:p w14:paraId="7C1E89CD" w14:textId="64A231F9" w:rsidR="004F4DBF" w:rsidRPr="00716631" w:rsidRDefault="00DC71DC" w:rsidP="004F4DBF">
      <w:pPr>
        <w:pStyle w:val="paragraph"/>
        <w:ind w:left="-15" w:right="45"/>
        <w:jc w:val="both"/>
        <w:textAlignment w:val="baseline"/>
        <w:rPr>
          <w:rStyle w:val="normaltextrun"/>
          <w:rFonts w:ascii="Calibri" w:hAnsi="Calibri" w:cs="Calibri"/>
          <w:sz w:val="22"/>
          <w:szCs w:val="22"/>
          <w:lang w:val="pt-PT"/>
        </w:rPr>
      </w:pPr>
      <w:r>
        <w:rPr>
          <w:rFonts w:asciiTheme="minorHAnsi" w:hAnsiTheme="minorHAnsi" w:cstheme="minorHAnsi"/>
          <w:b/>
          <w:sz w:val="22"/>
        </w:rPr>
        <w:t>Pré-pagamento</w:t>
      </w:r>
      <w:r w:rsidR="004F4DBF" w:rsidRPr="005F184E">
        <w:rPr>
          <w:rStyle w:val="normaltextrun"/>
          <w:rFonts w:asciiTheme="minorHAnsi" w:hAnsiTheme="minorHAnsi" w:cstheme="minorHAnsi"/>
          <w:b/>
          <w:bCs/>
          <w:color w:val="000000"/>
          <w:sz w:val="20"/>
          <w:szCs w:val="22"/>
          <w:lang w:val="pt-PT"/>
        </w:rPr>
        <w:t xml:space="preserve"> </w:t>
      </w:r>
      <w:r w:rsidR="004F4DBF" w:rsidRPr="00716631">
        <w:rPr>
          <w:rStyle w:val="normaltextrun"/>
          <w:rFonts w:ascii="Calibri" w:hAnsi="Calibri" w:cs="Calibri"/>
          <w:b/>
          <w:bCs/>
          <w:color w:val="000000"/>
          <w:sz w:val="22"/>
          <w:szCs w:val="22"/>
          <w:lang w:val="pt-PT"/>
        </w:rPr>
        <w:t>de títulos de dívida</w:t>
      </w:r>
      <w:r w:rsidR="004F4DBF" w:rsidRPr="00716631">
        <w:rPr>
          <w:rStyle w:val="normaltextrun"/>
          <w:rFonts w:ascii="Calibri" w:hAnsi="Calibri" w:cs="Calibri"/>
          <w:color w:val="000000"/>
          <w:sz w:val="22"/>
          <w:szCs w:val="22"/>
          <w:lang w:val="pt-PT"/>
        </w:rPr>
        <w:t xml:space="preserve">.  Muitos títulos de renda fixa, especialmente aqueles emitidos sob altas taxas de juros, preveem que o emissor possa </w:t>
      </w:r>
      <w:r w:rsidR="008C21A7" w:rsidRPr="00716631">
        <w:rPr>
          <w:rStyle w:val="normaltextrun"/>
          <w:rFonts w:ascii="Calibri" w:hAnsi="Calibri" w:cs="Calibri"/>
          <w:color w:val="000000"/>
          <w:sz w:val="22"/>
          <w:szCs w:val="22"/>
          <w:lang w:val="pt-PT"/>
        </w:rPr>
        <w:t>recompr</w:t>
      </w:r>
      <w:r w:rsidR="00672A15" w:rsidRPr="00716631">
        <w:rPr>
          <w:rStyle w:val="normaltextrun"/>
          <w:rFonts w:ascii="Calibri" w:hAnsi="Calibri" w:cs="Calibri"/>
          <w:color w:val="000000"/>
          <w:sz w:val="22"/>
          <w:szCs w:val="22"/>
          <w:lang w:val="pt-PT"/>
        </w:rPr>
        <w:t>á-los</w:t>
      </w:r>
      <w:r w:rsidR="004F4DBF" w:rsidRPr="00716631">
        <w:rPr>
          <w:rStyle w:val="normaltextrun"/>
          <w:rFonts w:ascii="Calibri" w:hAnsi="Calibri" w:cs="Calibri"/>
          <w:color w:val="000000"/>
          <w:sz w:val="22"/>
          <w:szCs w:val="22"/>
          <w:lang w:val="pt-PT"/>
        </w:rPr>
        <w:t xml:space="preserve"> antecipadamente.  Os emitentes exercem frequentemente este direito quando as taxas de juro diminuem.  Assim, os detentores de títulos que podem ser chamados ou pré-pagos podem não se beneficiar totalmente do aumento de valor que outros títulos de renda fixa experimentam quando as taxas diminuem.  Nesse cenário, a Companhia poderá reinvestir os recursos do payoff nos rendimentos então vigentes, que podem ser inferiores aos pagos pelo título adquirido.  Os pré-pagamentos podem causar perdas em títulos comprados a um prêmio, e pré-pagamentos não programados, que serão feitos ao par, farão com que o SubFundo experimente uma perda igual à sua parcela proporcional de qualquer prêmio não amortizado. </w:t>
      </w:r>
      <w:r w:rsidR="004F4DBF" w:rsidRPr="00716631">
        <w:rPr>
          <w:rStyle w:val="normaltextrun"/>
          <w:lang w:val="pt-PT"/>
        </w:rPr>
        <w:t> </w:t>
      </w:r>
    </w:p>
    <w:p w14:paraId="3A9970CA"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Risco da estratégia de valor relativo</w:t>
      </w:r>
      <w:r w:rsidRPr="00716631">
        <w:rPr>
          <w:rStyle w:val="normaltextrun"/>
          <w:rFonts w:ascii="Calibri" w:hAnsi="Calibri" w:cs="Calibri"/>
          <w:color w:val="000000"/>
          <w:sz w:val="22"/>
          <w:szCs w:val="22"/>
          <w:lang w:val="pt-PT"/>
        </w:rPr>
        <w:t>.  A Companhia pode buscar estratégias de valor relativo assumindo posições longas em valores mobiliários que se acredita estarem subvalorizados e posições curtas em valores mobiliários considerados supervalorizados.  Estratégias semelhantes de valor relativo podem ser executadas com derivativos, ativos de caixa e/ou uma combinação destes.  O sucesso dessas estratégias depende da capacidade da Companhia de explorar preços errados relativos entre instrumentos inter-relacionados.  Embora as posições de valor relativo sejam consideradas como tendo um perfil de risco mais baixo do que as negociações direcionais (que tentam explorar os movimentos gerais de preços em vez de diferenciais de preços), as estratégias de valor relativo não sãoisentas de risco.  A precificação incorreta, mesmo que corretamente identificada, pode não convergir dentro do prazo dentro do qual a Companhia mantém posições.  O Subfundo pode incorrer em perdas no caso de as posições subjacentes não convergirem para as relações esperadas ou divergirem mais para as mesmas. </w:t>
      </w:r>
      <w:r w:rsidRPr="00716631">
        <w:rPr>
          <w:rStyle w:val="eop"/>
          <w:rFonts w:ascii="Calibri" w:hAnsi="Calibri" w:cs="Calibri"/>
          <w:color w:val="000000"/>
          <w:sz w:val="22"/>
          <w:szCs w:val="22"/>
        </w:rPr>
        <w:t> </w:t>
      </w:r>
    </w:p>
    <w:p w14:paraId="2B88BDD7" w14:textId="77777777" w:rsidR="004F4DBF" w:rsidRDefault="004F4DBF" w:rsidP="004F4DBF">
      <w:pPr>
        <w:pStyle w:val="paragraph"/>
        <w:ind w:left="-15" w:right="45"/>
        <w:jc w:val="both"/>
        <w:textAlignment w:val="baseline"/>
        <w:rPr>
          <w:rStyle w:val="normaltextrun"/>
          <w:lang w:val="pt-PT"/>
        </w:rPr>
      </w:pPr>
      <w:r w:rsidRPr="00716631">
        <w:rPr>
          <w:rStyle w:val="normaltextrun"/>
          <w:rFonts w:ascii="Calibri" w:hAnsi="Calibri" w:cs="Calibri"/>
          <w:color w:val="000000"/>
          <w:sz w:val="22"/>
          <w:szCs w:val="22"/>
          <w:lang w:val="pt-PT"/>
        </w:rPr>
        <w:t xml:space="preserve">As estratégias de valor da Companhia estão sujeitas aos riscos de interrupções nas relações históricas de preços, à disponibilidade restrita de crédito e à obsolescência ou imprecisão de seus modelos de avaliação ou de terceiros. Interrupções no mercado também podem forçar a Companhia prematuramente a fechar uma ou mais posições.  Tais interrupções resultaram no passado em perdas substanciais para os fundos que empregam estratégias de valor relativo.  Um componente importante da negociação de valor relativo envolve </w:t>
      </w:r>
      <w:r w:rsidRPr="00716631">
        <w:rPr>
          <w:rStyle w:val="normaltextrun"/>
          <w:rFonts w:ascii="Calibri" w:hAnsi="Calibri" w:cs="Calibri"/>
          <w:i/>
          <w:iCs/>
          <w:color w:val="000000"/>
          <w:sz w:val="22"/>
          <w:szCs w:val="22"/>
          <w:lang w:val="pt-PT"/>
        </w:rPr>
        <w:t>spreads</w:t>
      </w:r>
      <w:r w:rsidRPr="00716631">
        <w:rPr>
          <w:rStyle w:val="normaltextrun"/>
          <w:rFonts w:ascii="Calibri" w:hAnsi="Calibri" w:cs="Calibri"/>
          <w:color w:val="000000"/>
          <w:sz w:val="22"/>
          <w:szCs w:val="22"/>
          <w:lang w:val="pt-PT"/>
        </w:rPr>
        <w:t xml:space="preserve"> entre duas ou mais posições.  Na medida em que as relações de preços entre essas posições permaneçam constantes, nenhum ganho ou perda pode ocorrer. Tais posições implicam, no entanto, em um risco substancial de que o diferencial de preços possa mudar desfavoravelmente e, se alavancado, resultar em perdas. Além disso, mudanças na forma da curva de rendimento podem causar mudanças significativas na rentabilidade das operações de </w:t>
      </w:r>
      <w:r w:rsidRPr="00716631">
        <w:rPr>
          <w:rStyle w:val="normaltextrun"/>
          <w:rFonts w:ascii="Calibri" w:hAnsi="Calibri" w:cs="Calibri"/>
          <w:i/>
          <w:color w:val="000000"/>
          <w:sz w:val="22"/>
          <w:szCs w:val="22"/>
          <w:lang w:val="pt-PT"/>
        </w:rPr>
        <w:t>hedge</w:t>
      </w:r>
      <w:r w:rsidRPr="00716631">
        <w:rPr>
          <w:rStyle w:val="normaltextrun"/>
          <w:rFonts w:ascii="Calibri" w:hAnsi="Calibri" w:cs="Calibri"/>
          <w:color w:val="000000"/>
          <w:sz w:val="22"/>
          <w:szCs w:val="22"/>
          <w:lang w:val="pt-PT"/>
        </w:rPr>
        <w:t xml:space="preserve"> ou spreading. </w:t>
      </w:r>
      <w:r w:rsidRPr="00716631">
        <w:rPr>
          <w:rStyle w:val="normaltextrun"/>
          <w:lang w:val="pt-PT"/>
        </w:rPr>
        <w:t> </w:t>
      </w:r>
    </w:p>
    <w:p w14:paraId="22C18336" w14:textId="77777777" w:rsidR="00A22AA1" w:rsidRDefault="00A22AA1" w:rsidP="004F4DBF">
      <w:pPr>
        <w:pStyle w:val="paragraph"/>
        <w:ind w:left="-15" w:right="45"/>
        <w:jc w:val="both"/>
        <w:textAlignment w:val="baseline"/>
        <w:rPr>
          <w:rStyle w:val="normaltextrun"/>
          <w:lang w:val="pt-PT"/>
        </w:rPr>
      </w:pPr>
    </w:p>
    <w:p w14:paraId="6C9DA1EE" w14:textId="77777777" w:rsidR="00A22AA1" w:rsidRPr="00716631" w:rsidRDefault="00A22AA1" w:rsidP="004F4DBF">
      <w:pPr>
        <w:pStyle w:val="paragraph"/>
        <w:ind w:left="-15" w:right="45"/>
        <w:jc w:val="both"/>
        <w:textAlignment w:val="baseline"/>
        <w:rPr>
          <w:color w:val="000000"/>
        </w:rPr>
      </w:pPr>
    </w:p>
    <w:p w14:paraId="37E7AD62"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lastRenderedPageBreak/>
        <w:t>Contratos de recompra e recompra reversa</w:t>
      </w:r>
      <w:r w:rsidRPr="00716631">
        <w:rPr>
          <w:rStyle w:val="normaltextrun"/>
          <w:rFonts w:ascii="Calibri" w:hAnsi="Calibri" w:cs="Calibri"/>
          <w:color w:val="000000"/>
          <w:sz w:val="22"/>
          <w:szCs w:val="22"/>
          <w:lang w:val="pt-PT"/>
        </w:rPr>
        <w:t>.  O uso de contratos de recompra e recompra reversa envolve certos riscos.  Por exemplo, se o vendedor de valores mobiliários sob um contrato de recompra não cumprir sua obrigação de recomprar os valores mobiliários subjacentes, como resultado de sua falência ou por outro motivo, a Empresa procurará se desfazer de tais títulos, o que poderia envolver custos ou atrasos.  Se o vendedor se tornar insolvente e sujeito à liquidação ou reorganização sob a falência aplicável ou outras leis, a capacidade da Empresa de alienar os valores mobiliários subjacentes pode ser restrita. Finalmente, é possível que a Companhia não seja capaz de fundamentar sua participação nos valores mobiliários subjacentes.  Se o vendedor não conseguir recomprar os valores mobiliários, o Subfundo pode sofrer uma perda, na medida em que o produto da venda dos títulos subjacentes seja inferior ao preço de recompra.  Elementos semelhantes de risco surgem em caso de falência ou insolvência do comprador. </w:t>
      </w:r>
      <w:r w:rsidRPr="00716631">
        <w:rPr>
          <w:rStyle w:val="eop"/>
          <w:rFonts w:ascii="Calibri" w:hAnsi="Calibri" w:cs="Calibri"/>
          <w:color w:val="000000"/>
          <w:sz w:val="22"/>
          <w:szCs w:val="22"/>
        </w:rPr>
        <w:t> </w:t>
      </w:r>
    </w:p>
    <w:p w14:paraId="4DF35EFE"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Confiança em relatórios financeiros</w:t>
      </w:r>
      <w:r w:rsidRPr="00716631">
        <w:rPr>
          <w:rStyle w:val="normaltextrun"/>
          <w:rFonts w:ascii="Calibri" w:hAnsi="Calibri" w:cs="Calibri"/>
          <w:color w:val="000000"/>
          <w:sz w:val="22"/>
          <w:szCs w:val="22"/>
          <w:lang w:val="pt-PT"/>
        </w:rPr>
        <w:t>.  As estratégias de investimento aplicadas em relação ao Subfundo podem basear-se nas informações financeiras disponibilizadas pelos emitentes em que os ativos do Subfundo são investidos. A Empresa não terá capacidade de verificar de forma independente as informações financeiras disseminadas por tais emissores e depende da integridade da administração desses emissores e do processo de relatório financeiro em geral.  Eventos recentes demonstraram as perdas materiais que os investidores podem incorrer como resultado de má gestão, fraude e irregularidades contábeis corporativas (bem como de agências governamentais). </w:t>
      </w:r>
      <w:r w:rsidRPr="00716631">
        <w:rPr>
          <w:rStyle w:val="eop"/>
          <w:rFonts w:ascii="Calibri" w:hAnsi="Calibri" w:cs="Calibri"/>
          <w:color w:val="000000"/>
          <w:sz w:val="22"/>
          <w:szCs w:val="22"/>
        </w:rPr>
        <w:t> </w:t>
      </w:r>
    </w:p>
    <w:p w14:paraId="0C9020AD" w14:textId="0DF72B3B"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Gestão de riscos</w:t>
      </w:r>
      <w:r w:rsidRPr="00716631">
        <w:rPr>
          <w:rStyle w:val="normaltextrun"/>
          <w:rFonts w:ascii="Calibri" w:hAnsi="Calibri" w:cs="Calibri"/>
          <w:color w:val="000000"/>
          <w:sz w:val="22"/>
          <w:szCs w:val="22"/>
          <w:lang w:val="pt-PT"/>
        </w:rPr>
        <w:t xml:space="preserve">.  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pretende aplicar uma abordagem de gestão de risco que considere adequada para o Subfundo.  A aplicação de qualquer abordagem de gestão de riscos envolve numerosos julgamentos e avaliações qualitativas. Nenhum sistema de gestão de riscos é à prova de falhas e não se pode dar qualquer garantia de que os controles de risco adotados atingirão os seus objetivos.  De tempos em tempos, sem aviso prévio aos Acionistas, 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s poderá modificar ou alterar o sistema de gestão de riscos e os procedimentos adotados para o Subfundo. </w:t>
      </w:r>
      <w:r w:rsidRPr="00716631">
        <w:rPr>
          <w:rStyle w:val="eop"/>
          <w:rFonts w:ascii="Calibri" w:hAnsi="Calibri" w:cs="Calibri"/>
          <w:color w:val="000000"/>
          <w:sz w:val="22"/>
          <w:szCs w:val="22"/>
        </w:rPr>
        <w:t> </w:t>
      </w:r>
    </w:p>
    <w:p w14:paraId="1E5C70FB"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Obrigações de dívida soberana</w:t>
      </w:r>
      <w:r w:rsidRPr="00716631">
        <w:rPr>
          <w:rStyle w:val="normaltextrun"/>
          <w:rFonts w:ascii="Calibri" w:hAnsi="Calibri" w:cs="Calibri"/>
          <w:color w:val="000000"/>
          <w:sz w:val="22"/>
          <w:szCs w:val="22"/>
          <w:lang w:val="pt-PT"/>
        </w:rPr>
        <w:t>.  Ao investir em obrigações de dívida de entidades governamentais e entidades supranacionais, o SubFundo estará exposto às consequências diretas ou indiretas das mudanças econômicas e políticas em vários países. O status econômico de um país afetará a capacidade do governo de honrar suas obrigações, enquanto as mudanças políticas em um país podem afetar a disposição de um determinado governo de fazer ou providenciar pagamentos oportunos de suas obrigações de dívida.  O investimento em obrigações de dívida de entidades supranacionais está sujeito ao risco adicional de que um ou mais governos membros possam deixar de fazer as contribuições de capital necessárias para uma determinada entidade supranacional e, como resultado, essa última possa ser incapaz de honrar seus compromissos em relação às suas obrigações de dívida. </w:t>
      </w:r>
      <w:r w:rsidRPr="00716631">
        <w:rPr>
          <w:rStyle w:val="eop"/>
          <w:rFonts w:ascii="Calibri" w:hAnsi="Calibri" w:cs="Calibri"/>
          <w:color w:val="000000"/>
          <w:sz w:val="22"/>
          <w:szCs w:val="22"/>
        </w:rPr>
        <w:t> </w:t>
      </w:r>
    </w:p>
    <w:p w14:paraId="5B670DEC"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É provável que a capacidade dos governos para efetuarem, no tempo certo, os pagamentos das suas obrigações de dívida, seja fortemente influenciada pela balança de pagamentos do emitente (incluindo o desempenho das exportações) e pelo seu acesso a créditos e investimentos internacionais. Na medida em que um país receba o pagamento das suas exportações em moedas diferentes da moeda da obrigação de dívida relevante, a capacidade desse país para efetuar pagamentos de dívida na moeda da obrigação de dívida relevante pode ser afetada negativamente.  Na medida em que um determinado país desenvolve um déficit comercial, este precisará depender de pagamentos de ajuda de governos estrangeiros ou empréstimos contínuos de governos estrangeiros, entidades supranacionais ou bancos comerciais privados.  O acesso de um determinado país a estas formas de financiamento externo pode não ser garantido e uma retirada de financiamento externo pode afetar negativamente a capacidade desse país para efetuar pagamentos das suas obrigações de dívida.  Além disso, o custo do serviço das obrigações de dívida pode ser afetado por uma mudança nas taxas de juros globais, uma vez que a maioria dessas obrigações de dívida possui taxas de juros que são ajustadas periodicamente com base nestas mesmas taxas globais. </w:t>
      </w:r>
      <w:r w:rsidRPr="00716631">
        <w:rPr>
          <w:rStyle w:val="eop"/>
          <w:rFonts w:ascii="Calibri" w:hAnsi="Calibri" w:cs="Calibri"/>
          <w:color w:val="000000"/>
          <w:sz w:val="22"/>
          <w:szCs w:val="22"/>
        </w:rPr>
        <w:t> </w:t>
      </w:r>
    </w:p>
    <w:p w14:paraId="1B8DEE2E"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lastRenderedPageBreak/>
        <w:t>Pode haver um mercado secundário limitado ou não estabelecido para alguma dívida soberana.  A redução da liquidez do mercado secundário pode ter um efeito adverso sobre o preço de mercado e a capacidade da Companhia de se desfazer de instrumentos específicos. A redução da liquidez também pode dificultar a obtenção de cotações de mercado mais precisas para fins de determinação do Valor Patrimonial Líquido.  As cotações de mercado para algumas dívidas soberanas podem estar disponíveis apenas a partir de um número limitado de revendedores e podem não representar necessariamente ofertas firmes ou preços para vendas reais. </w:t>
      </w:r>
      <w:r w:rsidRPr="00716631">
        <w:rPr>
          <w:rStyle w:val="eop"/>
          <w:rFonts w:ascii="Calibri" w:hAnsi="Calibri" w:cs="Calibri"/>
          <w:color w:val="000000"/>
          <w:sz w:val="22"/>
          <w:szCs w:val="22"/>
        </w:rPr>
        <w:t> </w:t>
      </w:r>
    </w:p>
    <w:p w14:paraId="2EF70D37"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O titular de certas obrigações de dívida soberana pode ter um recurso legal limitado em caso de não cumprimento destas essas obrigações e, quaisquer vias de recurso podem ter de ser objeto de recurso nos tribunais da própria parte faltosa.  Por conseguinte, o recurso legal pode ser significativamente diminuído.  A falência, a moratória e outras leis análogas aplicáveis aos emitentes de obrigações de dívida soberana podem ser substancialmente diferentes das aplicáveis aos emitentes de obrigações de dívida privada. </w:t>
      </w:r>
      <w:r w:rsidRPr="00716631">
        <w:rPr>
          <w:rStyle w:val="eop"/>
          <w:rFonts w:ascii="Calibri" w:hAnsi="Calibri" w:cs="Calibri"/>
          <w:color w:val="000000"/>
          <w:sz w:val="22"/>
          <w:szCs w:val="22"/>
        </w:rPr>
        <w:t> </w:t>
      </w:r>
    </w:p>
    <w:p w14:paraId="5C5CA8EC"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Considerações fiscais</w:t>
      </w:r>
      <w:r w:rsidRPr="00716631">
        <w:rPr>
          <w:rStyle w:val="normaltextrun"/>
          <w:rFonts w:ascii="Calibri" w:hAnsi="Calibri" w:cs="Calibri"/>
          <w:color w:val="000000"/>
          <w:sz w:val="22"/>
          <w:szCs w:val="22"/>
          <w:lang w:val="pt-PT"/>
        </w:rPr>
        <w:t>.  Quando o SubFundo investe em valores mobiliários que não estão sujeitos à retenção na fonte no momento da aquisição, não pode haver garantia de que o imposto não possa ser retido no futuro como resultado de qualquer alteração nas leis, tratados, regras ou regulamentos aplicáveis ou na interpretação dos mesmos.  O SubFundo pode não ser capaz de recuperar tal imposto retido na fonte e, portanto, qualquer alteração desse tipo pode ter um efeito adverso no Valor Patrimonial Líquido do Subfundo.  Quando o Subfundo vende títulos a descoberto que estão sujeitos a retenção na fonte no momento da venda, o preço obtido refletirá a obrigação de retenção na fonte do comprador.  No caso de, no futuro, esses títulos deixarem de ser sujeitos a retenção na fonte, o benefício dos mesmos reverterá para o comprador e não para o Subfundo. </w:t>
      </w:r>
      <w:r w:rsidRPr="00716631">
        <w:rPr>
          <w:rStyle w:val="eop"/>
          <w:rFonts w:ascii="Calibri" w:hAnsi="Calibri" w:cs="Calibri"/>
          <w:color w:val="000000"/>
          <w:sz w:val="22"/>
          <w:szCs w:val="22"/>
        </w:rPr>
        <w:t> </w:t>
      </w:r>
    </w:p>
    <w:p w14:paraId="69C95F57"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Estratégias de negociação</w:t>
      </w:r>
      <w:r w:rsidRPr="00716631">
        <w:rPr>
          <w:rStyle w:val="normaltextrun"/>
          <w:rFonts w:ascii="Calibri" w:hAnsi="Calibri" w:cs="Calibri"/>
          <w:color w:val="000000"/>
          <w:sz w:val="22"/>
          <w:szCs w:val="22"/>
          <w:lang w:val="pt-PT"/>
        </w:rPr>
        <w:t>.  Não pode haver garantia de que as estratégias de negociação específicas utilizadas para o SubFundo produzirão resultados lucrativos.  A negociação lucrativa é muitas vezes dependente da antecipação de tendências ou padrões de negociação.  Mercados sujeitos a flutuações aleatórias de preços, em vez de tendências ou padrões definidos, podem gerar uma série de negociações perdedoras. Houve períodos no passado em que os mercados foram sujeitos a movimentos de preços limitados e mal definidos, e esses períodos podem se repetir.  Qualquer fator que possa diminuir as principais tendências de preços (como controles governamentais que afetam os mercados) pode reduzir a perspectiva de lucratividade comercial futura.  Qualquer fator que dificulte a execução de negociações, como liquidez reduzida ou desenvolvimentos extremos do mercado, também pode ser prejudicial aos lucros.  A melhor estratégia de negociação, seja baseada em análise fundamental ou técnica, não será lucrativa se não houver tendências do tipo que procura seguir.  Nenhuma garantia pode ser dada de que as técnicas e estratégias do Gerente de Investimentos serão lucrativas. </w:t>
      </w:r>
      <w:r w:rsidRPr="00716631">
        <w:rPr>
          <w:rStyle w:val="eop"/>
          <w:rFonts w:ascii="Calibri" w:hAnsi="Calibri" w:cs="Calibri"/>
          <w:color w:val="000000"/>
          <w:sz w:val="22"/>
          <w:szCs w:val="22"/>
        </w:rPr>
        <w:t> </w:t>
      </w:r>
    </w:p>
    <w:p w14:paraId="6D5B853D" w14:textId="77777777"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Custos de transação</w:t>
      </w:r>
      <w:r w:rsidRPr="00716631">
        <w:rPr>
          <w:rStyle w:val="normaltextrun"/>
          <w:rFonts w:ascii="Calibri" w:hAnsi="Calibri" w:cs="Calibri"/>
          <w:color w:val="000000"/>
          <w:sz w:val="22"/>
          <w:szCs w:val="22"/>
          <w:lang w:val="pt-PT"/>
        </w:rPr>
        <w:t>.  O Subfundo é obrigado a pagar comissões de corretagem e taxas e custos de transação relacionados, que podem ser substanciais, independentemente de suas atividades de negociação serem lucrativas. O Subfundo também deve pagar suas próprias taxas e despesas operacionais e administrativas. Será necessário que o Subfundo obtenha ganhos superiores a essas taxas e custos agregados para que os Acionistas realizem um aumento no Valor Patrimonial Líquido de suas Ações Participantes.  Não pode haver garantia de que o SubFundo será capaz de alcançar tal ou qualquer valorização de seus ativos. </w:t>
      </w:r>
      <w:r w:rsidRPr="00716631">
        <w:rPr>
          <w:rStyle w:val="eop"/>
          <w:rFonts w:ascii="Calibri" w:hAnsi="Calibri" w:cs="Calibri"/>
          <w:color w:val="000000"/>
          <w:sz w:val="22"/>
          <w:szCs w:val="22"/>
        </w:rPr>
        <w:t> </w:t>
      </w:r>
    </w:p>
    <w:p w14:paraId="6B135FEE" w14:textId="30EA6BB5" w:rsidR="004F4DBF" w:rsidRPr="00716631" w:rsidRDefault="004F4DBF" w:rsidP="004F4DBF">
      <w:pPr>
        <w:pStyle w:val="paragraph"/>
        <w:ind w:left="-15" w:right="45"/>
        <w:jc w:val="both"/>
        <w:textAlignment w:val="baseline"/>
        <w:rPr>
          <w:color w:val="000000"/>
        </w:rPr>
      </w:pPr>
      <w:r w:rsidRPr="005557F6">
        <w:rPr>
          <w:rFonts w:asciiTheme="minorHAnsi" w:hAnsiTheme="minorHAnsi"/>
          <w:b/>
          <w:sz w:val="22"/>
        </w:rPr>
        <w:t>Seguindo</w:t>
      </w:r>
      <w:r w:rsidRPr="005557F6">
        <w:rPr>
          <w:rStyle w:val="normaltextrun"/>
          <w:rFonts w:ascii="Calibri" w:hAnsi="Calibri" w:cs="Calibri"/>
          <w:b/>
          <w:bCs/>
          <w:color w:val="000000"/>
          <w:sz w:val="20"/>
          <w:szCs w:val="22"/>
          <w:lang w:val="pt-PT"/>
        </w:rPr>
        <w:t xml:space="preserve"> </w:t>
      </w:r>
      <w:r w:rsidRPr="00716631">
        <w:rPr>
          <w:rStyle w:val="normaltextrun"/>
          <w:rFonts w:ascii="Calibri" w:hAnsi="Calibri" w:cs="Calibri"/>
          <w:b/>
          <w:bCs/>
          <w:color w:val="000000"/>
          <w:sz w:val="22"/>
          <w:szCs w:val="22"/>
          <w:lang w:val="pt-PT"/>
        </w:rPr>
        <w:t>tendências</w:t>
      </w:r>
      <w:r w:rsidRPr="00716631">
        <w:rPr>
          <w:rStyle w:val="normaltextrun"/>
          <w:rFonts w:ascii="Calibri" w:hAnsi="Calibri" w:cs="Calibri"/>
          <w:color w:val="000000"/>
          <w:sz w:val="22"/>
          <w:szCs w:val="22"/>
          <w:lang w:val="pt-PT"/>
        </w:rPr>
        <w:t xml:space="preserve">.  O Gestor pode utilizar modelos de preços informáticos para identificar opções aparentemente sobrefaturadas ou subvalorizadas em relação a uma norma assumida.  Além disso, podem ser utilizados modelos que analisam o preço e outras flutuações ao longo do tempo, a fim de discernir e prever tendências.  A negociação com base em tais análises está sujeita aos riscos de que os preços não aumentem ou diminuam conforme previsto pela análise, ou que as negociações ditadas </w:t>
      </w:r>
      <w:r w:rsidRPr="00716631">
        <w:rPr>
          <w:rStyle w:val="normaltextrun"/>
          <w:rFonts w:ascii="Calibri" w:hAnsi="Calibri" w:cs="Calibri"/>
          <w:color w:val="000000"/>
          <w:sz w:val="22"/>
          <w:szCs w:val="22"/>
          <w:lang w:val="pt-PT"/>
        </w:rPr>
        <w:lastRenderedPageBreak/>
        <w:t>pela análise não possam ser executadas a tempo de aproveitar as disparidades de preços.  É provável que este último risco se concretize quando numerosos</w:t>
      </w:r>
      <w:r w:rsidR="005557F6">
        <w:rPr>
          <w:rStyle w:val="normaltextrun"/>
          <w:rFonts w:ascii="Calibri" w:hAnsi="Calibri" w:cs="Calibri"/>
          <w:color w:val="000000"/>
          <w:sz w:val="22"/>
          <w:szCs w:val="22"/>
          <w:lang w:val="pt-PT"/>
        </w:rPr>
        <w:t xml:space="preserve"> formadores</w:t>
      </w:r>
      <w:r w:rsidRPr="00716631">
        <w:rPr>
          <w:rStyle w:val="normaltextrun"/>
          <w:rFonts w:ascii="Calibri" w:hAnsi="Calibri" w:cs="Calibri"/>
          <w:color w:val="000000"/>
          <w:sz w:val="22"/>
          <w:szCs w:val="22"/>
          <w:lang w:val="pt-PT"/>
        </w:rPr>
        <w:t xml:space="preserve"> de mercado utilizam análises semelhantes, todas as quais ditam a conveniência de executar contratos idênticos ou semelhantes.  No passado, houve períodos sem tendências identificáveis e, presumivelmente, esses períodos continuarão a ocorrer.  Modelos de negociação ou análises que dependem da previsão de tendências não serão lucrativos se não houver tendências identificáveis do tipo que os modelos ou análises procuram seguir. Qualquer fator que dificulte a execução de negociações, de acordo com os modelos ou sinais de análise, como uma diminuição significativa da liquidez em um determinado mercado, também seria prejudicial à lucratividade. </w:t>
      </w:r>
      <w:r w:rsidRPr="00716631">
        <w:rPr>
          <w:rStyle w:val="eop"/>
          <w:rFonts w:ascii="Calibri" w:hAnsi="Calibri" w:cs="Calibri"/>
          <w:color w:val="000000"/>
          <w:sz w:val="22"/>
          <w:szCs w:val="22"/>
        </w:rPr>
        <w:t> </w:t>
      </w:r>
    </w:p>
    <w:p w14:paraId="61542784" w14:textId="0DC767D9"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Títulos subvalorizados e sobrevalorizados</w:t>
      </w:r>
      <w:r w:rsidRPr="00716631">
        <w:rPr>
          <w:rStyle w:val="normaltextrun"/>
          <w:rFonts w:ascii="Calibri" w:hAnsi="Calibri" w:cs="Calibri"/>
          <w:color w:val="000000"/>
          <w:sz w:val="22"/>
          <w:szCs w:val="22"/>
          <w:lang w:val="pt-PT"/>
        </w:rPr>
        <w:t xml:space="preserve">.  Um dos objetivos da Companhia será identificar e investir em valores mobiliários subvalorizados e/ou supervalorizados. A identificação de oportunidades de investimento em títulos subvalorizados e sobrevalorizados é uma tarefa difícil, e não pode haver garantia de que tais oportunidades serão reconhecidas com sucesso. Embora o investimento em títulos subvalorizados e sobrevalorizados ofereça oportunidades de valorização de capital acima da média, esses investimentos envolvem um alto grau de risco financeiro e podem resultar em perdas substanciais. 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s pode fazer determinados investimentos especulativos em valores mobiliários que considere estarem subvalorizados ou sobrevalorizados.  No entanto, não pode haver garantia de que os títulos adquiridos serão, de fato, subvalorizados ou sobrevalorizados.  Além disso, a Companhia pode ser obrigada a manter posições em tais valores mobiliários por um período expressivo de tempo antes de realizar seu valor previsto.  Durante esse período, uma parcela do capital do Subfundo poderá ser comprometida com os valores mobiliários, possivelmente impedindo a Companhia de investir em outras oportunidades.  Além disso, essas aquisições podem ser financiadas com fundos emprestados e o Subfundo terá de pagar juros sobre esses fundos durante esse período de espera. </w:t>
      </w:r>
      <w:r w:rsidRPr="00716631">
        <w:rPr>
          <w:rStyle w:val="eop"/>
          <w:rFonts w:ascii="Calibri" w:hAnsi="Calibri" w:cs="Calibri"/>
          <w:color w:val="000000"/>
          <w:sz w:val="22"/>
          <w:szCs w:val="22"/>
        </w:rPr>
        <w:t> </w:t>
      </w:r>
    </w:p>
    <w:p w14:paraId="7B71A92E" w14:textId="34CCB4CB"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b/>
          <w:bCs/>
          <w:color w:val="000000"/>
          <w:sz w:val="22"/>
          <w:szCs w:val="22"/>
          <w:lang w:val="pt-PT"/>
        </w:rPr>
        <w:t>Us</w:t>
      </w:r>
      <w:r w:rsidR="00DC71DC">
        <w:rPr>
          <w:rStyle w:val="normaltextrun"/>
          <w:rFonts w:ascii="Calibri" w:hAnsi="Calibri" w:cs="Calibri"/>
          <w:b/>
          <w:bCs/>
          <w:color w:val="000000"/>
          <w:sz w:val="22"/>
          <w:szCs w:val="22"/>
          <w:lang w:val="pt-PT"/>
        </w:rPr>
        <w:t>o da</w:t>
      </w:r>
      <w:r w:rsidRPr="00716631">
        <w:rPr>
          <w:rStyle w:val="normaltextrun"/>
          <w:rFonts w:ascii="Calibri" w:hAnsi="Calibri" w:cs="Calibri"/>
          <w:b/>
          <w:bCs/>
          <w:color w:val="000000"/>
          <w:sz w:val="22"/>
          <w:szCs w:val="22"/>
          <w:lang w:val="pt-PT"/>
        </w:rPr>
        <w:t xml:space="preserve"> tecnologia da informação</w:t>
      </w:r>
      <w:r w:rsidRPr="00716631">
        <w:rPr>
          <w:rStyle w:val="normaltextrun"/>
          <w:rFonts w:ascii="Calibri" w:hAnsi="Calibri" w:cs="Calibri"/>
          <w:color w:val="000000"/>
          <w:sz w:val="22"/>
          <w:szCs w:val="22"/>
          <w:lang w:val="pt-PT"/>
        </w:rPr>
        <w:t xml:space="preserve">.  O Gestor depende de sistemas de tecnologia da informação para avaliar oportunidades, estratégias e mercados de investimento e monitorar e controlar os riscos para o Subfundo. Os sistemas de tecnologia da informação também são usados para negociar os investimentos subjacentes do Subfundo.  Uma falha de algum tipo que cause perturbações a estes sistemas de tecnologias da informação poderia limitar substancialmente a capacidade do </w:t>
      </w:r>
      <w:r w:rsidR="003E68FD" w:rsidRPr="00716631">
        <w:rPr>
          <w:rStyle w:val="normaltextrun"/>
          <w:rFonts w:ascii="Calibri" w:hAnsi="Calibri" w:cs="Calibri"/>
          <w:color w:val="000000"/>
          <w:sz w:val="22"/>
          <w:szCs w:val="22"/>
          <w:lang w:val="pt-PT"/>
        </w:rPr>
        <w:t>Gestor</w:t>
      </w:r>
      <w:r w:rsidRPr="00716631">
        <w:rPr>
          <w:rStyle w:val="normaltextrun"/>
          <w:rFonts w:ascii="Calibri" w:hAnsi="Calibri" w:cs="Calibri"/>
          <w:color w:val="000000"/>
          <w:sz w:val="22"/>
          <w:szCs w:val="22"/>
          <w:lang w:val="pt-PT"/>
        </w:rPr>
        <w:t xml:space="preserve"> para avaliar e ajustar, de forma adequada, os investimentos do Subfundo, bem como formular estratégias e proporcionar controles de risco, qualquer um dos quais poderia prejudicar o desempenho do Subfundo. </w:t>
      </w:r>
      <w:r w:rsidRPr="00716631">
        <w:rPr>
          <w:rStyle w:val="eop"/>
          <w:rFonts w:ascii="Calibri" w:hAnsi="Calibri" w:cs="Calibri"/>
          <w:color w:val="000000"/>
          <w:sz w:val="22"/>
          <w:szCs w:val="22"/>
        </w:rPr>
        <w:t> </w:t>
      </w:r>
    </w:p>
    <w:p w14:paraId="52745082" w14:textId="0BD89529" w:rsidR="004F4DBF" w:rsidRDefault="004F4DBF" w:rsidP="004F4DBF">
      <w:pPr>
        <w:pStyle w:val="paragraph"/>
        <w:ind w:left="-15" w:right="30"/>
        <w:jc w:val="both"/>
        <w:textAlignment w:val="baseline"/>
        <w:rPr>
          <w:rStyle w:val="eop"/>
          <w:rFonts w:ascii="Calibri" w:hAnsi="Calibri" w:cs="Calibri"/>
          <w:color w:val="000000"/>
          <w:sz w:val="22"/>
          <w:szCs w:val="22"/>
        </w:rPr>
      </w:pPr>
      <w:r w:rsidRPr="00716631">
        <w:rPr>
          <w:rStyle w:val="normaltextrun"/>
          <w:rFonts w:ascii="Calibri" w:hAnsi="Calibri" w:cs="Calibri"/>
          <w:b/>
          <w:bCs/>
          <w:color w:val="000000"/>
          <w:sz w:val="22"/>
          <w:szCs w:val="22"/>
          <w:lang w:val="pt-PT"/>
        </w:rPr>
        <w:t xml:space="preserve">Os fatores de risco acima e no </w:t>
      </w:r>
      <w:r w:rsidRPr="00716631">
        <w:rPr>
          <w:rStyle w:val="normaltextrun"/>
          <w:rFonts w:ascii="Calibri" w:hAnsi="Calibri" w:cs="Calibri"/>
          <w:b/>
          <w:bCs/>
          <w:i/>
          <w:iCs/>
          <w:color w:val="000000"/>
          <w:sz w:val="22"/>
          <w:szCs w:val="22"/>
          <w:lang w:val="pt-PT"/>
        </w:rPr>
        <w:t>Prospectus</w:t>
      </w:r>
      <w:r w:rsidRPr="00716631">
        <w:rPr>
          <w:rStyle w:val="normaltextrun"/>
          <w:rFonts w:ascii="Calibri" w:hAnsi="Calibri" w:cs="Calibri"/>
          <w:b/>
          <w:bCs/>
          <w:color w:val="000000"/>
          <w:sz w:val="22"/>
          <w:szCs w:val="22"/>
          <w:lang w:val="pt-PT"/>
        </w:rPr>
        <w:t xml:space="preserve"> não pretendem ser uma lista completa dos riscos associados ao Subfundo. Também não pretendem ser uma explicação completa dos riscos envolvidos num investimento no Subfundo.  Um potencial investidor deve ler o </w:t>
      </w:r>
      <w:r w:rsidRPr="00716631">
        <w:rPr>
          <w:rStyle w:val="normaltextrun"/>
          <w:rFonts w:ascii="Calibri" w:hAnsi="Calibri" w:cs="Calibri"/>
          <w:b/>
          <w:bCs/>
          <w:i/>
          <w:iCs/>
          <w:color w:val="000000"/>
          <w:sz w:val="22"/>
          <w:szCs w:val="22"/>
          <w:lang w:val="pt-PT"/>
        </w:rPr>
        <w:t>Prospectus</w:t>
      </w:r>
      <w:r w:rsidRPr="00716631">
        <w:rPr>
          <w:rStyle w:val="normaltextrun"/>
          <w:rFonts w:ascii="Calibri" w:hAnsi="Calibri" w:cs="Calibri"/>
          <w:b/>
          <w:bCs/>
          <w:color w:val="000000"/>
          <w:sz w:val="22"/>
          <w:szCs w:val="22"/>
          <w:lang w:val="pt-PT"/>
        </w:rPr>
        <w:t xml:space="preserve"> e este regulamento na íntegra, bem como informar-se com os seus próprios consultores jurídicos, fiscais e financeiros antes de decidir investir no Subfundo. </w:t>
      </w:r>
      <w:r w:rsidRPr="00716631">
        <w:rPr>
          <w:rStyle w:val="pagebreaktextspan"/>
          <w:color w:val="000000"/>
        </w:rPr>
        <w:t> </w:t>
      </w:r>
      <w:r w:rsidRPr="00716631">
        <w:rPr>
          <w:rStyle w:val="eop"/>
          <w:rFonts w:ascii="Calibri" w:hAnsi="Calibri" w:cs="Calibri"/>
          <w:color w:val="000000"/>
          <w:sz w:val="22"/>
          <w:szCs w:val="22"/>
        </w:rPr>
        <w:t> </w:t>
      </w:r>
    </w:p>
    <w:p w14:paraId="7B65B9DD" w14:textId="77777777" w:rsidR="00A22AA1" w:rsidRDefault="00A22AA1" w:rsidP="004F4DBF">
      <w:pPr>
        <w:pStyle w:val="paragraph"/>
        <w:ind w:left="-15" w:right="30"/>
        <w:jc w:val="both"/>
        <w:textAlignment w:val="baseline"/>
        <w:rPr>
          <w:rStyle w:val="eop"/>
          <w:rFonts w:ascii="Calibri" w:hAnsi="Calibri" w:cs="Calibri"/>
          <w:color w:val="000000"/>
          <w:sz w:val="22"/>
          <w:szCs w:val="22"/>
        </w:rPr>
      </w:pPr>
    </w:p>
    <w:p w14:paraId="5693F67C" w14:textId="77777777" w:rsidR="00A22AA1" w:rsidRDefault="00A22AA1" w:rsidP="004F4DBF">
      <w:pPr>
        <w:pStyle w:val="paragraph"/>
        <w:ind w:left="-15" w:right="30"/>
        <w:jc w:val="both"/>
        <w:textAlignment w:val="baseline"/>
        <w:rPr>
          <w:rStyle w:val="eop"/>
          <w:rFonts w:ascii="Calibri" w:hAnsi="Calibri" w:cs="Calibri"/>
          <w:color w:val="000000"/>
          <w:sz w:val="22"/>
          <w:szCs w:val="22"/>
        </w:rPr>
      </w:pPr>
    </w:p>
    <w:p w14:paraId="61504B48" w14:textId="77777777" w:rsidR="00A22AA1" w:rsidRDefault="00A22AA1" w:rsidP="004F4DBF">
      <w:pPr>
        <w:pStyle w:val="paragraph"/>
        <w:ind w:left="-15" w:right="30"/>
        <w:jc w:val="both"/>
        <w:textAlignment w:val="baseline"/>
        <w:rPr>
          <w:rStyle w:val="eop"/>
          <w:rFonts w:ascii="Calibri" w:hAnsi="Calibri" w:cs="Calibri"/>
          <w:color w:val="000000"/>
          <w:sz w:val="22"/>
          <w:szCs w:val="22"/>
        </w:rPr>
      </w:pPr>
    </w:p>
    <w:p w14:paraId="1B172EC8" w14:textId="77777777" w:rsidR="00A22AA1" w:rsidRDefault="00A22AA1" w:rsidP="004F4DBF">
      <w:pPr>
        <w:pStyle w:val="paragraph"/>
        <w:ind w:left="-15" w:right="30"/>
        <w:jc w:val="both"/>
        <w:textAlignment w:val="baseline"/>
        <w:rPr>
          <w:rStyle w:val="eop"/>
          <w:rFonts w:ascii="Calibri" w:hAnsi="Calibri" w:cs="Calibri"/>
          <w:color w:val="000000"/>
          <w:sz w:val="22"/>
          <w:szCs w:val="22"/>
        </w:rPr>
      </w:pPr>
    </w:p>
    <w:p w14:paraId="07AD3134" w14:textId="77777777" w:rsidR="00A22AA1" w:rsidRDefault="00A22AA1" w:rsidP="004F4DBF">
      <w:pPr>
        <w:pStyle w:val="paragraph"/>
        <w:ind w:left="-15" w:right="30"/>
        <w:jc w:val="both"/>
        <w:textAlignment w:val="baseline"/>
        <w:rPr>
          <w:rStyle w:val="eop"/>
          <w:rFonts w:ascii="Calibri" w:hAnsi="Calibri" w:cs="Calibri"/>
          <w:color w:val="000000"/>
          <w:sz w:val="22"/>
          <w:szCs w:val="22"/>
        </w:rPr>
      </w:pPr>
    </w:p>
    <w:p w14:paraId="6E18D5F3" w14:textId="77777777" w:rsidR="00A22AA1" w:rsidRPr="00716631" w:rsidRDefault="00A22AA1" w:rsidP="004F4DBF">
      <w:pPr>
        <w:pStyle w:val="paragraph"/>
        <w:ind w:left="-15" w:right="30"/>
        <w:jc w:val="both"/>
        <w:textAlignment w:val="baseline"/>
        <w:rPr>
          <w:rStyle w:val="eop"/>
          <w:rFonts w:ascii="Calibri" w:hAnsi="Calibri" w:cs="Calibri"/>
          <w:color w:val="000000"/>
          <w:sz w:val="22"/>
          <w:szCs w:val="22"/>
        </w:rPr>
      </w:pPr>
    </w:p>
    <w:p w14:paraId="53415C60" w14:textId="77777777" w:rsidR="004F4DBF" w:rsidRPr="00716631" w:rsidRDefault="004F4DBF" w:rsidP="004F4DBF">
      <w:pPr>
        <w:pStyle w:val="paragraph"/>
        <w:ind w:right="45"/>
        <w:jc w:val="center"/>
        <w:textAlignment w:val="baseline"/>
        <w:rPr>
          <w:b/>
          <w:bCs/>
          <w:color w:val="3A5DAE"/>
        </w:rPr>
      </w:pPr>
      <w:r w:rsidRPr="00716631">
        <w:rPr>
          <w:rStyle w:val="normaltextrun"/>
          <w:rFonts w:ascii="Calibri" w:hAnsi="Calibri" w:cs="Calibri"/>
          <w:b/>
          <w:bCs/>
          <w:color w:val="3A5DAE"/>
          <w:sz w:val="28"/>
          <w:szCs w:val="28"/>
          <w:lang w:val="pt-PT"/>
        </w:rPr>
        <w:lastRenderedPageBreak/>
        <w:t>INFORMAÇÕES E RELATÓRIOS FINANCEIROS </w:t>
      </w:r>
      <w:r w:rsidRPr="00716631">
        <w:rPr>
          <w:rStyle w:val="eop"/>
          <w:rFonts w:ascii="Calibri" w:hAnsi="Calibri" w:cs="Calibri"/>
          <w:b/>
          <w:bCs/>
          <w:color w:val="3A5DAE"/>
          <w:sz w:val="28"/>
          <w:szCs w:val="28"/>
        </w:rPr>
        <w:t> </w:t>
      </w:r>
    </w:p>
    <w:p w14:paraId="409178E8" w14:textId="201E3D6F" w:rsidR="004F4DBF" w:rsidRPr="00716631" w:rsidRDefault="004F4DBF" w:rsidP="00A20024">
      <w:pPr>
        <w:pStyle w:val="paragraph"/>
        <w:ind w:left="-30"/>
        <w:textAlignment w:val="baseline"/>
        <w:rPr>
          <w:b/>
          <w:bCs/>
          <w:color w:val="3A5DAE"/>
        </w:rPr>
      </w:pPr>
      <w:r w:rsidRPr="00716631">
        <w:rPr>
          <w:rFonts w:ascii="Calibri" w:eastAsia="Calibri" w:hAnsi="Calibri" w:cs="Calibri"/>
          <w:b/>
          <w:noProof/>
          <w:color w:val="000000"/>
          <w:sz w:val="22"/>
          <w:szCs w:val="22"/>
        </w:rPr>
        <w:drawing>
          <wp:inline distT="0" distB="0" distL="0" distR="0" wp14:anchorId="4B38C76F" wp14:editId="60E96D14">
            <wp:extent cx="5810250" cy="19050"/>
            <wp:effectExtent l="0" t="0" r="0" b="0"/>
            <wp:docPr id="8" name="Imagem 8" descr="C:\Users\f6608071\AppData\Local\Microsoft\Windows\INetCache\Content.MSO\5C1779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6608071\AppData\Local\Microsoft\Windows\INetCache\Content.MSO\5C177946.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0" cy="19050"/>
                    </a:xfrm>
                    <a:prstGeom prst="rect">
                      <a:avLst/>
                    </a:prstGeom>
                    <a:noFill/>
                    <a:ln>
                      <a:noFill/>
                    </a:ln>
                  </pic:spPr>
                </pic:pic>
              </a:graphicData>
            </a:graphic>
          </wp:inline>
        </w:drawing>
      </w:r>
      <w:r w:rsidRPr="00716631">
        <w:rPr>
          <w:rStyle w:val="eop"/>
          <w:rFonts w:ascii="Calibri" w:hAnsi="Calibri" w:cs="Calibri"/>
          <w:color w:val="000000"/>
          <w:sz w:val="22"/>
          <w:szCs w:val="22"/>
        </w:rPr>
        <w:t> </w:t>
      </w:r>
      <w:r w:rsidRPr="00716631">
        <w:rPr>
          <w:rStyle w:val="normaltextrun"/>
          <w:rFonts w:ascii="Calibri" w:hAnsi="Calibri" w:cs="Calibri"/>
          <w:b/>
          <w:bCs/>
          <w:color w:val="3A5DAE"/>
          <w:sz w:val="22"/>
          <w:szCs w:val="22"/>
          <w:lang w:val="pt-PT"/>
        </w:rPr>
        <w:t>DEMONSTRAÇÕES FINANCEIRAS </w:t>
      </w:r>
      <w:r w:rsidRPr="00716631">
        <w:rPr>
          <w:rStyle w:val="eop"/>
          <w:rFonts w:ascii="Calibri" w:hAnsi="Calibri" w:cs="Calibri"/>
          <w:b/>
          <w:bCs/>
          <w:color w:val="3A5DAE"/>
          <w:sz w:val="22"/>
          <w:szCs w:val="22"/>
        </w:rPr>
        <w:t> </w:t>
      </w:r>
    </w:p>
    <w:p w14:paraId="27D8256A" w14:textId="76F958EA" w:rsidR="004F4DBF" w:rsidRPr="00716631"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As demonstrações financeiras do Subfundo serão apresentadas em dólares americanos e preparadas de acordo com as Normas Contábeis Relevantes, a menos que os Diretores considerem apropriado</w:t>
      </w:r>
      <w:r w:rsidR="00A20024">
        <w:rPr>
          <w:rStyle w:val="normaltextrun"/>
          <w:rFonts w:ascii="Calibri" w:hAnsi="Calibri" w:cs="Calibri"/>
          <w:color w:val="000000"/>
          <w:sz w:val="22"/>
          <w:szCs w:val="22"/>
          <w:lang w:val="pt-PT"/>
        </w:rPr>
        <w:t xml:space="preserve"> de outra forma</w:t>
      </w:r>
      <w:r w:rsidRPr="00716631">
        <w:rPr>
          <w:rStyle w:val="normaltextrun"/>
          <w:rFonts w:ascii="Calibri" w:hAnsi="Calibri" w:cs="Calibri"/>
          <w:color w:val="000000"/>
          <w:sz w:val="22"/>
          <w:szCs w:val="22"/>
          <w:lang w:val="pt-PT"/>
        </w:rPr>
        <w:t>.  </w:t>
      </w:r>
      <w:r w:rsidRPr="00716631">
        <w:rPr>
          <w:rStyle w:val="eop"/>
          <w:rFonts w:ascii="Calibri" w:hAnsi="Calibri" w:cs="Calibri"/>
          <w:color w:val="000000"/>
          <w:sz w:val="22"/>
          <w:szCs w:val="22"/>
        </w:rPr>
        <w:t> </w:t>
      </w:r>
    </w:p>
    <w:p w14:paraId="2A2011C6" w14:textId="5A4D4764" w:rsidR="004F4DBF" w:rsidRPr="00716631" w:rsidRDefault="004F4DBF" w:rsidP="004F4DBF">
      <w:pPr>
        <w:pStyle w:val="paragraph"/>
        <w:ind w:left="-15"/>
        <w:textAlignment w:val="baseline"/>
        <w:rPr>
          <w:b/>
          <w:bCs/>
          <w:color w:val="3A5DAE"/>
        </w:rPr>
      </w:pPr>
      <w:r w:rsidRPr="00716631">
        <w:rPr>
          <w:rStyle w:val="normaltextrun"/>
          <w:rFonts w:ascii="Calibri" w:hAnsi="Calibri" w:cs="Calibri"/>
          <w:b/>
          <w:bCs/>
          <w:color w:val="3A5DAE"/>
          <w:sz w:val="22"/>
          <w:szCs w:val="22"/>
          <w:lang w:val="pt-PT"/>
        </w:rPr>
        <w:t xml:space="preserve">REPORTE AOS </w:t>
      </w:r>
      <w:r w:rsidR="000E5B1C" w:rsidRPr="00716631">
        <w:rPr>
          <w:rStyle w:val="normaltextrun"/>
          <w:rFonts w:ascii="Calibri" w:hAnsi="Calibri" w:cs="Calibri"/>
          <w:b/>
          <w:bCs/>
          <w:color w:val="3A5DAE"/>
          <w:sz w:val="22"/>
          <w:szCs w:val="22"/>
          <w:lang w:val="pt-PT"/>
        </w:rPr>
        <w:t>QUOTISTAS</w:t>
      </w:r>
      <w:r w:rsidRPr="00716631">
        <w:rPr>
          <w:rStyle w:val="normaltextrun"/>
          <w:rFonts w:ascii="Calibri" w:hAnsi="Calibri" w:cs="Calibri"/>
          <w:b/>
          <w:bCs/>
          <w:color w:val="3A5DAE"/>
          <w:sz w:val="22"/>
          <w:szCs w:val="22"/>
          <w:lang w:val="pt-PT"/>
        </w:rPr>
        <w:t> </w:t>
      </w:r>
      <w:r w:rsidRPr="00716631">
        <w:rPr>
          <w:rStyle w:val="eop"/>
          <w:rFonts w:ascii="Calibri" w:hAnsi="Calibri" w:cs="Calibri"/>
          <w:b/>
          <w:bCs/>
          <w:color w:val="3A5DAE"/>
          <w:sz w:val="22"/>
          <w:szCs w:val="22"/>
        </w:rPr>
        <w:t> </w:t>
      </w:r>
    </w:p>
    <w:p w14:paraId="2B56B099" w14:textId="23523DFF" w:rsidR="004F4DBF" w:rsidRDefault="004F4DBF" w:rsidP="004F4DBF">
      <w:pPr>
        <w:pStyle w:val="paragraph"/>
        <w:ind w:left="-15" w:right="45"/>
        <w:jc w:val="both"/>
        <w:textAlignment w:val="baseline"/>
        <w:rPr>
          <w:color w:val="000000"/>
        </w:rPr>
      </w:pPr>
      <w:r w:rsidRPr="00716631">
        <w:rPr>
          <w:rStyle w:val="normaltextrun"/>
          <w:rFonts w:ascii="Calibri" w:hAnsi="Calibri" w:cs="Calibri"/>
          <w:color w:val="000000"/>
          <w:sz w:val="22"/>
          <w:szCs w:val="22"/>
          <w:lang w:val="pt-PT"/>
        </w:rPr>
        <w:t xml:space="preserve">Cada </w:t>
      </w:r>
      <w:r w:rsidR="009B606C" w:rsidRPr="00716631">
        <w:rPr>
          <w:rStyle w:val="normaltextrun"/>
          <w:rFonts w:ascii="Calibri" w:hAnsi="Calibri" w:cs="Calibri"/>
          <w:color w:val="000000"/>
          <w:sz w:val="22"/>
          <w:szCs w:val="22"/>
          <w:lang w:val="pt-PT"/>
        </w:rPr>
        <w:t>quotista</w:t>
      </w:r>
      <w:r w:rsidRPr="00716631">
        <w:rPr>
          <w:rStyle w:val="normaltextrun"/>
          <w:rFonts w:ascii="Calibri" w:hAnsi="Calibri" w:cs="Calibri"/>
          <w:color w:val="000000"/>
          <w:sz w:val="22"/>
          <w:szCs w:val="22"/>
          <w:lang w:val="pt-PT"/>
        </w:rPr>
        <w:t xml:space="preserve"> receberá uma cópia de um relatório anual que incluirá demonstrações financeiras auditadas do Subfundo dentro de seis meses a partir do final de cada exercício da Companhia.  Os </w:t>
      </w:r>
      <w:r w:rsidR="009B606C" w:rsidRPr="00716631">
        <w:rPr>
          <w:rStyle w:val="normaltextrun"/>
          <w:rFonts w:ascii="Calibri" w:hAnsi="Calibri" w:cs="Calibri"/>
          <w:color w:val="000000"/>
          <w:sz w:val="22"/>
          <w:szCs w:val="22"/>
          <w:lang w:val="pt-PT"/>
        </w:rPr>
        <w:t>quotistas</w:t>
      </w:r>
      <w:r w:rsidRPr="00716631">
        <w:rPr>
          <w:rStyle w:val="normaltextrun"/>
          <w:rFonts w:ascii="Calibri" w:hAnsi="Calibri" w:cs="Calibri"/>
          <w:color w:val="000000"/>
          <w:sz w:val="22"/>
          <w:szCs w:val="22"/>
          <w:lang w:val="pt-PT"/>
        </w:rPr>
        <w:t xml:space="preserve"> também receberão um relatório mensal sobre o desempenho do investimento do SubFundo.</w:t>
      </w:r>
      <w:r>
        <w:rPr>
          <w:rStyle w:val="normaltextrun"/>
          <w:rFonts w:ascii="Calibri" w:hAnsi="Calibri" w:cs="Calibri"/>
          <w:color w:val="000000"/>
          <w:sz w:val="22"/>
          <w:szCs w:val="22"/>
          <w:lang w:val="pt-PT"/>
        </w:rPr>
        <w:t>  </w:t>
      </w:r>
      <w:r>
        <w:rPr>
          <w:rStyle w:val="eop"/>
          <w:rFonts w:ascii="Calibri" w:hAnsi="Calibri" w:cs="Calibri"/>
          <w:color w:val="000000"/>
          <w:sz w:val="22"/>
          <w:szCs w:val="22"/>
        </w:rPr>
        <w:t> </w:t>
      </w:r>
    </w:p>
    <w:sectPr w:rsidR="004F4DBF">
      <w:headerReference w:type="even" r:id="rId21"/>
      <w:headerReference w:type="default" r:id="rId22"/>
      <w:footerReference w:type="even" r:id="rId23"/>
      <w:footerReference w:type="default" r:id="rId24"/>
      <w:headerReference w:type="first" r:id="rId25"/>
      <w:footerReference w:type="first" r:id="rId26"/>
      <w:pgSz w:w="11904" w:h="16840"/>
      <w:pgMar w:top="1462" w:right="1360" w:bottom="1274" w:left="1418" w:header="720" w:footer="4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0E6FC" w14:textId="77777777" w:rsidR="00663876" w:rsidRDefault="00663876">
      <w:pPr>
        <w:spacing w:after="0" w:line="240" w:lineRule="auto"/>
      </w:pPr>
      <w:r>
        <w:rPr>
          <w:lang w:val="pt"/>
        </w:rPr>
        <w:separator/>
      </w:r>
    </w:p>
  </w:endnote>
  <w:endnote w:type="continuationSeparator" w:id="0">
    <w:p w14:paraId="7872EF80" w14:textId="77777777" w:rsidR="00663876" w:rsidRDefault="00663876">
      <w:pPr>
        <w:spacing w:after="0" w:line="240" w:lineRule="auto"/>
      </w:pPr>
      <w:r>
        <w:rPr>
          <w:lang w:val="p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98CC" w14:textId="365A2865" w:rsidR="007C7477" w:rsidRDefault="007C7477">
    <w:pPr>
      <w:pStyle w:val="Rodap"/>
    </w:pPr>
  </w:p>
  <w:p w14:paraId="51FB7F8A" w14:textId="72939D2C" w:rsidR="007C7477" w:rsidRPr="00160601" w:rsidRDefault="007C7477">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F194" w14:textId="718F74C5" w:rsidR="007C7477" w:rsidRPr="00F559D7" w:rsidRDefault="007C7477">
    <w:pPr>
      <w:tabs>
        <w:tab w:val="center" w:pos="4558"/>
        <w:tab w:val="center" w:pos="8602"/>
      </w:tabs>
      <w:spacing w:after="0" w:line="259" w:lineRule="auto"/>
      <w:ind w:left="0" w:firstLine="0"/>
      <w:jc w:val="left"/>
      <w:rPr>
        <w:color w:val="3A5DAE"/>
        <w:sz w:val="16"/>
        <w:lang w:val="en-US"/>
      </w:rPr>
    </w:pPr>
    <w:r>
      <w:rPr>
        <w:noProof/>
      </w:rPr>
      <mc:AlternateContent>
        <mc:Choice Requires="wpg">
          <w:drawing>
            <wp:anchor distT="0" distB="0" distL="114300" distR="114300" simplePos="0" relativeHeight="251659264" behindDoc="0" locked="0" layoutInCell="1" allowOverlap="1" wp14:anchorId="058118AC" wp14:editId="449C2F43">
              <wp:simplePos x="0" y="0"/>
              <wp:positionH relativeFrom="page">
                <wp:posOffset>900557</wp:posOffset>
              </wp:positionH>
              <wp:positionV relativeFrom="page">
                <wp:posOffset>10143871</wp:posOffset>
              </wp:positionV>
              <wp:extent cx="5758815" cy="12192"/>
              <wp:effectExtent l="0" t="0" r="0" b="0"/>
              <wp:wrapSquare wrapText="bothSides"/>
              <wp:docPr id="25045" name="Group 25045"/>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58" name="Shape 2625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59" name="Shape 2625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0" name="Shape 2626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1" name="Shape 2626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62" name="Shape 2626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045" style="width:453.45pt;height:0.960022pt;position:absolute;mso-position-horizontal-relative:page;mso-position-horizontal:absolute;margin-left:70.91pt;mso-position-vertical-relative:page;margin-top:798.73pt;" coordsize="57588,121">
              <v:shape id="Shape 26263" style="position:absolute;width:23039;height:121;left:0;top:0;" coordsize="2303907,12192" path="m0,0l2303907,0l2303907,12192l0,12192l0,0">
                <v:stroke on="false" weight="0pt" color="#000000" opacity="0" miterlimit="10" joinstyle="miter" endcap="flat"/>
                <v:fill on="true" color="#000000"/>
              </v:shape>
              <v:shape id="Shape 26264" style="position:absolute;width:121;height:121;left:23042;top:0;" coordsize="12192,12192" path="m0,0l12192,0l12192,12192l0,12192l0,0">
                <v:stroke on="false" weight="0pt" color="#000000" opacity="0" miterlimit="10" joinstyle="miter" endcap="flat"/>
                <v:fill on="true" color="#000000"/>
              </v:shape>
              <v:shape id="Shape 26265" style="position:absolute;width:11398;height:121;left:23166;top:0;" coordsize="1139825,12192" path="m0,0l1139825,0l1139825,12192l0,12192l0,0">
                <v:stroke on="false" weight="0pt" color="#000000" opacity="0" miterlimit="10" joinstyle="miter" endcap="flat"/>
                <v:fill on="true" color="#000000"/>
              </v:shape>
              <v:shape id="Shape 26266" style="position:absolute;width:121;height:121;left:34564;top:0;" coordsize="12192,12192" path="m0,0l12192,0l12192,12192l0,12192l0,0">
                <v:stroke on="false" weight="0pt" color="#000000" opacity="0" miterlimit="10" joinstyle="miter" endcap="flat"/>
                <v:fill on="true" color="#000000"/>
              </v:shape>
              <v:shape id="Shape 2626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F559D7">
      <w:rPr>
        <w:color w:val="3A5DAE"/>
        <w:sz w:val="16"/>
        <w:lang w:val="en-US"/>
      </w:rPr>
      <w:t xml:space="preserve">The BB Fund SPC – </w:t>
    </w:r>
    <w:proofErr w:type="spellStart"/>
    <w:r w:rsidRPr="00F559D7">
      <w:rPr>
        <w:color w:val="3A5DAE"/>
        <w:sz w:val="16"/>
        <w:lang w:val="en-US"/>
      </w:rPr>
      <w:t>Subfundo</w:t>
    </w:r>
    <w:proofErr w:type="spellEnd"/>
    <w:r w:rsidRPr="00F559D7">
      <w:rPr>
        <w:color w:val="3A5DAE"/>
        <w:sz w:val="16"/>
        <w:lang w:val="en-US"/>
      </w:rPr>
      <w:t xml:space="preserve"> </w:t>
    </w:r>
    <w:r w:rsidR="008D17E7">
      <w:rPr>
        <w:color w:val="3A5DAE"/>
        <w:sz w:val="16"/>
        <w:lang w:val="en-US"/>
      </w:rPr>
      <w:t>D</w:t>
    </w:r>
    <w:r w:rsidRPr="00F559D7">
      <w:rPr>
        <w:color w:val="3A5DAE"/>
        <w:sz w:val="16"/>
        <w:lang w:val="en-US"/>
      </w:rPr>
      <w:t xml:space="preserve"> </w:t>
    </w:r>
    <w:r w:rsidRPr="00F559D7">
      <w:rPr>
        <w:color w:val="3A5DAE"/>
        <w:sz w:val="16"/>
        <w:lang w:val="en-US"/>
      </w:rPr>
      <w:tab/>
    </w:r>
    <w:r w:rsidRPr="00F559D7">
      <w:rPr>
        <w:lang w:val="en-US"/>
      </w:rPr>
      <w:t xml:space="preserve"> </w:t>
    </w:r>
    <w:r w:rsidRPr="00F559D7">
      <w:rPr>
        <w:lang w:val="en-US"/>
      </w:rPr>
      <w:tab/>
    </w:r>
    <w:r w:rsidRPr="00F559D7">
      <w:rPr>
        <w:sz w:val="16"/>
        <w:lang w:val="en-US"/>
      </w:rPr>
      <w:t>KY:4650999_1</w:t>
    </w:r>
  </w:p>
  <w:p w14:paraId="29D89AC0" w14:textId="77777777" w:rsidR="007C7477" w:rsidRPr="00F559D7" w:rsidRDefault="007C7477">
    <w:pPr>
      <w:spacing w:after="0" w:line="259" w:lineRule="auto"/>
      <w:ind w:left="0" w:firstLine="0"/>
      <w:jc w:val="left"/>
      <w:rPr>
        <w:lang w:val="en-US"/>
      </w:rPr>
    </w:pPr>
    <w:r w:rsidRPr="00F559D7">
      <w:rPr>
        <w:sz w:val="1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B3633" w14:textId="77777777" w:rsidR="007F3ED6" w:rsidRPr="007F3ED6" w:rsidRDefault="007F3ED6" w:rsidP="007F3ED6">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D9337" w14:textId="1E566C8B" w:rsidR="007C7477" w:rsidRPr="00160601" w:rsidRDefault="007C7477">
    <w:pPr>
      <w:tabs>
        <w:tab w:val="center" w:pos="4534"/>
        <w:tab w:val="right" w:pos="9074"/>
      </w:tabs>
      <w:spacing w:after="0" w:line="259" w:lineRule="auto"/>
      <w:ind w:left="0" w:firstLine="0"/>
      <w:jc w:val="left"/>
    </w:pPr>
    <w:r>
      <w:rPr>
        <w:noProof/>
      </w:rPr>
      <mc:AlternateContent>
        <mc:Choice Requires="wpg">
          <w:drawing>
            <wp:anchor distT="0" distB="0" distL="114300" distR="114300" simplePos="0" relativeHeight="251662336" behindDoc="0" locked="0" layoutInCell="1" allowOverlap="1" wp14:anchorId="73491E1A" wp14:editId="5714C940">
              <wp:simplePos x="0" y="0"/>
              <wp:positionH relativeFrom="page">
                <wp:posOffset>900557</wp:posOffset>
              </wp:positionH>
              <wp:positionV relativeFrom="page">
                <wp:posOffset>10143871</wp:posOffset>
              </wp:positionV>
              <wp:extent cx="5758815" cy="12192"/>
              <wp:effectExtent l="0" t="0" r="0" b="0"/>
              <wp:wrapSquare wrapText="bothSides"/>
              <wp:docPr id="25181" name="Group 25181"/>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98" name="Shape 2629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9" name="Shape 2629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0" name="Shape 2630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1" name="Shape 2630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02" name="Shape 2630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181" style="width:453.45pt;height:0.960022pt;position:absolute;mso-position-horizontal-relative:page;mso-position-horizontal:absolute;margin-left:70.91pt;mso-position-vertical-relative:page;margin-top:798.73pt;" coordsize="57588,121">
              <v:shape id="Shape 26303" style="position:absolute;width:23039;height:121;left:0;top:0;" coordsize="2303907,12192" path="m0,0l2303907,0l2303907,12192l0,12192l0,0">
                <v:stroke on="false" weight="0pt" color="#000000" opacity="0" miterlimit="10" joinstyle="miter" endcap="flat"/>
                <v:fill on="true" color="#000000"/>
              </v:shape>
              <v:shape id="Shape 26304" style="position:absolute;width:121;height:121;left:23042;top:0;" coordsize="12192,12192" path="m0,0l12192,0l12192,12192l0,12192l0,0">
                <v:stroke on="false" weight="0pt" color="#000000" opacity="0" miterlimit="10" joinstyle="miter" endcap="flat"/>
                <v:fill on="true" color="#000000"/>
              </v:shape>
              <v:shape id="Shape 26305" style="position:absolute;width:11398;height:121;left:23166;top:0;" coordsize="1139825,12192" path="m0,0l1139825,0l1139825,12192l0,12192l0,0">
                <v:stroke on="false" weight="0pt" color="#000000" opacity="0" miterlimit="10" joinstyle="miter" endcap="flat"/>
                <v:fill on="true" color="#000000"/>
              </v:shape>
              <v:shape id="Shape 26306" style="position:absolute;width:121;height:121;left:34564;top:0;" coordsize="12192,12192" path="m0,0l12192,0l12192,12192l0,12192l0,0">
                <v:stroke on="false" weight="0pt" color="#000000" opacity="0" miterlimit="10" joinstyle="miter" endcap="flat"/>
                <v:fill on="true" color="#000000"/>
              </v:shape>
              <v:shape id="Shape 2630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EC0AC8">
      <w:rPr>
        <w:color w:val="3A5DAE"/>
        <w:sz w:val="16"/>
        <w:lang w:val="pt"/>
      </w:rPr>
      <w:t>D</w:t>
    </w:r>
    <w:r w:rsidRPr="00816A35">
      <w:rPr>
        <w:color w:val="3A5DAE"/>
        <w:sz w:val="16"/>
        <w:lang w:val="pt"/>
      </w:rPr>
      <w:t xml:space="preserve"> </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4</w:t>
    </w:r>
    <w:r>
      <w:rPr>
        <w:lang w:val="pt"/>
      </w:rPr>
      <w:fldChar w:fldCharType="end"/>
    </w:r>
    <w:r w:rsidRPr="00816A35">
      <w:rPr>
        <w:lang w:val="pt"/>
      </w:rPr>
      <w:t xml:space="preserve"> </w:t>
    </w:r>
    <w:r w:rsidRPr="00816A35">
      <w:rPr>
        <w:lang w:val="pt"/>
      </w:rPr>
      <w:tab/>
    </w:r>
    <w:r w:rsidRPr="00816A35">
      <w:rPr>
        <w:sz w:val="16"/>
        <w:lang w:val="pt"/>
      </w:rPr>
      <w:t>KY:4650999_1</w:t>
    </w:r>
  </w:p>
  <w:p w14:paraId="62D57CDF" w14:textId="77777777" w:rsidR="007C7477" w:rsidRPr="00160601" w:rsidRDefault="007C7477">
    <w:pPr>
      <w:spacing w:after="0" w:line="259" w:lineRule="auto"/>
      <w:ind w:left="0" w:firstLine="0"/>
      <w:jc w:val="left"/>
    </w:pPr>
    <w:r w:rsidRPr="00816A35">
      <w:rPr>
        <w:sz w:val="10"/>
        <w:lang w:val="pt"/>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D689A" w14:textId="3DD08027" w:rsidR="007C7477" w:rsidRPr="00160601" w:rsidRDefault="007C7477">
    <w:pPr>
      <w:tabs>
        <w:tab w:val="center" w:pos="4534"/>
        <w:tab w:val="right" w:pos="9074"/>
      </w:tabs>
      <w:spacing w:after="0" w:line="259" w:lineRule="auto"/>
      <w:ind w:left="0" w:firstLine="0"/>
      <w:jc w:val="left"/>
    </w:pPr>
    <w:r>
      <w:rPr>
        <w:noProof/>
      </w:rPr>
      <mc:AlternateContent>
        <mc:Choice Requires="wpg">
          <w:drawing>
            <wp:anchor distT="0" distB="0" distL="114300" distR="114300" simplePos="0" relativeHeight="251663360" behindDoc="0" locked="0" layoutInCell="1" allowOverlap="1" wp14:anchorId="53797530" wp14:editId="7591A394">
              <wp:simplePos x="0" y="0"/>
              <wp:positionH relativeFrom="page">
                <wp:posOffset>900557</wp:posOffset>
              </wp:positionH>
              <wp:positionV relativeFrom="page">
                <wp:posOffset>10143871</wp:posOffset>
              </wp:positionV>
              <wp:extent cx="5758815" cy="12192"/>
              <wp:effectExtent l="0" t="0" r="0" b="0"/>
              <wp:wrapSquare wrapText="bothSides"/>
              <wp:docPr id="25152" name="Group 25152"/>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88" name="Shape 2628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9" name="Shape 2628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0" name="Shape 2629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1" name="Shape 2629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92" name="Shape 2629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152" style="width:453.45pt;height:0.960022pt;position:absolute;mso-position-horizontal-relative:page;mso-position-horizontal:absolute;margin-left:70.91pt;mso-position-vertical-relative:page;margin-top:798.73pt;" coordsize="57588,121">
              <v:shape id="Shape 26293" style="position:absolute;width:23039;height:121;left:0;top:0;" coordsize="2303907,12192" path="m0,0l2303907,0l2303907,12192l0,12192l0,0">
                <v:stroke on="false" weight="0pt" color="#000000" opacity="0" miterlimit="10" joinstyle="miter" endcap="flat"/>
                <v:fill on="true" color="#000000"/>
              </v:shape>
              <v:shape id="Shape 26294" style="position:absolute;width:121;height:121;left:23042;top:0;" coordsize="12192,12192" path="m0,0l12192,0l12192,12192l0,12192l0,0">
                <v:stroke on="false" weight="0pt" color="#000000" opacity="0" miterlimit="10" joinstyle="miter" endcap="flat"/>
                <v:fill on="true" color="#000000"/>
              </v:shape>
              <v:shape id="Shape 26295" style="position:absolute;width:11398;height:121;left:23166;top:0;" coordsize="1139825,12192" path="m0,0l1139825,0l1139825,12192l0,12192l0,0">
                <v:stroke on="false" weight="0pt" color="#000000" opacity="0" miterlimit="10" joinstyle="miter" endcap="flat"/>
                <v:fill on="true" color="#000000"/>
              </v:shape>
              <v:shape id="Shape 26296" style="position:absolute;width:121;height:121;left:34564;top:0;" coordsize="12192,12192" path="m0,0l12192,0l12192,12192l0,12192l0,0">
                <v:stroke on="false" weight="0pt" color="#000000" opacity="0" miterlimit="10" joinstyle="miter" endcap="flat"/>
                <v:fill on="true" color="#000000"/>
              </v:shape>
              <v:shape id="Shape 2629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8D17E7">
      <w:rPr>
        <w:color w:val="3A5DAE"/>
        <w:sz w:val="16"/>
        <w:lang w:val="pt"/>
      </w:rPr>
      <w:t>D</w:t>
    </w:r>
    <w:r w:rsidRPr="00816A35">
      <w:rPr>
        <w:color w:val="3A5DAE"/>
        <w:sz w:val="16"/>
        <w:lang w:val="pt"/>
      </w:rPr>
      <w:t xml:space="preserve"> </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3</w:t>
    </w:r>
    <w:r>
      <w:rPr>
        <w:lang w:val="pt"/>
      </w:rPr>
      <w:fldChar w:fldCharType="end"/>
    </w:r>
    <w:r w:rsidRPr="00816A35">
      <w:rPr>
        <w:lang w:val="pt"/>
      </w:rPr>
      <w:t xml:space="preserve"> </w:t>
    </w:r>
    <w:r w:rsidRPr="00816A35">
      <w:rPr>
        <w:lang w:val="pt"/>
      </w:rPr>
      <w:tab/>
    </w:r>
    <w:r w:rsidRPr="00816A35">
      <w:rPr>
        <w:sz w:val="16"/>
        <w:lang w:val="pt"/>
      </w:rPr>
      <w:t>KY:4650999_1</w:t>
    </w:r>
  </w:p>
  <w:p w14:paraId="18C2A06F" w14:textId="77777777" w:rsidR="007C7477" w:rsidRPr="00160601" w:rsidRDefault="007C7477">
    <w:pPr>
      <w:spacing w:after="0" w:line="259" w:lineRule="auto"/>
      <w:ind w:left="0" w:firstLine="0"/>
      <w:jc w:val="left"/>
    </w:pPr>
    <w:r w:rsidRPr="00816A35">
      <w:rPr>
        <w:sz w:val="10"/>
        <w:lang w:val="pt"/>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35FC0" w14:textId="77777777" w:rsidR="007C7477" w:rsidRPr="00160601" w:rsidRDefault="007C7477">
    <w:pPr>
      <w:tabs>
        <w:tab w:val="center" w:pos="4534"/>
        <w:tab w:val="right" w:pos="9074"/>
      </w:tabs>
      <w:spacing w:after="0" w:line="259" w:lineRule="auto"/>
      <w:ind w:left="0" w:firstLine="0"/>
      <w:jc w:val="left"/>
    </w:pPr>
    <w:r>
      <w:rPr>
        <w:noProof/>
      </w:rPr>
      <mc:AlternateContent>
        <mc:Choice Requires="wpg">
          <w:drawing>
            <wp:anchor distT="0" distB="0" distL="114300" distR="114300" simplePos="0" relativeHeight="251664384" behindDoc="0" locked="0" layoutInCell="1" allowOverlap="1" wp14:anchorId="4BD9BFFE" wp14:editId="7BA7532E">
              <wp:simplePos x="0" y="0"/>
              <wp:positionH relativeFrom="page">
                <wp:posOffset>900557</wp:posOffset>
              </wp:positionH>
              <wp:positionV relativeFrom="page">
                <wp:posOffset>10143871</wp:posOffset>
              </wp:positionV>
              <wp:extent cx="5758815" cy="12192"/>
              <wp:effectExtent l="0" t="0" r="0" b="0"/>
              <wp:wrapSquare wrapText="bothSides"/>
              <wp:docPr id="25113" name="Group 25113"/>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278" name="Shape 2627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79" name="Shape 2627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0" name="Shape 2628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1" name="Shape 2628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82" name="Shape 2628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113" style="width:453.45pt;height:0.960022pt;position:absolute;mso-position-horizontal-relative:page;mso-position-horizontal:absolute;margin-left:70.91pt;mso-position-vertical-relative:page;margin-top:798.73pt;" coordsize="57588,121">
              <v:shape id="Shape 26283" style="position:absolute;width:23039;height:121;left:0;top:0;" coordsize="2303907,12192" path="m0,0l2303907,0l2303907,12192l0,12192l0,0">
                <v:stroke on="false" weight="0pt" color="#000000" opacity="0" miterlimit="10" joinstyle="miter" endcap="flat"/>
                <v:fill on="true" color="#000000"/>
              </v:shape>
              <v:shape id="Shape 26284" style="position:absolute;width:121;height:121;left:23042;top:0;" coordsize="12192,12192" path="m0,0l12192,0l12192,12192l0,12192l0,0">
                <v:stroke on="false" weight="0pt" color="#000000" opacity="0" miterlimit="10" joinstyle="miter" endcap="flat"/>
                <v:fill on="true" color="#000000"/>
              </v:shape>
              <v:shape id="Shape 26285" style="position:absolute;width:11398;height:121;left:23166;top:0;" coordsize="1139825,12192" path="m0,0l1139825,0l1139825,12192l0,12192l0,0">
                <v:stroke on="false" weight="0pt" color="#000000" opacity="0" miterlimit="10" joinstyle="miter" endcap="flat"/>
                <v:fill on="true" color="#000000"/>
              </v:shape>
              <v:shape id="Shape 26286" style="position:absolute;width:121;height:121;left:34564;top:0;" coordsize="12192,12192" path="m0,0l12192,0l12192,12192l0,12192l0,0">
                <v:stroke on="false" weight="0pt" color="#000000" opacity="0" miterlimit="10" joinstyle="miter" endcap="flat"/>
                <v:fill on="true" color="#000000"/>
              </v:shape>
              <v:shape id="Shape 2628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TOP II </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Pr="00816A35">
      <w:rPr>
        <w:lang w:val="pt"/>
      </w:rPr>
      <w:t>1</w:t>
    </w:r>
    <w:r>
      <w:rPr>
        <w:lang w:val="pt"/>
      </w:rPr>
      <w:fldChar w:fldCharType="end"/>
    </w:r>
    <w:r w:rsidRPr="00816A35">
      <w:rPr>
        <w:lang w:val="pt"/>
      </w:rPr>
      <w:t xml:space="preserve"> </w:t>
    </w:r>
    <w:r w:rsidRPr="00816A35">
      <w:rPr>
        <w:lang w:val="pt"/>
      </w:rPr>
      <w:tab/>
    </w:r>
    <w:r w:rsidRPr="00816A35">
      <w:rPr>
        <w:sz w:val="16"/>
        <w:lang w:val="pt"/>
      </w:rPr>
      <w:t>KY:4650999_1</w:t>
    </w:r>
  </w:p>
  <w:p w14:paraId="61DD2CDA" w14:textId="77777777" w:rsidR="007C7477" w:rsidRPr="00160601" w:rsidRDefault="007C7477">
    <w:pPr>
      <w:spacing w:after="0" w:line="259" w:lineRule="auto"/>
      <w:ind w:left="0" w:firstLine="0"/>
      <w:jc w:val="left"/>
    </w:pPr>
    <w:r w:rsidRPr="00816A35">
      <w:rPr>
        <w:sz w:val="10"/>
        <w:lang w:val="pt"/>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DA965" w14:textId="1FD3D4A0" w:rsidR="007C7477" w:rsidRPr="00160601" w:rsidRDefault="007C7477">
    <w:pPr>
      <w:tabs>
        <w:tab w:val="center" w:pos="4533"/>
        <w:tab w:val="right" w:pos="9126"/>
      </w:tabs>
      <w:spacing w:after="0" w:line="259" w:lineRule="auto"/>
      <w:ind w:left="0" w:firstLine="0"/>
      <w:jc w:val="left"/>
    </w:pPr>
    <w:r>
      <w:rPr>
        <w:noProof/>
      </w:rPr>
      <mc:AlternateContent>
        <mc:Choice Requires="wpg">
          <w:drawing>
            <wp:anchor distT="0" distB="0" distL="114300" distR="114300" simplePos="0" relativeHeight="251674624" behindDoc="0" locked="0" layoutInCell="1" allowOverlap="1" wp14:anchorId="6311E12B" wp14:editId="3FF82695">
              <wp:simplePos x="0" y="0"/>
              <wp:positionH relativeFrom="page">
                <wp:posOffset>900557</wp:posOffset>
              </wp:positionH>
              <wp:positionV relativeFrom="page">
                <wp:posOffset>10143871</wp:posOffset>
              </wp:positionV>
              <wp:extent cx="5758815" cy="12192"/>
              <wp:effectExtent l="0" t="0" r="0" b="0"/>
              <wp:wrapSquare wrapText="bothSides"/>
              <wp:docPr id="25393" name="Group 25393"/>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358" name="Shape 2635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9" name="Shape 2635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0" name="Shape 2636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1" name="Shape 2636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62" name="Shape 2636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93" style="width:453.45pt;height:0.960022pt;position:absolute;mso-position-horizontal-relative:page;mso-position-horizontal:absolute;margin-left:70.91pt;mso-position-vertical-relative:page;margin-top:798.73pt;" coordsize="57588,121">
              <v:shape id="Shape 26363" style="position:absolute;width:23039;height:121;left:0;top:0;" coordsize="2303907,12192" path="m0,0l2303907,0l2303907,12192l0,12192l0,0">
                <v:stroke on="false" weight="0pt" color="#000000" opacity="0" miterlimit="10" joinstyle="miter" endcap="flat"/>
                <v:fill on="true" color="#000000"/>
              </v:shape>
              <v:shape id="Shape 26364" style="position:absolute;width:121;height:121;left:23042;top:0;" coordsize="12192,12192" path="m0,0l12192,0l12192,12192l0,12192l0,0">
                <v:stroke on="false" weight="0pt" color="#000000" opacity="0" miterlimit="10" joinstyle="miter" endcap="flat"/>
                <v:fill on="true" color="#000000"/>
              </v:shape>
              <v:shape id="Shape 26365" style="position:absolute;width:11398;height:121;left:23166;top:0;" coordsize="1139825,12192" path="m0,0l1139825,0l1139825,12192l0,12192l0,0">
                <v:stroke on="false" weight="0pt" color="#000000" opacity="0" miterlimit="10" joinstyle="miter" endcap="flat"/>
                <v:fill on="true" color="#000000"/>
              </v:shape>
              <v:shape id="Shape 26366" style="position:absolute;width:121;height:121;left:34564;top:0;" coordsize="12192,12192" path="m0,0l12192,0l12192,12192l0,12192l0,0">
                <v:stroke on="false" weight="0pt" color="#000000" opacity="0" miterlimit="10" joinstyle="miter" endcap="flat"/>
                <v:fill on="true" color="#000000"/>
              </v:shape>
              <v:shape id="Shape 2636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DC71DC">
      <w:rPr>
        <w:color w:val="3A5DAE"/>
        <w:sz w:val="16"/>
        <w:lang w:val="pt"/>
      </w:rPr>
      <w:t>D</w:t>
    </w:r>
    <w:r w:rsidRPr="00816A35">
      <w:rPr>
        <w:color w:val="3A5DAE"/>
        <w:sz w:val="16"/>
        <w:lang w:val="pt"/>
      </w:rPr>
      <w:t xml:space="preserve"> </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24</w:t>
    </w:r>
    <w:r>
      <w:rPr>
        <w:lang w:val="pt"/>
      </w:rPr>
      <w:fldChar w:fldCharType="end"/>
    </w:r>
    <w:r w:rsidRPr="00816A35">
      <w:rPr>
        <w:lang w:val="pt"/>
      </w:rPr>
      <w:t xml:space="preserve"> </w:t>
    </w:r>
    <w:r w:rsidRPr="00816A35">
      <w:rPr>
        <w:lang w:val="pt"/>
      </w:rPr>
      <w:tab/>
    </w:r>
    <w:r w:rsidRPr="00816A35">
      <w:rPr>
        <w:sz w:val="16"/>
        <w:lang w:val="pt"/>
      </w:rPr>
      <w:t>KY:4650999_1</w:t>
    </w:r>
  </w:p>
  <w:p w14:paraId="7BD88ABD" w14:textId="77777777" w:rsidR="007C7477" w:rsidRPr="00160601" w:rsidRDefault="007C7477">
    <w:pPr>
      <w:spacing w:after="0" w:line="259" w:lineRule="auto"/>
      <w:ind w:left="0" w:firstLine="0"/>
      <w:jc w:val="left"/>
    </w:pPr>
    <w:r w:rsidRPr="00816A35">
      <w:rPr>
        <w:sz w:val="10"/>
        <w:lang w:val="pt"/>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E878" w14:textId="2C9B2063" w:rsidR="007C7477" w:rsidRPr="00160601" w:rsidRDefault="007C7477">
    <w:pPr>
      <w:tabs>
        <w:tab w:val="center" w:pos="4533"/>
        <w:tab w:val="right" w:pos="9126"/>
      </w:tabs>
      <w:spacing w:after="0" w:line="259" w:lineRule="auto"/>
      <w:ind w:left="0" w:firstLine="0"/>
      <w:jc w:val="left"/>
    </w:pPr>
    <w:r>
      <w:rPr>
        <w:noProof/>
      </w:rPr>
      <mc:AlternateContent>
        <mc:Choice Requires="wpg">
          <w:drawing>
            <wp:anchor distT="0" distB="0" distL="114300" distR="114300" simplePos="0" relativeHeight="251675648" behindDoc="0" locked="0" layoutInCell="1" allowOverlap="1" wp14:anchorId="2DECF48D" wp14:editId="766E9791">
              <wp:simplePos x="0" y="0"/>
              <wp:positionH relativeFrom="page">
                <wp:posOffset>900557</wp:posOffset>
              </wp:positionH>
              <wp:positionV relativeFrom="page">
                <wp:posOffset>10143871</wp:posOffset>
              </wp:positionV>
              <wp:extent cx="5758815" cy="12192"/>
              <wp:effectExtent l="0" t="0" r="0" b="0"/>
              <wp:wrapSquare wrapText="bothSides"/>
              <wp:docPr id="25364" name="Group 25364"/>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348" name="Shape 2634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9" name="Shape 2634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0" name="Shape 2635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1" name="Shape 2635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52" name="Shape 2635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64" style="width:453.45pt;height:0.960022pt;position:absolute;mso-position-horizontal-relative:page;mso-position-horizontal:absolute;margin-left:70.91pt;mso-position-vertical-relative:page;margin-top:798.73pt;" coordsize="57588,121">
              <v:shape id="Shape 26353" style="position:absolute;width:23039;height:121;left:0;top:0;" coordsize="2303907,12192" path="m0,0l2303907,0l2303907,12192l0,12192l0,0">
                <v:stroke on="false" weight="0pt" color="#000000" opacity="0" miterlimit="10" joinstyle="miter" endcap="flat"/>
                <v:fill on="true" color="#000000"/>
              </v:shape>
              <v:shape id="Shape 26354" style="position:absolute;width:121;height:121;left:23042;top:0;" coordsize="12192,12192" path="m0,0l12192,0l12192,12192l0,12192l0,0">
                <v:stroke on="false" weight="0pt" color="#000000" opacity="0" miterlimit="10" joinstyle="miter" endcap="flat"/>
                <v:fill on="true" color="#000000"/>
              </v:shape>
              <v:shape id="Shape 26355" style="position:absolute;width:11398;height:121;left:23166;top:0;" coordsize="1139825,12192" path="m0,0l1139825,0l1139825,12192l0,12192l0,0">
                <v:stroke on="false" weight="0pt" color="#000000" opacity="0" miterlimit="10" joinstyle="miter" endcap="flat"/>
                <v:fill on="true" color="#000000"/>
              </v:shape>
              <v:shape id="Shape 26356" style="position:absolute;width:121;height:121;left:34564;top:0;" coordsize="12192,12192" path="m0,0l12192,0l12192,12192l0,12192l0,0">
                <v:stroke on="false" weight="0pt" color="#000000" opacity="0" miterlimit="10" joinstyle="miter" endcap="flat"/>
                <v:fill on="true" color="#000000"/>
              </v:shape>
              <v:shape id="Shape 2635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145E42">
      <w:rPr>
        <w:color w:val="3A5DAE"/>
        <w:sz w:val="16"/>
        <w:lang w:val="pt"/>
      </w:rPr>
      <w:t>D</w:t>
    </w:r>
    <w:r w:rsidRPr="00816A35">
      <w:rPr>
        <w:color w:val="3A5DAE"/>
        <w:sz w:val="16"/>
        <w:lang w:val="pt"/>
      </w:rPr>
      <w:t xml:space="preserve"> </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300995">
      <w:rPr>
        <w:noProof/>
        <w:lang w:val="pt"/>
      </w:rPr>
      <w:t>25</w:t>
    </w:r>
    <w:r>
      <w:rPr>
        <w:lang w:val="pt"/>
      </w:rPr>
      <w:fldChar w:fldCharType="end"/>
    </w:r>
    <w:r w:rsidRPr="00816A35">
      <w:rPr>
        <w:lang w:val="pt"/>
      </w:rPr>
      <w:t xml:space="preserve"> </w:t>
    </w:r>
    <w:r w:rsidRPr="00816A35">
      <w:rPr>
        <w:lang w:val="pt"/>
      </w:rPr>
      <w:tab/>
    </w:r>
    <w:r w:rsidRPr="00816A35">
      <w:rPr>
        <w:sz w:val="16"/>
        <w:lang w:val="pt"/>
      </w:rPr>
      <w:t>KY:4650999_1</w:t>
    </w:r>
  </w:p>
  <w:p w14:paraId="14EEFC8B" w14:textId="77777777" w:rsidR="007C7477" w:rsidRPr="00160601" w:rsidRDefault="007C7477">
    <w:pPr>
      <w:spacing w:after="0" w:line="259" w:lineRule="auto"/>
      <w:ind w:left="0" w:firstLine="0"/>
      <w:jc w:val="left"/>
    </w:pPr>
    <w:r w:rsidRPr="00816A35">
      <w:rPr>
        <w:sz w:val="10"/>
        <w:lang w:val="pt"/>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1AC54" w14:textId="5667B19B" w:rsidR="007C7477" w:rsidRPr="00160601" w:rsidRDefault="007C7477">
    <w:pPr>
      <w:tabs>
        <w:tab w:val="center" w:pos="4534"/>
        <w:tab w:val="right" w:pos="9126"/>
      </w:tabs>
      <w:spacing w:after="0" w:line="259" w:lineRule="auto"/>
      <w:ind w:left="0" w:firstLine="0"/>
      <w:jc w:val="left"/>
    </w:pPr>
    <w:r>
      <w:rPr>
        <w:noProof/>
      </w:rPr>
      <mc:AlternateContent>
        <mc:Choice Requires="wpg">
          <w:drawing>
            <wp:anchor distT="0" distB="0" distL="114300" distR="114300" simplePos="0" relativeHeight="251676672" behindDoc="0" locked="0" layoutInCell="1" allowOverlap="1" wp14:anchorId="0BB9876C" wp14:editId="678CE385">
              <wp:simplePos x="0" y="0"/>
              <wp:positionH relativeFrom="page">
                <wp:posOffset>900557</wp:posOffset>
              </wp:positionH>
              <wp:positionV relativeFrom="page">
                <wp:posOffset>10143871</wp:posOffset>
              </wp:positionV>
              <wp:extent cx="5758815" cy="12192"/>
              <wp:effectExtent l="0" t="0" r="0" b="0"/>
              <wp:wrapSquare wrapText="bothSides"/>
              <wp:docPr id="25335" name="Group 25335"/>
              <wp:cNvGraphicFramePr/>
              <a:graphic xmlns:a="http://schemas.openxmlformats.org/drawingml/2006/main">
                <a:graphicData uri="http://schemas.microsoft.com/office/word/2010/wordprocessingGroup">
                  <wpg:wgp>
                    <wpg:cNvGrpSpPr/>
                    <wpg:grpSpPr>
                      <a:xfrm>
                        <a:off x="0" y="0"/>
                        <a:ext cx="5758815" cy="12192"/>
                        <a:chOff x="0" y="0"/>
                        <a:chExt cx="5758815" cy="12192"/>
                      </a:xfrm>
                    </wpg:grpSpPr>
                    <wps:wsp>
                      <wps:cNvPr id="26338" name="Shape 26338"/>
                      <wps:cNvSpPr/>
                      <wps:spPr>
                        <a:xfrm>
                          <a:off x="0" y="0"/>
                          <a:ext cx="2303907" cy="12192"/>
                        </a:xfrm>
                        <a:custGeom>
                          <a:avLst/>
                          <a:gdLst/>
                          <a:ahLst/>
                          <a:cxnLst/>
                          <a:rect l="0" t="0" r="0" b="0"/>
                          <a:pathLst>
                            <a:path w="2303907" h="12192">
                              <a:moveTo>
                                <a:pt x="0" y="0"/>
                              </a:moveTo>
                              <a:lnTo>
                                <a:pt x="2303907" y="0"/>
                              </a:lnTo>
                              <a:lnTo>
                                <a:pt x="23039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39" name="Shape 26339"/>
                      <wps:cNvSpPr/>
                      <wps:spPr>
                        <a:xfrm>
                          <a:off x="23042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0" name="Shape 26340"/>
                      <wps:cNvSpPr/>
                      <wps:spPr>
                        <a:xfrm>
                          <a:off x="2316607" y="0"/>
                          <a:ext cx="1139825" cy="12192"/>
                        </a:xfrm>
                        <a:custGeom>
                          <a:avLst/>
                          <a:gdLst/>
                          <a:ahLst/>
                          <a:cxnLst/>
                          <a:rect l="0" t="0" r="0" b="0"/>
                          <a:pathLst>
                            <a:path w="1139825" h="12192">
                              <a:moveTo>
                                <a:pt x="0" y="0"/>
                              </a:moveTo>
                              <a:lnTo>
                                <a:pt x="1139825" y="0"/>
                              </a:lnTo>
                              <a:lnTo>
                                <a:pt x="113982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1" name="Shape 26341"/>
                      <wps:cNvSpPr/>
                      <wps:spPr>
                        <a:xfrm>
                          <a:off x="345643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42" name="Shape 26342"/>
                      <wps:cNvSpPr/>
                      <wps:spPr>
                        <a:xfrm>
                          <a:off x="3468370" y="0"/>
                          <a:ext cx="2290445" cy="12192"/>
                        </a:xfrm>
                        <a:custGeom>
                          <a:avLst/>
                          <a:gdLst/>
                          <a:ahLst/>
                          <a:cxnLst/>
                          <a:rect l="0" t="0" r="0" b="0"/>
                          <a:pathLst>
                            <a:path w="2290445" h="12192">
                              <a:moveTo>
                                <a:pt x="0" y="0"/>
                              </a:moveTo>
                              <a:lnTo>
                                <a:pt x="2290445" y="0"/>
                              </a:lnTo>
                              <a:lnTo>
                                <a:pt x="22904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5335" style="width:453.45pt;height:0.960022pt;position:absolute;mso-position-horizontal-relative:page;mso-position-horizontal:absolute;margin-left:70.91pt;mso-position-vertical-relative:page;margin-top:798.73pt;" coordsize="57588,121">
              <v:shape id="Shape 26343" style="position:absolute;width:23039;height:121;left:0;top:0;" coordsize="2303907,12192" path="m0,0l2303907,0l2303907,12192l0,12192l0,0">
                <v:stroke on="false" weight="0pt" color="#000000" opacity="0" miterlimit="10" joinstyle="miter" endcap="flat"/>
                <v:fill on="true" color="#000000"/>
              </v:shape>
              <v:shape id="Shape 26344" style="position:absolute;width:121;height:121;left:23042;top:0;" coordsize="12192,12192" path="m0,0l12192,0l12192,12192l0,12192l0,0">
                <v:stroke on="false" weight="0pt" color="#000000" opacity="0" miterlimit="10" joinstyle="miter" endcap="flat"/>
                <v:fill on="true" color="#000000"/>
              </v:shape>
              <v:shape id="Shape 26345" style="position:absolute;width:11398;height:121;left:23166;top:0;" coordsize="1139825,12192" path="m0,0l1139825,0l1139825,12192l0,12192l0,0">
                <v:stroke on="false" weight="0pt" color="#000000" opacity="0" miterlimit="10" joinstyle="miter" endcap="flat"/>
                <v:fill on="true" color="#000000"/>
              </v:shape>
              <v:shape id="Shape 26346" style="position:absolute;width:121;height:121;left:34564;top:0;" coordsize="12192,12192" path="m0,0l12192,0l12192,12192l0,12192l0,0">
                <v:stroke on="false" weight="0pt" color="#000000" opacity="0" miterlimit="10" joinstyle="miter" endcap="flat"/>
                <v:fill on="true" color="#000000"/>
              </v:shape>
              <v:shape id="Shape 26347" style="position:absolute;width:22904;height:121;left:34683;top:0;" coordsize="2290445,12192" path="m0,0l2290445,0l2290445,12192l0,12192l0,0">
                <v:stroke on="false" weight="0pt" color="#000000" opacity="0" miterlimit="10" joinstyle="miter" endcap="flat"/>
                <v:fill on="true" color="#000000"/>
              </v:shape>
              <w10:wrap type="square"/>
            </v:group>
          </w:pict>
        </mc:Fallback>
      </mc:AlternateContent>
    </w:r>
    <w:r w:rsidRPr="00816A35">
      <w:rPr>
        <w:color w:val="3A5DAE"/>
        <w:sz w:val="16"/>
        <w:lang w:val="pt"/>
      </w:rPr>
      <w:t xml:space="preserve">Fundo BB SPC – Subfundo </w:t>
    </w:r>
    <w:r w:rsidR="001439C7">
      <w:rPr>
        <w:color w:val="3A5DAE"/>
        <w:sz w:val="16"/>
        <w:lang w:val="pt"/>
      </w:rPr>
      <w:t>D</w:t>
    </w:r>
    <w:r w:rsidRPr="00816A35">
      <w:rPr>
        <w:color w:val="3A5DAE"/>
        <w:sz w:val="16"/>
        <w:lang w:val="pt"/>
      </w:rPr>
      <w:t xml:space="preserve"> </w:t>
    </w:r>
    <w:r w:rsidRPr="00816A35">
      <w:rPr>
        <w:color w:val="3A5DAE"/>
        <w:sz w:val="16"/>
        <w:lang w:val="pt"/>
      </w:rPr>
      <w:tab/>
    </w:r>
    <w:r>
      <w:rPr>
        <w:lang w:val="pt"/>
      </w:rPr>
      <w:fldChar w:fldCharType="begin"/>
    </w:r>
    <w:r w:rsidRPr="00816A35">
      <w:rPr>
        <w:lang w:val="pt"/>
      </w:rPr>
      <w:instrText xml:space="preserve"> PAGE   \* MERGEFORMAT </w:instrText>
    </w:r>
    <w:r>
      <w:rPr>
        <w:lang w:val="pt"/>
      </w:rPr>
      <w:fldChar w:fldCharType="separate"/>
    </w:r>
    <w:r w:rsidR="00AF4714">
      <w:rPr>
        <w:noProof/>
        <w:lang w:val="pt"/>
      </w:rPr>
      <w:t>5</w:t>
    </w:r>
    <w:r>
      <w:rPr>
        <w:lang w:val="pt"/>
      </w:rPr>
      <w:fldChar w:fldCharType="end"/>
    </w:r>
    <w:r w:rsidRPr="00816A35">
      <w:rPr>
        <w:lang w:val="pt"/>
      </w:rPr>
      <w:t xml:space="preserve"> </w:t>
    </w:r>
    <w:r w:rsidRPr="00816A35">
      <w:rPr>
        <w:lang w:val="pt"/>
      </w:rPr>
      <w:tab/>
    </w:r>
    <w:r w:rsidRPr="00816A35">
      <w:rPr>
        <w:sz w:val="16"/>
        <w:lang w:val="pt"/>
      </w:rPr>
      <w:t>KY:4650999_1</w:t>
    </w:r>
  </w:p>
  <w:p w14:paraId="616CFCD6" w14:textId="77777777" w:rsidR="007C7477" w:rsidRPr="00160601" w:rsidRDefault="007C7477">
    <w:pPr>
      <w:spacing w:after="0" w:line="259" w:lineRule="auto"/>
      <w:ind w:left="0" w:firstLine="0"/>
      <w:jc w:val="left"/>
    </w:pPr>
    <w:r w:rsidRPr="00816A35">
      <w:rPr>
        <w:sz w:val="10"/>
        <w:lang w:val="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FE261" w14:textId="77777777" w:rsidR="00663876" w:rsidRDefault="00663876">
      <w:pPr>
        <w:spacing w:after="0" w:line="240" w:lineRule="auto"/>
      </w:pPr>
      <w:r>
        <w:rPr>
          <w:lang w:val="pt"/>
        </w:rPr>
        <w:separator/>
      </w:r>
    </w:p>
  </w:footnote>
  <w:footnote w:type="continuationSeparator" w:id="0">
    <w:p w14:paraId="0E2D54F4" w14:textId="77777777" w:rsidR="00663876" w:rsidRDefault="00663876">
      <w:pPr>
        <w:spacing w:after="0" w:line="240" w:lineRule="auto"/>
      </w:pPr>
      <w:r>
        <w:rPr>
          <w:lang w:val="p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70D35" w14:textId="66608D8A" w:rsidR="007C7477" w:rsidRDefault="00000000">
    <w:pPr>
      <w:spacing w:after="160" w:line="259" w:lineRule="auto"/>
      <w:ind w:left="0" w:firstLine="0"/>
      <w:jc w:val="left"/>
    </w:pPr>
    <w:r>
      <w:rPr>
        <w:noProof/>
      </w:rPr>
      <w:pict w14:anchorId="1178E7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1" o:spid="_x0000_s1027" type="#_x0000_t136" style="position:absolute;margin-left:0;margin-top:0;width:580pt;height:133.85pt;rotation:315;z-index:-251613184;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87581" behindDoc="0" locked="0" layoutInCell="0" allowOverlap="1" wp14:anchorId="07FCE6E9" wp14:editId="24AEC80E">
              <wp:simplePos x="0" y="0"/>
              <wp:positionH relativeFrom="page">
                <wp:posOffset>0</wp:posOffset>
              </wp:positionH>
              <wp:positionV relativeFrom="page">
                <wp:posOffset>190500</wp:posOffset>
              </wp:positionV>
              <wp:extent cx="7559040" cy="273050"/>
              <wp:effectExtent l="0" t="0" r="0" b="12700"/>
              <wp:wrapNone/>
              <wp:docPr id="3" name="MSIPCM92a34d1cb52bc9124c74dd6b" descr="{&quot;HashCode&quot;:-1487292391,&quot;Height&quot;:842.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10247F" w14:textId="69599AEA" w:rsidR="007C7477" w:rsidRPr="00716631" w:rsidRDefault="00716631" w:rsidP="00716631">
                          <w:pPr>
                            <w:spacing w:after="0"/>
                            <w:ind w:left="0"/>
                            <w:jc w:val="right"/>
                            <w:rPr>
                              <w:sz w:val="20"/>
                            </w:rPr>
                          </w:pPr>
                          <w:r w:rsidRPr="00716631">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7FCE6E9" id="_x0000_t202" coordsize="21600,21600" o:spt="202" path="m,l,21600r21600,l21600,xe">
              <v:stroke joinstyle="miter"/>
              <v:path gradientshapeok="t" o:connecttype="rect"/>
            </v:shapetype>
            <v:shape id="MSIPCM92a34d1cb52bc9124c74dd6b" o:spid="_x0000_s1026" type="#_x0000_t202" alt="{&quot;HashCode&quot;:-1487292391,&quot;Height&quot;:842.0,&quot;Width&quot;:595.0,&quot;Placement&quot;:&quot;Header&quot;,&quot;Index&quot;:&quot;OddAndEven&quot;,&quot;Section&quot;:1,&quot;Top&quot;:0.0,&quot;Left&quot;:0.0}" style="position:absolute;margin-left:0;margin-top:15pt;width:595.2pt;height:21.5pt;z-index:25168758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" o:allowincell="f" filled="f" stroked="f" strokeweight=".5pt">
              <v:textbox inset=",0,20pt,0">
                <w:txbxContent>
                  <w:p w14:paraId="5D10247F" w14:textId="69599AEA" w:rsidR="007C7477" w:rsidRPr="00716631" w:rsidRDefault="00716631" w:rsidP="00716631">
                    <w:pPr>
                      <w:spacing w:after="0"/>
                      <w:ind w:left="0"/>
                      <w:jc w:val="right"/>
                      <w:rPr>
                        <w:sz w:val="20"/>
                      </w:rPr>
                    </w:pPr>
                    <w:r w:rsidRPr="00716631">
                      <w:rPr>
                        <w:sz w:val="20"/>
                        <w:lang w:val="pt"/>
                      </w:rPr>
                      <w:t>#interna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DAC5C" w14:textId="4AAD9AAF" w:rsidR="007C7477" w:rsidRDefault="00000000">
    <w:pPr>
      <w:pStyle w:val="Cabealho"/>
    </w:pPr>
    <w:r>
      <w:rPr>
        <w:noProof/>
      </w:rPr>
      <w:pict w14:anchorId="09A99B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2" o:spid="_x0000_s1028" type="#_x0000_t136" style="position:absolute;margin-left:0;margin-top:0;width:580pt;height:133.85pt;rotation:315;z-index:-251611136;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8814" behindDoc="0" locked="0" layoutInCell="0" allowOverlap="1" wp14:anchorId="27F63B22" wp14:editId="5D071712">
              <wp:simplePos x="0" y="0"/>
              <wp:positionH relativeFrom="page">
                <wp:posOffset>0</wp:posOffset>
              </wp:positionH>
              <wp:positionV relativeFrom="page">
                <wp:posOffset>190500</wp:posOffset>
              </wp:positionV>
              <wp:extent cx="7559040" cy="273050"/>
              <wp:effectExtent l="0" t="0" r="0" b="12700"/>
              <wp:wrapNone/>
              <wp:docPr id="18" name="MSIPCM435b4f059ab62c98a96262c1" descr="{&quot;HashCode&quot;:-1487292391,&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D34438" w14:textId="52D1142B"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7F63B22" id="_x0000_t202" coordsize="21600,21600" o:spt="202" path="m,l,21600r21600,l21600,xe">
              <v:stroke joinstyle="miter"/>
              <v:path gradientshapeok="t" o:connecttype="rect"/>
            </v:shapetype>
            <v:shape id="MSIPCM435b4f059ab62c98a96262c1" o:spid="_x0000_s1027" type="#_x0000_t202" alt="{&quot;HashCode&quot;:-1487292391,&quot;Height&quot;:842.0,&quot;Width&quot;:595.0,&quot;Placement&quot;:&quot;Header&quot;,&quot;Index&quot;:&quot;Primary&quot;,&quot;Section&quot;:1,&quot;Top&quot;:0.0,&quot;Left&quot;:0.0}" style="position:absolute;margin-left:0;margin-top:15pt;width:595.2pt;height:21.5pt;z-index:25169881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BpmI1uGgIAACwEAAAOAAAAAAAAAAAAAAAAAC4CAABkcnMvZTJvRG9jLnhtbFBLAQItABQA&#10;BgAIAAAAIQDzqQWC3QAAAAcBAAAPAAAAAAAAAAAAAAAAAHQEAABkcnMvZG93bnJldi54bWxQSwUG&#10;AAAAAAQABADzAAAAfgUAAAAA&#10;" o:allowincell="f" filled="f" stroked="f" strokeweight=".5pt">
              <v:textbox inset=",0,20pt,0">
                <w:txbxContent>
                  <w:p w14:paraId="46D34438" w14:textId="52D1142B"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t>TRADUÇÃO LIVRE</w:t>
    </w:r>
  </w:p>
  <w:p w14:paraId="6242F179" w14:textId="096EDAD4" w:rsidR="007C7477" w:rsidRDefault="007C747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A949B" w14:textId="7A3AC7E3" w:rsidR="007C7477" w:rsidRDefault="00000000">
    <w:pPr>
      <w:spacing w:after="160" w:line="259" w:lineRule="auto"/>
      <w:ind w:left="0" w:firstLine="0"/>
      <w:jc w:val="left"/>
    </w:pPr>
    <w:r>
      <w:rPr>
        <w:noProof/>
      </w:rPr>
      <w:pict w14:anchorId="4E628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0" o:spid="_x0000_s1026" type="#_x0000_t136" style="position:absolute;margin-left:0;margin-top:0;width:580pt;height:133.85pt;rotation:315;z-index:-251615232;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3566" behindDoc="0" locked="0" layoutInCell="0" allowOverlap="1" wp14:anchorId="18873A41" wp14:editId="55A37E25">
              <wp:simplePos x="0" y="0"/>
              <wp:positionH relativeFrom="page">
                <wp:posOffset>0</wp:posOffset>
              </wp:positionH>
              <wp:positionV relativeFrom="page">
                <wp:posOffset>190500</wp:posOffset>
              </wp:positionV>
              <wp:extent cx="7559040" cy="273050"/>
              <wp:effectExtent l="0" t="0" r="0" b="12700"/>
              <wp:wrapNone/>
              <wp:docPr id="13" name="MSIPCM92354d738707aea5bcd6d095" descr="{&quot;HashCode&quot;:-1487292391,&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6381E2" w14:textId="5252B68E"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8873A41" id="_x0000_t202" coordsize="21600,21600" o:spt="202" path="m,l,21600r21600,l21600,xe">
              <v:stroke joinstyle="miter"/>
              <v:path gradientshapeok="t" o:connecttype="rect"/>
            </v:shapetype>
            <v:shape id="MSIPCM92354d738707aea5bcd6d095" o:spid="_x0000_s1028" type="#_x0000_t202" alt="{&quot;HashCode&quot;:-1487292391,&quot;Height&quot;:842.0,&quot;Width&quot;:595.0,&quot;Placement&quot;:&quot;Header&quot;,&quot;Index&quot;:&quot;FirstPage&quot;,&quot;Section&quot;:1,&quot;Top&quot;:0.0,&quot;Left&quot;:0.0}" style="position:absolute;margin-left:0;margin-top:15pt;width:595.2pt;height:21.5pt;z-index:25169356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NyGw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XhFMMeW6iOuJ6Dnnlv+UrhDGvm&#10;wwtzSDWOjfINz3hIDdgLThYlNbgff/PHfGQAo5S0KJ2S+u975gQl+qtBbu7G04hGSBc0XDIms2me&#10;4207uM2+eQCU5RhfiOXJjMlBD6Z00LyhvJexHYaY4di0pGEwH0KvZHweXCyXKQllZVlYm43lsXQE&#10;LUL72r0xZ0/4B2TuCQZ1seIdDX1uD/dyH0CqxFEEuIfzhDtKMlF3ej5R87/eU9blkS9+Ag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nQqjchsCAAAsBAAADgAAAAAAAAAAAAAAAAAuAgAAZHJzL2Uyb0RvYy54bWxQSwECLQAU&#10;AAYACAAAACEA86kFgt0AAAAHAQAADwAAAAAAAAAAAAAAAAB1BAAAZHJzL2Rvd25yZXYueG1sUEsF&#10;BgAAAAAEAAQA8wAAAH8FAAAAAA==&#10;" o:allowincell="f" filled="f" stroked="f" strokeweight=".5pt">
              <v:textbox inset=",0,20pt,0">
                <w:txbxContent>
                  <w:p w14:paraId="246381E2" w14:textId="5252B68E"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05853" w14:textId="6EC602E1" w:rsidR="007C7477" w:rsidRDefault="00000000">
    <w:pPr>
      <w:spacing w:after="160" w:line="259" w:lineRule="auto"/>
      <w:ind w:left="0" w:firstLine="0"/>
      <w:jc w:val="left"/>
    </w:pPr>
    <w:r>
      <w:rPr>
        <w:noProof/>
      </w:rPr>
      <w:pict w14:anchorId="54B640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4" o:spid="_x0000_s1030" type="#_x0000_t136" style="position:absolute;margin-left:0;margin-top:0;width:580pt;height:133.85pt;rotation:315;z-index:-251607040;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3629" behindDoc="0" locked="0" layoutInCell="0" allowOverlap="1" wp14:anchorId="26CF1D8C" wp14:editId="3CC51D46">
              <wp:simplePos x="0" y="0"/>
              <wp:positionH relativeFrom="page">
                <wp:posOffset>0</wp:posOffset>
              </wp:positionH>
              <wp:positionV relativeFrom="page">
                <wp:posOffset>190500</wp:posOffset>
              </wp:positionV>
              <wp:extent cx="7559040" cy="273050"/>
              <wp:effectExtent l="0" t="0" r="0" b="12700"/>
              <wp:wrapNone/>
              <wp:docPr id="6" name="MSIPCMabc24fc9ae5b6239011c1a60" descr="{&quot;HashCode&quot;:-1487292391,&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08C88" w14:textId="18CFA1AA" w:rsidR="007C7477" w:rsidRPr="00716631" w:rsidRDefault="00716631" w:rsidP="00716631">
                          <w:pPr>
                            <w:spacing w:after="0"/>
                            <w:ind w:left="0"/>
                            <w:jc w:val="right"/>
                            <w:rPr>
                              <w:sz w:val="20"/>
                            </w:rPr>
                          </w:pPr>
                          <w:r w:rsidRPr="00716631">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6CF1D8C" id="_x0000_t202" coordsize="21600,21600" o:spt="202" path="m,l,21600r21600,l21600,xe">
              <v:stroke joinstyle="miter"/>
              <v:path gradientshapeok="t" o:connecttype="rect"/>
            </v:shapetype>
            <v:shape id="MSIPCMabc24fc9ae5b6239011c1a60" o:spid="_x0000_s1029" type="#_x0000_t202" alt="{&quot;HashCode&quot;:-1487292391,&quot;Height&quot;:842.0,&quot;Width&quot;:595.0,&quot;Placement&quot;:&quot;Header&quot;,&quot;Index&quot;:&quot;OddAndEven&quot;,&quot;Section&quot;:2,&quot;Top&quot;:0.0,&quot;Left&quot;:0.0}" style="position:absolute;margin-left:0;margin-top:15pt;width:595.2pt;height:21.5pt;z-index:2516936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DnmWzxsCAAAsBAAADgAAAAAAAAAAAAAAAAAuAgAAZHJzL2Uyb0RvYy54bWxQSwECLQAU&#10;AAYACAAAACEA86kFgt0AAAAHAQAADwAAAAAAAAAAAAAAAAB1BAAAZHJzL2Rvd25yZXYueG1sUEsF&#10;BgAAAAAEAAQA8wAAAH8FAAAAAA==&#10;" o:allowincell="f" filled="f" stroked="f" strokeweight=".5pt">
              <v:textbox inset=",0,20pt,0">
                <w:txbxContent>
                  <w:p w14:paraId="20B08C88" w14:textId="18CFA1AA" w:rsidR="007C7477" w:rsidRPr="00716631" w:rsidRDefault="00716631" w:rsidP="00716631">
                    <w:pPr>
                      <w:spacing w:after="0"/>
                      <w:ind w:left="0"/>
                      <w:jc w:val="right"/>
                      <w:rPr>
                        <w:sz w:val="20"/>
                      </w:rPr>
                    </w:pPr>
                    <w:r w:rsidRPr="00716631">
                      <w:rPr>
                        <w:sz w:val="20"/>
                        <w:lang w:val="pt"/>
                      </w:rPr>
                      <w:t>#interna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44A1F" w14:textId="46EE5FCF" w:rsidR="007C7477" w:rsidRDefault="00000000">
    <w:pPr>
      <w:spacing w:after="160" w:line="259" w:lineRule="auto"/>
      <w:ind w:left="0" w:right="-1054" w:firstLine="0"/>
      <w:jc w:val="right"/>
    </w:pPr>
    <w:r>
      <w:rPr>
        <w:noProof/>
      </w:rPr>
      <w:pict w14:anchorId="033297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5" o:spid="_x0000_s1031" type="#_x0000_t136" style="position:absolute;left:0;text-align:left;margin-left:0;margin-top:0;width:580pt;height:133.85pt;rotation:315;z-index:-251604992;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3694" behindDoc="0" locked="0" layoutInCell="0" allowOverlap="1" wp14:anchorId="40A0949A" wp14:editId="15EB6C4C">
              <wp:simplePos x="0" y="0"/>
              <wp:positionH relativeFrom="page">
                <wp:posOffset>0</wp:posOffset>
              </wp:positionH>
              <wp:positionV relativeFrom="page">
                <wp:posOffset>190500</wp:posOffset>
              </wp:positionV>
              <wp:extent cx="7559040" cy="273050"/>
              <wp:effectExtent l="0" t="0" r="0" b="12700"/>
              <wp:wrapNone/>
              <wp:docPr id="14" name="MSIPCM49974120be1776ae4e923a73" descr="{&quot;HashCode&quot;:-1487292391,&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0C5CBC" w14:textId="06B3FE63"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0A0949A" id="_x0000_t202" coordsize="21600,21600" o:spt="202" path="m,l,21600r21600,l21600,xe">
              <v:stroke joinstyle="miter"/>
              <v:path gradientshapeok="t" o:connecttype="rect"/>
            </v:shapetype>
            <v:shape id="MSIPCM49974120be1776ae4e923a73" o:spid="_x0000_s1030" type="#_x0000_t202" alt="{&quot;HashCode&quot;:-1487292391,&quot;Height&quot;:842.0,&quot;Width&quot;:595.0,&quot;Placement&quot;:&quot;Header&quot;,&quot;Index&quot;:&quot;Primary&quot;,&quot;Section&quot;:2,&quot;Top&quot;:0.0,&quot;Left&quot;:0.0}" style="position:absolute;left:0;text-align:left;margin-left:0;margin-top:15pt;width:595.2pt;height:21.5pt;z-index:25169369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5KHA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WVdDrssYXqiOs56Jn3lq8UzrBm&#10;Prwwh1Tj2Cjf8IyH1IC94GRRUoP78Td/zEcGMEpJi9Ipqf++Z05Qor8a5OZuPI1ohHRBwyVjMpvm&#10;Od62g9vsmwdAWY7xhViezJgc9GBKB80bynsZ22GIGY5NSxoG8yH0SsbnwcVymZJQVpaFtdlYHktH&#10;0CK0r90bc/aEf0DmnmBQFyve0dDn9nAv9wGkShxFgHs4T7ijJBN1p+cTNf/rPWVdHvniJ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HUv/kocAgAALAQAAA4AAAAAAAAAAAAAAAAALgIAAGRycy9lMm9Eb2MueG1sUEsBAi0A&#10;FAAGAAgAAAAhAPOpBYLdAAAABwEAAA8AAAAAAAAAAAAAAAAAdgQAAGRycy9kb3ducmV2LnhtbFBL&#10;BQYAAAAABAAEAPMAAACABQAAAAA=&#10;" o:allowincell="f" filled="f" stroked="f" strokeweight=".5pt">
              <v:textbox inset=",0,20pt,0">
                <w:txbxContent>
                  <w:p w14:paraId="010C5CBC" w14:textId="06B3FE63"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g">
          <w:drawing>
            <wp:anchor distT="0" distB="0" distL="114300" distR="114300" simplePos="0" relativeHeight="251660288" behindDoc="0" locked="0" layoutInCell="1" allowOverlap="1" wp14:anchorId="36CE00B2" wp14:editId="17FD80F6">
              <wp:simplePos x="0" y="0"/>
              <wp:positionH relativeFrom="page">
                <wp:posOffset>882396</wp:posOffset>
              </wp:positionH>
              <wp:positionV relativeFrom="page">
                <wp:posOffset>900811</wp:posOffset>
              </wp:positionV>
              <wp:extent cx="5795645" cy="11938"/>
              <wp:effectExtent l="0" t="0" r="0" b="0"/>
              <wp:wrapSquare wrapText="bothSides"/>
              <wp:docPr id="25128" name="Group 25128"/>
              <wp:cNvGraphicFramePr/>
              <a:graphic xmlns:a="http://schemas.openxmlformats.org/drawingml/2006/main">
                <a:graphicData uri="http://schemas.microsoft.com/office/word/2010/wordprocessingGroup">
                  <wpg:wgp>
                    <wpg:cNvGrpSpPr/>
                    <wpg:grpSpPr>
                      <a:xfrm>
                        <a:off x="0" y="0"/>
                        <a:ext cx="5795645" cy="11938"/>
                        <a:chOff x="0" y="0"/>
                        <a:chExt cx="5795645" cy="11938"/>
                      </a:xfrm>
                    </wpg:grpSpPr>
                    <wps:wsp>
                      <wps:cNvPr id="26244" name="Shape 26244"/>
                      <wps:cNvSpPr/>
                      <wps:spPr>
                        <a:xfrm>
                          <a:off x="0" y="0"/>
                          <a:ext cx="5795645" cy="11938"/>
                        </a:xfrm>
                        <a:custGeom>
                          <a:avLst/>
                          <a:gdLst/>
                          <a:ahLst/>
                          <a:cxnLst/>
                          <a:rect l="0" t="0" r="0" b="0"/>
                          <a:pathLst>
                            <a:path w="5795645" h="11938">
                              <a:moveTo>
                                <a:pt x="0" y="0"/>
                              </a:moveTo>
                              <a:lnTo>
                                <a:pt x="5795645" y="0"/>
                              </a:lnTo>
                              <a:lnTo>
                                <a:pt x="5795645" y="11938"/>
                              </a:lnTo>
                              <a:lnTo>
                                <a:pt x="0" y="119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14="http://schemas.microsoft.com/office/drawing/2010/main" xmlns:a="http://schemas.openxmlformats.org/drawingml/2006/main">
          <w:pict>
            <v:group id="Group 25128" style="width:456.35pt;height:0.940002pt;position:absolute;mso-position-horizontal-relative:page;mso-position-horizontal:absolute;margin-left:69.48pt;mso-position-vertical-relative:page;margin-top:70.93pt;" coordsize="57956,119">
              <v:shape id="Shape 26245" style="position:absolute;width:57956;height:119;left:0;top:0;" coordsize="5795645,11938" path="m0,0l5795645,0l5795645,11938l0,11938l0,0">
                <v:stroke on="false" weight="0pt" color="#000000" opacity="0" miterlimit="10" joinstyle="miter" endcap="flat"/>
                <v:fill on="true" color="#000000"/>
              </v:shape>
              <w10:wrap type="square"/>
            </v:group>
          </w:pict>
        </mc:Fallback>
      </mc:AlternateContent>
    </w:r>
    <w:r w:rsidR="007C7477">
      <w:rPr>
        <w:sz w:val="20"/>
        <w:lang w:val="pt"/>
      </w:rPr>
      <w:t xml:space="preserve"> </w:t>
    </w:r>
  </w:p>
  <w:p w14:paraId="09CC7BB4" w14:textId="77777777" w:rsidR="007C7477" w:rsidRDefault="007C7477">
    <w:pPr>
      <w:spacing w:after="0" w:line="259" w:lineRule="auto"/>
      <w:ind w:left="0" w:firstLine="0"/>
      <w:jc w:val="left"/>
    </w:pPr>
    <w:r>
      <w:rPr>
        <w:lang w:val="pt"/>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DC9DA" w14:textId="1E75348D" w:rsidR="007C7477" w:rsidRDefault="00000000">
    <w:pPr>
      <w:spacing w:after="160" w:line="259" w:lineRule="auto"/>
      <w:ind w:left="0" w:right="-1054" w:firstLine="0"/>
      <w:jc w:val="right"/>
    </w:pPr>
    <w:r>
      <w:rPr>
        <w:noProof/>
      </w:rPr>
      <w:pict w14:anchorId="37504B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3" o:spid="_x0000_s1029" type="#_x0000_t136" style="position:absolute;left:0;text-align:left;margin-left:0;margin-top:0;width:580pt;height:133.85pt;rotation:315;z-index:-251609088;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1" relativeHeight="251689229" behindDoc="0" locked="0" layoutInCell="0" allowOverlap="1" wp14:anchorId="1D2C5E6C" wp14:editId="3685877D">
              <wp:simplePos x="0" y="190500"/>
              <wp:positionH relativeFrom="page">
                <wp:posOffset>0</wp:posOffset>
              </wp:positionH>
              <wp:positionV relativeFrom="page">
                <wp:posOffset>190500</wp:posOffset>
              </wp:positionV>
              <wp:extent cx="7559040" cy="273050"/>
              <wp:effectExtent l="0" t="0" r="0" b="12700"/>
              <wp:wrapNone/>
              <wp:docPr id="5" name="MSIPCM2036400a91c37d703678f3f6" descr="{&quot;HashCode&quot;:-1487292391,&quot;Height&quot;:842.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220E8E" w14:textId="661A9E28" w:rsidR="007C7477" w:rsidRPr="00716631" w:rsidRDefault="00716631" w:rsidP="00716631">
                          <w:pPr>
                            <w:spacing w:after="0"/>
                            <w:ind w:left="0"/>
                            <w:jc w:val="right"/>
                            <w:rPr>
                              <w:sz w:val="20"/>
                            </w:rPr>
                          </w:pPr>
                          <w:r w:rsidRPr="00716631">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1D2C5E6C" id="_x0000_t202" coordsize="21600,21600" o:spt="202" path="m,l,21600r21600,l21600,xe">
              <v:stroke joinstyle="miter"/>
              <v:path gradientshapeok="t" o:connecttype="rect"/>
            </v:shapetype>
            <v:shape id="MSIPCM2036400a91c37d703678f3f6" o:spid="_x0000_s1031" type="#_x0000_t202" alt="{&quot;HashCode&quot;:-1487292391,&quot;Height&quot;:842.0,&quot;Width&quot;:595.0,&quot;Placement&quot;:&quot;Header&quot;,&quot;Index&quot;:&quot;FirstPage&quot;,&quot;Section&quot;:2,&quot;Top&quot;:0.0,&quot;Left&quot;:0.0}" style="position:absolute;left:0;text-align:left;margin-left:0;margin-top:15pt;width:595.2pt;height:21.5pt;z-index:25168922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OZcy/ccAgAALAQAAA4AAAAAAAAAAAAAAAAALgIAAGRycy9lMm9Eb2MueG1sUEsBAi0A&#10;FAAGAAgAAAAhAPOpBYLdAAAABwEAAA8AAAAAAAAAAAAAAAAAdgQAAGRycy9kb3ducmV2LnhtbFBL&#10;BQYAAAAABAAEAPMAAACABQAAAAA=&#10;" o:allowincell="f" filled="f" stroked="f" strokeweight=".5pt">
              <v:textbox inset=",0,20pt,0">
                <w:txbxContent>
                  <w:p w14:paraId="4A220E8E" w14:textId="661A9E28" w:rsidR="007C7477" w:rsidRPr="00716631" w:rsidRDefault="00716631" w:rsidP="00716631">
                    <w:pPr>
                      <w:spacing w:after="0"/>
                      <w:ind w:left="0"/>
                      <w:jc w:val="right"/>
                      <w:rPr>
                        <w:sz w:val="20"/>
                      </w:rPr>
                    </w:pPr>
                    <w:r w:rsidRPr="00716631">
                      <w:rPr>
                        <w:sz w:val="20"/>
                        <w:lang w:val="pt"/>
                      </w:rPr>
                      <w:t>#interna</w:t>
                    </w:r>
                  </w:p>
                </w:txbxContent>
              </v:textbox>
              <w10:wrap anchorx="page" anchory="page"/>
            </v:shape>
          </w:pict>
        </mc:Fallback>
      </mc:AlternateContent>
    </w:r>
    <w:r w:rsidR="007C7477">
      <w:rPr>
        <w:noProof/>
      </w:rPr>
      <mc:AlternateContent>
        <mc:Choice Requires="wpg">
          <w:drawing>
            <wp:anchor distT="0" distB="0" distL="114300" distR="114300" simplePos="0" relativeHeight="251661312" behindDoc="0" locked="0" layoutInCell="1" allowOverlap="1" wp14:anchorId="6F3D493E" wp14:editId="1D2FBFB2">
              <wp:simplePos x="0" y="0"/>
              <wp:positionH relativeFrom="page">
                <wp:posOffset>882396</wp:posOffset>
              </wp:positionH>
              <wp:positionV relativeFrom="page">
                <wp:posOffset>900811</wp:posOffset>
              </wp:positionV>
              <wp:extent cx="5795645" cy="11938"/>
              <wp:effectExtent l="0" t="0" r="0" b="0"/>
              <wp:wrapSquare wrapText="bothSides"/>
              <wp:docPr id="25089" name="Group 25089"/>
              <wp:cNvGraphicFramePr/>
              <a:graphic xmlns:a="http://schemas.openxmlformats.org/drawingml/2006/main">
                <a:graphicData uri="http://schemas.microsoft.com/office/word/2010/wordprocessingGroup">
                  <wpg:wgp>
                    <wpg:cNvGrpSpPr/>
                    <wpg:grpSpPr>
                      <a:xfrm>
                        <a:off x="0" y="0"/>
                        <a:ext cx="5795645" cy="11938"/>
                        <a:chOff x="0" y="0"/>
                        <a:chExt cx="5795645" cy="11938"/>
                      </a:xfrm>
                    </wpg:grpSpPr>
                    <wps:wsp>
                      <wps:cNvPr id="26242" name="Shape 26242"/>
                      <wps:cNvSpPr/>
                      <wps:spPr>
                        <a:xfrm>
                          <a:off x="0" y="0"/>
                          <a:ext cx="5795645" cy="11938"/>
                        </a:xfrm>
                        <a:custGeom>
                          <a:avLst/>
                          <a:gdLst/>
                          <a:ahLst/>
                          <a:cxnLst/>
                          <a:rect l="0" t="0" r="0" b="0"/>
                          <a:pathLst>
                            <a:path w="5795645" h="11938">
                              <a:moveTo>
                                <a:pt x="0" y="0"/>
                              </a:moveTo>
                              <a:lnTo>
                                <a:pt x="5795645" y="0"/>
                              </a:lnTo>
                              <a:lnTo>
                                <a:pt x="5795645" y="11938"/>
                              </a:lnTo>
                              <a:lnTo>
                                <a:pt x="0" y="119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14="http://schemas.microsoft.com/office/drawing/2010/main" xmlns:a="http://schemas.openxmlformats.org/drawingml/2006/main">
          <w:pict>
            <v:group id="Group 25089" style="width:456.35pt;height:0.940002pt;position:absolute;mso-position-horizontal-relative:page;mso-position-horizontal:absolute;margin-left:69.48pt;mso-position-vertical-relative:page;margin-top:70.93pt;" coordsize="57956,119">
              <v:shape id="Shape 26243" style="position:absolute;width:57956;height:119;left:0;top:0;" coordsize="5795645,11938" path="m0,0l5795645,0l5795645,11938l0,11938l0,0">
                <v:stroke on="false" weight="0pt" color="#000000" opacity="0" miterlimit="10" joinstyle="miter" endcap="flat"/>
                <v:fill on="true" color="#000000"/>
              </v:shape>
              <w10:wrap type="square"/>
            </v:group>
          </w:pict>
        </mc:Fallback>
      </mc:AlternateContent>
    </w:r>
    <w:r w:rsidR="007C7477">
      <w:rPr>
        <w:sz w:val="20"/>
        <w:lang w:val="pt"/>
      </w:rPr>
      <w:t xml:space="preserve"> </w:t>
    </w:r>
  </w:p>
  <w:p w14:paraId="04B586BE" w14:textId="77777777" w:rsidR="007C7477" w:rsidRDefault="007C7477">
    <w:pPr>
      <w:spacing w:after="0" w:line="259" w:lineRule="auto"/>
      <w:ind w:left="0" w:firstLine="0"/>
      <w:jc w:val="left"/>
    </w:pPr>
    <w:r>
      <w:rPr>
        <w:lang w:val="pt"/>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363A9" w14:textId="086CBAF1" w:rsidR="007C7477" w:rsidRDefault="00000000">
    <w:pPr>
      <w:spacing w:after="160" w:line="259" w:lineRule="auto"/>
      <w:ind w:left="0" w:firstLine="0"/>
      <w:jc w:val="left"/>
    </w:pPr>
    <w:r>
      <w:rPr>
        <w:noProof/>
      </w:rPr>
      <w:pict w14:anchorId="760A6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7" o:spid="_x0000_s1033" type="#_x0000_t136" style="position:absolute;margin-left:0;margin-top:0;width:580pt;height:133.85pt;rotation:315;z-index:-251600896;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704319" behindDoc="0" locked="0" layoutInCell="0" allowOverlap="1" wp14:anchorId="3EC3BDC6" wp14:editId="727280BB">
              <wp:simplePos x="0" y="0"/>
              <wp:positionH relativeFrom="page">
                <wp:posOffset>0</wp:posOffset>
              </wp:positionH>
              <wp:positionV relativeFrom="page">
                <wp:posOffset>190500</wp:posOffset>
              </wp:positionV>
              <wp:extent cx="7559040" cy="273050"/>
              <wp:effectExtent l="0" t="0" r="0" b="12700"/>
              <wp:wrapNone/>
              <wp:docPr id="4" name="MSIPCM8f9d4fddb55079552780c83f" descr="{&quot;HashCode&quot;:-1487292391,&quot;Height&quot;:842.0,&quot;Width&quot;:595.0,&quot;Placement&quot;:&quot;Head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6BADC" w14:textId="2C375CE6"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3EC3BDC6" id="_x0000_t202" coordsize="21600,21600" o:spt="202" path="m,l,21600r21600,l21600,xe">
              <v:stroke joinstyle="miter"/>
              <v:path gradientshapeok="t" o:connecttype="rect"/>
            </v:shapetype>
            <v:shape id="MSIPCM8f9d4fddb55079552780c83f" o:spid="_x0000_s1032" type="#_x0000_t202" alt="{&quot;HashCode&quot;:-1487292391,&quot;Height&quot;:842.0,&quot;Width&quot;:595.0,&quot;Placement&quot;:&quot;Header&quot;,&quot;Index&quot;:&quot;OddAndEven&quot;,&quot;Section&quot;:3,&quot;Top&quot;:0.0,&quot;Left&quot;:0.0}" style="position:absolute;margin-left:0;margin-top:15pt;width:595.2pt;height:21.5pt;z-index:25170431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ASzuXrGgIAACwEAAAOAAAAAAAAAAAAAAAAAC4CAABkcnMvZTJvRG9jLnhtbFBLAQItABQA&#10;BgAIAAAAIQDzqQWC3QAAAAcBAAAPAAAAAAAAAAAAAAAAAHQEAABkcnMvZG93bnJldi54bWxQSwUG&#10;AAAAAAQABADzAAAAfgUAAAAA&#10;" o:allowincell="f" filled="f" stroked="f" strokeweight=".5pt">
              <v:textbox inset=",0,20pt,0">
                <w:txbxContent>
                  <w:p w14:paraId="5CB6BADC" w14:textId="2C375CE6"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s">
          <w:drawing>
            <wp:anchor distT="0" distB="0" distL="114300" distR="114300" simplePos="0" relativeHeight="251690878" behindDoc="0" locked="0" layoutInCell="0" allowOverlap="1" wp14:anchorId="61B61FCC" wp14:editId="2EAA5D1E">
              <wp:simplePos x="0" y="0"/>
              <wp:positionH relativeFrom="page">
                <wp:posOffset>0</wp:posOffset>
              </wp:positionH>
              <wp:positionV relativeFrom="page">
                <wp:posOffset>190500</wp:posOffset>
              </wp:positionV>
              <wp:extent cx="7559040" cy="273050"/>
              <wp:effectExtent l="0" t="0" r="0" b="12700"/>
              <wp:wrapNone/>
              <wp:docPr id="12" name="MSIPCMa19841399805e7f03a19f241" descr="{&quot;HashCode&quot;:-1487292391,&quot;Height&quot;:842.0,&quot;Width&quot;:595.0,&quot;Placement&quot;:&quot;Head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B8DD76" w14:textId="308CD639" w:rsidR="007C7477" w:rsidRPr="007219BF" w:rsidRDefault="007C7477" w:rsidP="007219BF">
                          <w:pPr>
                            <w:spacing w:after="0"/>
                            <w:ind w:left="0"/>
                            <w:jc w:val="right"/>
                            <w:rPr>
                              <w:sz w:val="20"/>
                            </w:rPr>
                          </w:pPr>
                          <w:r w:rsidRPr="007219BF">
                            <w:rPr>
                              <w:sz w:val="20"/>
                              <w:lang w:val="pt"/>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61B61FCC" id="MSIPCMa19841399805e7f03a19f241" o:spid="_x0000_s1033" type="#_x0000_t202" alt="{&quot;HashCode&quot;:-1487292391,&quot;Height&quot;:842.0,&quot;Width&quot;:595.0,&quot;Placement&quot;:&quot;Header&quot;,&quot;Index&quot;:&quot;OddAndEven&quot;,&quot;Section&quot;:4,&quot;Top&quot;:0.0,&quot;Left&quot;:0.0}" style="position:absolute;margin-left:0;margin-top:15pt;width:595.2pt;height:21.5pt;z-index:25169087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gb3QVhsCAAAsBAAADgAAAAAAAAAAAAAAAAAuAgAAZHJzL2Uyb0RvYy54bWxQSwECLQAU&#10;AAYACAAAACEA86kFgt0AAAAHAQAADwAAAAAAAAAAAAAAAAB1BAAAZHJzL2Rvd25yZXYueG1sUEsF&#10;BgAAAAAEAAQA8wAAAH8FAAAAAA==&#10;" o:allowincell="f" filled="f" stroked="f" strokeweight=".5pt">
              <v:textbox inset=",0,20pt,0">
                <w:txbxContent>
                  <w:p w14:paraId="7DB8DD76" w14:textId="308CD639" w:rsidR="007C7477" w:rsidRPr="007219BF" w:rsidRDefault="007C7477" w:rsidP="007219BF">
                    <w:pPr>
                      <w:spacing w:after="0"/>
                      <w:ind w:left="0"/>
                      <w:jc w:val="right"/>
                      <w:rPr>
                        <w:sz w:val="20"/>
                      </w:rPr>
                    </w:pPr>
                    <w:r w:rsidRPr="007219BF">
                      <w:rPr>
                        <w:sz w:val="20"/>
                        <w:lang w:val="pt"/>
                      </w:rPr>
                      <w:t>#interna</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3A97A" w14:textId="354B911C" w:rsidR="007C7477" w:rsidRDefault="00000000">
    <w:pPr>
      <w:spacing w:after="160" w:line="259" w:lineRule="auto"/>
      <w:ind w:left="0" w:firstLine="0"/>
      <w:jc w:val="left"/>
    </w:pPr>
    <w:r>
      <w:rPr>
        <w:noProof/>
      </w:rPr>
      <w:pict w14:anchorId="37F461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8" o:spid="_x0000_s1034" type="#_x0000_t136" style="position:absolute;margin-left:0;margin-top:0;width:580pt;height:133.85pt;rotation:315;z-index:-251598848;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698878" behindDoc="0" locked="0" layoutInCell="0" allowOverlap="1" wp14:anchorId="0F8E0DA3" wp14:editId="3555426E">
              <wp:simplePos x="0" y="0"/>
              <wp:positionH relativeFrom="page">
                <wp:posOffset>0</wp:posOffset>
              </wp:positionH>
              <wp:positionV relativeFrom="page">
                <wp:posOffset>190500</wp:posOffset>
              </wp:positionV>
              <wp:extent cx="7559040" cy="273050"/>
              <wp:effectExtent l="0" t="0" r="0" b="12700"/>
              <wp:wrapNone/>
              <wp:docPr id="1" name="MSIPCM45a24c7485afc985f5c8ce72" descr="{&quot;HashCode&quot;:-1487292391,&quot;Height&quot;:842.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7FDB0C" w14:textId="17F15C8F"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F8E0DA3" id="_x0000_t202" coordsize="21600,21600" o:spt="202" path="m,l,21600r21600,l21600,xe">
              <v:stroke joinstyle="miter"/>
              <v:path gradientshapeok="t" o:connecttype="rect"/>
            </v:shapetype>
            <v:shape id="MSIPCM45a24c7485afc985f5c8ce72" o:spid="_x0000_s1034" type="#_x0000_t202" alt="{&quot;HashCode&quot;:-1487292391,&quot;Height&quot;:842.0,&quot;Width&quot;:595.0,&quot;Placement&quot;:&quot;Header&quot;,&quot;Index&quot;:&quot;Primary&quot;,&quot;Section&quot;:3,&quot;Top&quot;:0.0,&quot;Left&quot;:0.0}" style="position:absolute;margin-left:0;margin-top:15pt;width:595.2pt;height:21.5pt;z-index:25169887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KVkRDocAgAALAQAAA4AAAAAAAAAAAAAAAAALgIAAGRycy9lMm9Eb2MueG1sUEsBAi0A&#10;FAAGAAgAAAAhAPOpBYLdAAAABwEAAA8AAAAAAAAAAAAAAAAAdgQAAGRycy9kb3ducmV2LnhtbFBL&#10;BQYAAAAABAAEAPMAAACABQAAAAA=&#10;" o:allowincell="f" filled="f" stroked="f" strokeweight=".5pt">
              <v:textbox inset=",0,20pt,0">
                <w:txbxContent>
                  <w:p w14:paraId="477FDB0C" w14:textId="17F15C8F"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s">
          <w:drawing>
            <wp:anchor distT="0" distB="0" distL="114300" distR="114300" simplePos="0" relativeHeight="251693823" behindDoc="0" locked="0" layoutInCell="0" allowOverlap="1" wp14:anchorId="66B068E2" wp14:editId="2BEEAC53">
              <wp:simplePos x="0" y="0"/>
              <wp:positionH relativeFrom="page">
                <wp:posOffset>0</wp:posOffset>
              </wp:positionH>
              <wp:positionV relativeFrom="page">
                <wp:posOffset>190500</wp:posOffset>
              </wp:positionV>
              <wp:extent cx="7559040" cy="273050"/>
              <wp:effectExtent l="0" t="0" r="0" b="12700"/>
              <wp:wrapNone/>
              <wp:docPr id="16" name="MSIPCM3e634ca78707b933e99381fe" descr="{&quot;HashCode&quot;:-1487292391,&quot;Height&quot;:842.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74A886" w14:textId="673DD140" w:rsidR="007C7477" w:rsidRPr="007219BF" w:rsidRDefault="007C7477" w:rsidP="007219BF">
                          <w:pPr>
                            <w:spacing w:after="0"/>
                            <w:ind w:left="0"/>
                            <w:jc w:val="right"/>
                            <w:rPr>
                              <w:sz w:val="20"/>
                            </w:rPr>
                          </w:pPr>
                          <w:r w:rsidRPr="007219BF">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66B068E2" id="MSIPCM3e634ca78707b933e99381fe" o:spid="_x0000_s1035" type="#_x0000_t202" alt="{&quot;HashCode&quot;:-1487292391,&quot;Height&quot;:842.0,&quot;Width&quot;:595.0,&quot;Placement&quot;:&quot;Header&quot;,&quot;Index&quot;:&quot;Primary&quot;,&quot;Section&quot;:4,&quot;Top&quot;:0.0,&quot;Left&quot;:0.0}" style="position:absolute;margin-left:0;margin-top:15pt;width:595.2pt;height:21.5pt;z-index:25169382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" o:allowincell="f" filled="f" stroked="f" strokeweight=".5pt">
              <v:textbox inset=",0,20pt,0">
                <w:txbxContent>
                  <w:p w14:paraId="6074A886" w14:textId="673DD140" w:rsidR="007C7477" w:rsidRPr="007219BF" w:rsidRDefault="007C7477" w:rsidP="007219BF">
                    <w:pPr>
                      <w:spacing w:after="0"/>
                      <w:ind w:left="0"/>
                      <w:jc w:val="right"/>
                      <w:rPr>
                        <w:sz w:val="20"/>
                      </w:rPr>
                    </w:pPr>
                    <w:r w:rsidRPr="007219BF">
                      <w:rPr>
                        <w:sz w:val="20"/>
                      </w:rPr>
                      <w:t>#interna</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F0606" w14:textId="6DFE77A4" w:rsidR="007C7477" w:rsidRDefault="00000000">
    <w:pPr>
      <w:spacing w:after="160" w:line="259" w:lineRule="auto"/>
      <w:ind w:left="0" w:firstLine="0"/>
      <w:jc w:val="left"/>
    </w:pPr>
    <w:r>
      <w:rPr>
        <w:noProof/>
      </w:rPr>
      <w:pict w14:anchorId="7AD58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1416006" o:spid="_x0000_s1032" type="#_x0000_t136" style="position:absolute;margin-left:0;margin-top:0;width:580pt;height:133.85pt;rotation:315;z-index:-251602944;mso-position-horizontal:center;mso-position-horizontal-relative:margin;mso-position-vertical:center;mso-position-vertical-relative:margin" o:allowincell="f" fillcolor="silver" stroked="f">
          <v:fill opacity=".5"/>
          <v:textpath style="font-family:&quot;Calibri&quot;;font-size:1pt" string="TRADUÇÃO LIVRE"/>
          <w10:wrap anchorx="margin" anchory="margin"/>
        </v:shape>
      </w:pict>
    </w:r>
    <w:r w:rsidR="007C7477">
      <w:rPr>
        <w:noProof/>
      </w:rPr>
      <mc:AlternateContent>
        <mc:Choice Requires="wps">
          <w:drawing>
            <wp:anchor distT="0" distB="0" distL="114300" distR="114300" simplePos="0" relativeHeight="251701759" behindDoc="0" locked="0" layoutInCell="0" allowOverlap="1" wp14:anchorId="776A8E1B" wp14:editId="4FE3AB7A">
              <wp:simplePos x="0" y="0"/>
              <wp:positionH relativeFrom="page">
                <wp:posOffset>0</wp:posOffset>
              </wp:positionH>
              <wp:positionV relativeFrom="page">
                <wp:posOffset>190500</wp:posOffset>
              </wp:positionV>
              <wp:extent cx="7559040" cy="273050"/>
              <wp:effectExtent l="0" t="0" r="0" b="12700"/>
              <wp:wrapNone/>
              <wp:docPr id="2" name="MSIPCM89fb45318bc1753465baaaea" descr="{&quot;HashCode&quot;:-1487292391,&quot;Height&quot;:842.0,&quot;Width&quot;:595.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995377" w14:textId="710CBAFB" w:rsidR="007C7477" w:rsidRPr="00716631" w:rsidRDefault="00716631" w:rsidP="00716631">
                          <w:pPr>
                            <w:spacing w:after="0"/>
                            <w:ind w:left="0"/>
                            <w:jc w:val="right"/>
                            <w:rPr>
                              <w:sz w:val="20"/>
                            </w:rPr>
                          </w:pPr>
                          <w:r w:rsidRPr="00716631">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776A8E1B" id="_x0000_t202" coordsize="21600,21600" o:spt="202" path="m,l,21600r21600,l21600,xe">
              <v:stroke joinstyle="miter"/>
              <v:path gradientshapeok="t" o:connecttype="rect"/>
            </v:shapetype>
            <v:shape id="MSIPCM89fb45318bc1753465baaaea" o:spid="_x0000_s1036" type="#_x0000_t202" alt="{&quot;HashCode&quot;:-1487292391,&quot;Height&quot;:842.0,&quot;Width&quot;:595.0,&quot;Placement&quot;:&quot;Header&quot;,&quot;Index&quot;:&quot;FirstPage&quot;,&quot;Section&quot;:3,&quot;Top&quot;:0.0,&quot;Left&quot;:0.0}" style="position:absolute;margin-left:0;margin-top:15pt;width:595.2pt;height:21.5pt;z-index:25170175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" o:allowincell="f" filled="f" stroked="f" strokeweight=".5pt">
              <v:textbox inset=",0,20pt,0">
                <w:txbxContent>
                  <w:p w14:paraId="48995377" w14:textId="710CBAFB" w:rsidR="007C7477" w:rsidRPr="00716631" w:rsidRDefault="00716631" w:rsidP="00716631">
                    <w:pPr>
                      <w:spacing w:after="0"/>
                      <w:ind w:left="0"/>
                      <w:jc w:val="right"/>
                      <w:rPr>
                        <w:sz w:val="20"/>
                      </w:rPr>
                    </w:pPr>
                    <w:r w:rsidRPr="00716631">
                      <w:rPr>
                        <w:sz w:val="20"/>
                      </w:rPr>
                      <w:t>#interna</w:t>
                    </w:r>
                  </w:p>
                </w:txbxContent>
              </v:textbox>
              <w10:wrap anchorx="page" anchory="page"/>
            </v:shape>
          </w:pict>
        </mc:Fallback>
      </mc:AlternateContent>
    </w:r>
    <w:r w:rsidR="007C7477">
      <w:rPr>
        <w:noProof/>
      </w:rPr>
      <mc:AlternateContent>
        <mc:Choice Requires="wps">
          <w:drawing>
            <wp:anchor distT="0" distB="0" distL="114300" distR="114300" simplePos="0" relativeHeight="251696128" behindDoc="0" locked="0" layoutInCell="0" allowOverlap="1" wp14:anchorId="14CBAF33" wp14:editId="593FCC3F">
              <wp:simplePos x="0" y="0"/>
              <wp:positionH relativeFrom="page">
                <wp:posOffset>0</wp:posOffset>
              </wp:positionH>
              <wp:positionV relativeFrom="page">
                <wp:posOffset>190500</wp:posOffset>
              </wp:positionV>
              <wp:extent cx="7559040" cy="273050"/>
              <wp:effectExtent l="0" t="0" r="0" b="12700"/>
              <wp:wrapNone/>
              <wp:docPr id="17" name="MSIPCM6a6447078f364ac76bb1fd0f" descr="{&quot;HashCode&quot;:-1487292391,&quot;Height&quot;:842.0,&quot;Width&quot;:595.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55904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40E8E" w14:textId="33D24FE1" w:rsidR="007C7477" w:rsidRPr="007219BF" w:rsidRDefault="007C7477" w:rsidP="007219BF">
                          <w:pPr>
                            <w:spacing w:after="0"/>
                            <w:ind w:left="0"/>
                            <w:jc w:val="right"/>
                            <w:rPr>
                              <w:sz w:val="20"/>
                            </w:rPr>
                          </w:pPr>
                          <w:r w:rsidRPr="007219BF">
                            <w:rPr>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 w14:anchorId="14CBAF33" id="MSIPCM6a6447078f364ac76bb1fd0f" o:spid="_x0000_s1037" type="#_x0000_t202" alt="{&quot;HashCode&quot;:-1487292391,&quot;Height&quot;:842.0,&quot;Width&quot;:595.0,&quot;Placement&quot;:&quot;Header&quot;,&quot;Index&quot;:&quot;FirstPage&quot;,&quot;Section&quot;:4,&quot;Top&quot;:0.0,&quot;Left&quot;:0.0}" style="position:absolute;margin-left:0;margin-top:15pt;width:595.2pt;height:21.5pt;z-index:2516961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" o:allowincell="f" filled="f" stroked="f" strokeweight=".5pt">
              <v:textbox inset=",0,20pt,0">
                <w:txbxContent>
                  <w:p w14:paraId="3F240E8E" w14:textId="33D24FE1" w:rsidR="007C7477" w:rsidRPr="007219BF" w:rsidRDefault="007C7477" w:rsidP="007219BF">
                    <w:pPr>
                      <w:spacing w:after="0"/>
                      <w:ind w:left="0"/>
                      <w:jc w:val="right"/>
                      <w:rPr>
                        <w:sz w:val="20"/>
                      </w:rPr>
                    </w:pPr>
                    <w:r w:rsidRPr="007219BF">
                      <w:rPr>
                        <w:sz w:val="20"/>
                      </w:rPr>
                      <w:t>#interna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71492"/>
    <w:multiLevelType w:val="multilevel"/>
    <w:tmpl w:val="92F6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C1696"/>
    <w:multiLevelType w:val="multilevel"/>
    <w:tmpl w:val="7F36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A5FB8"/>
    <w:multiLevelType w:val="multilevel"/>
    <w:tmpl w:val="BF42D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F1B9D"/>
    <w:multiLevelType w:val="hybridMultilevel"/>
    <w:tmpl w:val="3904C07C"/>
    <w:lvl w:ilvl="0" w:tplc="05F28D6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4EA4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0423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860D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4B4E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1E91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F20E3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4A0EF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A27D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AB7FD5"/>
    <w:multiLevelType w:val="hybridMultilevel"/>
    <w:tmpl w:val="E1480E38"/>
    <w:lvl w:ilvl="0" w:tplc="D88646E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CAA8E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9819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8C70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B279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3A36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0C3A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24D16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F6E3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6E5E5C"/>
    <w:multiLevelType w:val="hybridMultilevel"/>
    <w:tmpl w:val="51A0E3F4"/>
    <w:lvl w:ilvl="0" w:tplc="87DC7CE8">
      <w:start w:val="2"/>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5AD8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0435A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96EDF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06E3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A027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B2E7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9804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8813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4F080E"/>
    <w:multiLevelType w:val="multilevel"/>
    <w:tmpl w:val="7A5C93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5E6F61"/>
    <w:multiLevelType w:val="hybridMultilevel"/>
    <w:tmpl w:val="3316213C"/>
    <w:lvl w:ilvl="0" w:tplc="65F86514">
      <w:start w:val="1"/>
      <w:numFmt w:val="lowerLetter"/>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5C24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BC3E5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02CE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580FE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0A603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9A41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148F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7443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861F95"/>
    <w:multiLevelType w:val="multilevel"/>
    <w:tmpl w:val="A880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B0ACA"/>
    <w:multiLevelType w:val="multilevel"/>
    <w:tmpl w:val="2F7021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DF6D70"/>
    <w:multiLevelType w:val="multilevel"/>
    <w:tmpl w:val="7A1044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EB0BC8"/>
    <w:multiLevelType w:val="multilevel"/>
    <w:tmpl w:val="388A86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424EE5"/>
    <w:multiLevelType w:val="hybridMultilevel"/>
    <w:tmpl w:val="8DCA09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9AC0E98"/>
    <w:multiLevelType w:val="multilevel"/>
    <w:tmpl w:val="44B42A7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2370977">
    <w:abstractNumId w:val="4"/>
  </w:num>
  <w:num w:numId="2" w16cid:durableId="1195850600">
    <w:abstractNumId w:val="7"/>
  </w:num>
  <w:num w:numId="3" w16cid:durableId="578636434">
    <w:abstractNumId w:val="5"/>
  </w:num>
  <w:num w:numId="4" w16cid:durableId="1836143603">
    <w:abstractNumId w:val="3"/>
  </w:num>
  <w:num w:numId="5" w16cid:durableId="727262223">
    <w:abstractNumId w:val="13"/>
  </w:num>
  <w:num w:numId="6" w16cid:durableId="1947033072">
    <w:abstractNumId w:val="2"/>
  </w:num>
  <w:num w:numId="7" w16cid:durableId="14158176">
    <w:abstractNumId w:val="0"/>
  </w:num>
  <w:num w:numId="8" w16cid:durableId="1360400861">
    <w:abstractNumId w:val="10"/>
  </w:num>
  <w:num w:numId="9" w16cid:durableId="1705983976">
    <w:abstractNumId w:val="11"/>
  </w:num>
  <w:num w:numId="10" w16cid:durableId="275794461">
    <w:abstractNumId w:val="6"/>
  </w:num>
  <w:num w:numId="11" w16cid:durableId="1758747573">
    <w:abstractNumId w:val="9"/>
  </w:num>
  <w:num w:numId="12" w16cid:durableId="1384333906">
    <w:abstractNumId w:val="1"/>
  </w:num>
  <w:num w:numId="13" w16cid:durableId="1064258858">
    <w:abstractNumId w:val="8"/>
  </w:num>
  <w:num w:numId="14" w16cid:durableId="1031419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C1"/>
    <w:rsid w:val="000000D5"/>
    <w:rsid w:val="0001788C"/>
    <w:rsid w:val="00021F19"/>
    <w:rsid w:val="0002389D"/>
    <w:rsid w:val="00026E6D"/>
    <w:rsid w:val="000278E2"/>
    <w:rsid w:val="00030CB5"/>
    <w:rsid w:val="00031916"/>
    <w:rsid w:val="00041ADD"/>
    <w:rsid w:val="00055967"/>
    <w:rsid w:val="00056082"/>
    <w:rsid w:val="00060944"/>
    <w:rsid w:val="00061510"/>
    <w:rsid w:val="00061625"/>
    <w:rsid w:val="00064AA6"/>
    <w:rsid w:val="000C215A"/>
    <w:rsid w:val="000D470F"/>
    <w:rsid w:val="000E5B1C"/>
    <w:rsid w:val="001102B9"/>
    <w:rsid w:val="0012483E"/>
    <w:rsid w:val="001439C7"/>
    <w:rsid w:val="00145E42"/>
    <w:rsid w:val="00160601"/>
    <w:rsid w:val="00161A2E"/>
    <w:rsid w:val="0017470E"/>
    <w:rsid w:val="00180101"/>
    <w:rsid w:val="001825D8"/>
    <w:rsid w:val="001B512E"/>
    <w:rsid w:val="001F46D9"/>
    <w:rsid w:val="001F521E"/>
    <w:rsid w:val="001F7EE9"/>
    <w:rsid w:val="00221A54"/>
    <w:rsid w:val="0022618C"/>
    <w:rsid w:val="00242DBC"/>
    <w:rsid w:val="00243415"/>
    <w:rsid w:val="0024400F"/>
    <w:rsid w:val="00257080"/>
    <w:rsid w:val="00273C67"/>
    <w:rsid w:val="002945AF"/>
    <w:rsid w:val="002A24B4"/>
    <w:rsid w:val="002B0A3F"/>
    <w:rsid w:val="002B13C1"/>
    <w:rsid w:val="002B495F"/>
    <w:rsid w:val="002B6611"/>
    <w:rsid w:val="002C0F33"/>
    <w:rsid w:val="002D1489"/>
    <w:rsid w:val="002F520B"/>
    <w:rsid w:val="003000F2"/>
    <w:rsid w:val="00300995"/>
    <w:rsid w:val="00316095"/>
    <w:rsid w:val="00332DBA"/>
    <w:rsid w:val="00334E76"/>
    <w:rsid w:val="00340B5A"/>
    <w:rsid w:val="00352F29"/>
    <w:rsid w:val="003533D5"/>
    <w:rsid w:val="00353F03"/>
    <w:rsid w:val="00357E39"/>
    <w:rsid w:val="00362797"/>
    <w:rsid w:val="003B1DB9"/>
    <w:rsid w:val="003D3AE1"/>
    <w:rsid w:val="003E26A6"/>
    <w:rsid w:val="003E6672"/>
    <w:rsid w:val="003E68FD"/>
    <w:rsid w:val="003F0919"/>
    <w:rsid w:val="003F0B65"/>
    <w:rsid w:val="003F71F5"/>
    <w:rsid w:val="0041073B"/>
    <w:rsid w:val="00412384"/>
    <w:rsid w:val="004175D3"/>
    <w:rsid w:val="00462784"/>
    <w:rsid w:val="00484568"/>
    <w:rsid w:val="004A4B5E"/>
    <w:rsid w:val="004B08CE"/>
    <w:rsid w:val="004B6721"/>
    <w:rsid w:val="004C1AE6"/>
    <w:rsid w:val="004C5A66"/>
    <w:rsid w:val="004E2E78"/>
    <w:rsid w:val="004F2154"/>
    <w:rsid w:val="004F4DBF"/>
    <w:rsid w:val="00522782"/>
    <w:rsid w:val="00550EF9"/>
    <w:rsid w:val="005557F6"/>
    <w:rsid w:val="005727FA"/>
    <w:rsid w:val="00586151"/>
    <w:rsid w:val="0059010D"/>
    <w:rsid w:val="005A6AC5"/>
    <w:rsid w:val="005C6003"/>
    <w:rsid w:val="005D4BCE"/>
    <w:rsid w:val="005D7A76"/>
    <w:rsid w:val="005E05FE"/>
    <w:rsid w:val="005E34B1"/>
    <w:rsid w:val="005E5AFA"/>
    <w:rsid w:val="005F184E"/>
    <w:rsid w:val="00612CAF"/>
    <w:rsid w:val="00640F5F"/>
    <w:rsid w:val="00644A11"/>
    <w:rsid w:val="00663095"/>
    <w:rsid w:val="00663876"/>
    <w:rsid w:val="00665C18"/>
    <w:rsid w:val="006664DD"/>
    <w:rsid w:val="00670B4D"/>
    <w:rsid w:val="0067149E"/>
    <w:rsid w:val="00672A15"/>
    <w:rsid w:val="006A3C57"/>
    <w:rsid w:val="006B092B"/>
    <w:rsid w:val="006C67D9"/>
    <w:rsid w:val="006D31C3"/>
    <w:rsid w:val="006D546E"/>
    <w:rsid w:val="006E202F"/>
    <w:rsid w:val="006F7D1D"/>
    <w:rsid w:val="00712669"/>
    <w:rsid w:val="00713213"/>
    <w:rsid w:val="00716631"/>
    <w:rsid w:val="007219BF"/>
    <w:rsid w:val="0074197A"/>
    <w:rsid w:val="00742C1B"/>
    <w:rsid w:val="00750AC4"/>
    <w:rsid w:val="007744C5"/>
    <w:rsid w:val="0078420F"/>
    <w:rsid w:val="007C7477"/>
    <w:rsid w:val="007D0680"/>
    <w:rsid w:val="007F2AE9"/>
    <w:rsid w:val="007F3ED6"/>
    <w:rsid w:val="00800EDD"/>
    <w:rsid w:val="008137A1"/>
    <w:rsid w:val="00816A35"/>
    <w:rsid w:val="00816CFD"/>
    <w:rsid w:val="0082378A"/>
    <w:rsid w:val="00827BB8"/>
    <w:rsid w:val="008377D6"/>
    <w:rsid w:val="00863710"/>
    <w:rsid w:val="00871AA2"/>
    <w:rsid w:val="00877D42"/>
    <w:rsid w:val="008A06EF"/>
    <w:rsid w:val="008B0653"/>
    <w:rsid w:val="008B16EE"/>
    <w:rsid w:val="008B38AF"/>
    <w:rsid w:val="008B6CB9"/>
    <w:rsid w:val="008C21A7"/>
    <w:rsid w:val="008C670F"/>
    <w:rsid w:val="008D17E7"/>
    <w:rsid w:val="008E70BD"/>
    <w:rsid w:val="00902626"/>
    <w:rsid w:val="00904B58"/>
    <w:rsid w:val="00905093"/>
    <w:rsid w:val="00921494"/>
    <w:rsid w:val="00921995"/>
    <w:rsid w:val="00923498"/>
    <w:rsid w:val="009364B5"/>
    <w:rsid w:val="009702DC"/>
    <w:rsid w:val="00977CC7"/>
    <w:rsid w:val="0098725A"/>
    <w:rsid w:val="009B2673"/>
    <w:rsid w:val="009B606C"/>
    <w:rsid w:val="009F3A6F"/>
    <w:rsid w:val="00A20024"/>
    <w:rsid w:val="00A22AA1"/>
    <w:rsid w:val="00A33E07"/>
    <w:rsid w:val="00A57B06"/>
    <w:rsid w:val="00A615B6"/>
    <w:rsid w:val="00A64928"/>
    <w:rsid w:val="00A72295"/>
    <w:rsid w:val="00AA75E6"/>
    <w:rsid w:val="00AB641F"/>
    <w:rsid w:val="00AB77A8"/>
    <w:rsid w:val="00AC5C60"/>
    <w:rsid w:val="00AD6BCC"/>
    <w:rsid w:val="00AF46F3"/>
    <w:rsid w:val="00AF4714"/>
    <w:rsid w:val="00B17D7E"/>
    <w:rsid w:val="00B217AF"/>
    <w:rsid w:val="00B2604C"/>
    <w:rsid w:val="00B316C7"/>
    <w:rsid w:val="00B32F6C"/>
    <w:rsid w:val="00B36CC2"/>
    <w:rsid w:val="00B41067"/>
    <w:rsid w:val="00B468A8"/>
    <w:rsid w:val="00B5067B"/>
    <w:rsid w:val="00B53143"/>
    <w:rsid w:val="00B5704D"/>
    <w:rsid w:val="00B64E97"/>
    <w:rsid w:val="00B65FEF"/>
    <w:rsid w:val="00B7643A"/>
    <w:rsid w:val="00BA5756"/>
    <w:rsid w:val="00BC0ECB"/>
    <w:rsid w:val="00BC4BE2"/>
    <w:rsid w:val="00BD0606"/>
    <w:rsid w:val="00BD7928"/>
    <w:rsid w:val="00C177FE"/>
    <w:rsid w:val="00C224D2"/>
    <w:rsid w:val="00C454BF"/>
    <w:rsid w:val="00C4791C"/>
    <w:rsid w:val="00C63104"/>
    <w:rsid w:val="00C640E8"/>
    <w:rsid w:val="00CA0126"/>
    <w:rsid w:val="00CB42B7"/>
    <w:rsid w:val="00CF41DE"/>
    <w:rsid w:val="00D00B92"/>
    <w:rsid w:val="00D029CB"/>
    <w:rsid w:val="00D1682F"/>
    <w:rsid w:val="00D26107"/>
    <w:rsid w:val="00D32337"/>
    <w:rsid w:val="00D43A33"/>
    <w:rsid w:val="00D54DDD"/>
    <w:rsid w:val="00D72314"/>
    <w:rsid w:val="00DA784C"/>
    <w:rsid w:val="00DB08DC"/>
    <w:rsid w:val="00DB0FA4"/>
    <w:rsid w:val="00DB51D8"/>
    <w:rsid w:val="00DC71DC"/>
    <w:rsid w:val="00DE4B23"/>
    <w:rsid w:val="00DE779A"/>
    <w:rsid w:val="00DF41A9"/>
    <w:rsid w:val="00DF6D14"/>
    <w:rsid w:val="00E2074A"/>
    <w:rsid w:val="00E32C99"/>
    <w:rsid w:val="00E33911"/>
    <w:rsid w:val="00E7661D"/>
    <w:rsid w:val="00E77E2A"/>
    <w:rsid w:val="00EA05D1"/>
    <w:rsid w:val="00EA177E"/>
    <w:rsid w:val="00EB2EE8"/>
    <w:rsid w:val="00EB3051"/>
    <w:rsid w:val="00EB7B4B"/>
    <w:rsid w:val="00EC0AC8"/>
    <w:rsid w:val="00EC67A6"/>
    <w:rsid w:val="00EF2346"/>
    <w:rsid w:val="00F14352"/>
    <w:rsid w:val="00F15645"/>
    <w:rsid w:val="00F30DFC"/>
    <w:rsid w:val="00F507CE"/>
    <w:rsid w:val="00F559D7"/>
    <w:rsid w:val="00F56DC1"/>
    <w:rsid w:val="00F62408"/>
    <w:rsid w:val="00F75B64"/>
    <w:rsid w:val="00F8563E"/>
    <w:rsid w:val="00FD15CE"/>
    <w:rsid w:val="00FD393F"/>
    <w:rsid w:val="0363F18F"/>
    <w:rsid w:val="6FC909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C4DA5"/>
  <w15:docId w15:val="{7A94FBDD-BC8D-436A-816E-D6C2D562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9" w:line="249" w:lineRule="auto"/>
      <w:ind w:left="118" w:hanging="10"/>
      <w:jc w:val="both"/>
    </w:pPr>
    <w:rPr>
      <w:rFonts w:ascii="Calibri" w:eastAsia="Calibri" w:hAnsi="Calibri" w:cs="Calibri"/>
      <w:color w:val="000000"/>
    </w:rPr>
  </w:style>
  <w:style w:type="paragraph" w:styleId="Ttulo1">
    <w:name w:val="heading 1"/>
    <w:next w:val="Normal"/>
    <w:link w:val="Ttulo1Char"/>
    <w:uiPriority w:val="9"/>
    <w:qFormat/>
    <w:pPr>
      <w:keepNext/>
      <w:keepLines/>
      <w:spacing w:after="146" w:line="265" w:lineRule="auto"/>
      <w:ind w:left="10" w:right="1101" w:hanging="10"/>
      <w:jc w:val="center"/>
      <w:outlineLvl w:val="0"/>
    </w:pPr>
    <w:rPr>
      <w:rFonts w:ascii="Calibri" w:eastAsia="Calibri" w:hAnsi="Calibri" w:cs="Calibri"/>
      <w:b/>
      <w:color w:val="000000"/>
      <w:sz w:val="28"/>
    </w:rPr>
  </w:style>
  <w:style w:type="paragraph" w:styleId="Ttulo2">
    <w:name w:val="heading 2"/>
    <w:next w:val="Normal"/>
    <w:link w:val="Ttulo2Char"/>
    <w:uiPriority w:val="9"/>
    <w:unhideWhenUsed/>
    <w:qFormat/>
    <w:pPr>
      <w:keepNext/>
      <w:keepLines/>
      <w:spacing w:after="0" w:line="264" w:lineRule="auto"/>
      <w:ind w:left="10" w:right="1" w:hanging="10"/>
      <w:jc w:val="center"/>
      <w:outlineLvl w:val="1"/>
    </w:pPr>
    <w:rPr>
      <w:rFonts w:ascii="Calibri" w:eastAsia="Calibri" w:hAnsi="Calibri" w:cs="Calibri"/>
      <w:b/>
      <w:color w:val="3A5DAE"/>
      <w:sz w:val="28"/>
    </w:rPr>
  </w:style>
  <w:style w:type="paragraph" w:styleId="Ttulo3">
    <w:name w:val="heading 3"/>
    <w:next w:val="Normal"/>
    <w:link w:val="Ttulo3Char"/>
    <w:uiPriority w:val="9"/>
    <w:unhideWhenUsed/>
    <w:qFormat/>
    <w:pPr>
      <w:keepNext/>
      <w:keepLines/>
      <w:spacing w:after="217"/>
      <w:ind w:left="10" w:hanging="10"/>
      <w:outlineLvl w:val="2"/>
    </w:pPr>
    <w:rPr>
      <w:rFonts w:ascii="Calibri" w:eastAsia="Calibri" w:hAnsi="Calibri" w:cs="Calibri"/>
      <w:b/>
      <w:color w:val="3A5DA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Pr>
      <w:rFonts w:ascii="Calibri" w:eastAsia="Calibri" w:hAnsi="Calibri" w:cs="Calibri"/>
      <w:b/>
      <w:color w:val="3A5DAE"/>
      <w:sz w:val="22"/>
    </w:rPr>
  </w:style>
  <w:style w:type="character" w:customStyle="1" w:styleId="Ttulo1Char">
    <w:name w:val="Título 1 Char"/>
    <w:link w:val="Ttulo1"/>
    <w:rPr>
      <w:rFonts w:ascii="Calibri" w:eastAsia="Calibri" w:hAnsi="Calibri" w:cs="Calibri"/>
      <w:b/>
      <w:color w:val="000000"/>
      <w:sz w:val="28"/>
    </w:rPr>
  </w:style>
  <w:style w:type="character" w:customStyle="1" w:styleId="Ttulo2Char">
    <w:name w:val="Título 2 Char"/>
    <w:link w:val="Ttulo2"/>
    <w:rPr>
      <w:rFonts w:ascii="Calibri" w:eastAsia="Calibri" w:hAnsi="Calibri" w:cs="Calibri"/>
      <w:b/>
      <w:color w:val="3A5DAE"/>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TextodoEspaoReservado">
    <w:name w:val="Placeholder Text"/>
    <w:basedOn w:val="Fontepargpadro"/>
    <w:uiPriority w:val="99"/>
    <w:semiHidden/>
    <w:rsid w:val="00160601"/>
    <w:rPr>
      <w:color w:val="808080"/>
    </w:rPr>
  </w:style>
  <w:style w:type="paragraph" w:styleId="Rodap">
    <w:name w:val="footer"/>
    <w:basedOn w:val="Normal"/>
    <w:link w:val="RodapChar"/>
    <w:uiPriority w:val="99"/>
    <w:unhideWhenUsed/>
    <w:rsid w:val="000000D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RodapChar">
    <w:name w:val="Rodapé Char"/>
    <w:basedOn w:val="Fontepargpadro"/>
    <w:link w:val="Rodap"/>
    <w:uiPriority w:val="99"/>
    <w:rsid w:val="000000D5"/>
    <w:rPr>
      <w:rFonts w:cs="Times New Roman"/>
    </w:rPr>
  </w:style>
  <w:style w:type="paragraph" w:styleId="Cabealho">
    <w:name w:val="header"/>
    <w:basedOn w:val="Normal"/>
    <w:link w:val="CabealhoChar"/>
    <w:uiPriority w:val="99"/>
    <w:unhideWhenUsed/>
    <w:rsid w:val="000000D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CabealhoChar">
    <w:name w:val="Cabeçalho Char"/>
    <w:basedOn w:val="Fontepargpadro"/>
    <w:link w:val="Cabealho"/>
    <w:uiPriority w:val="99"/>
    <w:rsid w:val="000000D5"/>
    <w:rPr>
      <w:rFonts w:cs="Times New Roman"/>
    </w:rPr>
  </w:style>
  <w:style w:type="paragraph" w:customStyle="1" w:styleId="Default">
    <w:name w:val="Default"/>
    <w:rsid w:val="0082378A"/>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4F4DBF"/>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Fontepargpadro"/>
    <w:rsid w:val="004F4DBF"/>
  </w:style>
  <w:style w:type="character" w:customStyle="1" w:styleId="eop">
    <w:name w:val="eop"/>
    <w:basedOn w:val="Fontepargpadro"/>
    <w:rsid w:val="004F4DBF"/>
  </w:style>
  <w:style w:type="character" w:customStyle="1" w:styleId="pagebreaktextspan">
    <w:name w:val="pagebreaktextspan"/>
    <w:basedOn w:val="Fontepargpadro"/>
    <w:rsid w:val="004F4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9728865">
      <w:bodyDiv w:val="1"/>
      <w:marLeft w:val="0"/>
      <w:marRight w:val="0"/>
      <w:marTop w:val="0"/>
      <w:marBottom w:val="0"/>
      <w:divBdr>
        <w:top w:val="none" w:sz="0" w:space="0" w:color="auto"/>
        <w:left w:val="none" w:sz="0" w:space="0" w:color="auto"/>
        <w:bottom w:val="none" w:sz="0" w:space="0" w:color="auto"/>
        <w:right w:val="none" w:sz="0" w:space="0" w:color="auto"/>
      </w:divBdr>
      <w:divsChild>
        <w:div w:id="1152327991">
          <w:marLeft w:val="0"/>
          <w:marRight w:val="0"/>
          <w:marTop w:val="0"/>
          <w:marBottom w:val="0"/>
          <w:divBdr>
            <w:top w:val="none" w:sz="0" w:space="0" w:color="auto"/>
            <w:left w:val="none" w:sz="0" w:space="0" w:color="auto"/>
            <w:bottom w:val="none" w:sz="0" w:space="0" w:color="auto"/>
            <w:right w:val="none" w:sz="0" w:space="0" w:color="auto"/>
          </w:divBdr>
          <w:divsChild>
            <w:div w:id="1723139890">
              <w:marLeft w:val="0"/>
              <w:marRight w:val="0"/>
              <w:marTop w:val="0"/>
              <w:marBottom w:val="0"/>
              <w:divBdr>
                <w:top w:val="none" w:sz="0" w:space="0" w:color="auto"/>
                <w:left w:val="none" w:sz="0" w:space="0" w:color="auto"/>
                <w:bottom w:val="none" w:sz="0" w:space="0" w:color="auto"/>
                <w:right w:val="none" w:sz="0" w:space="0" w:color="auto"/>
              </w:divBdr>
              <w:divsChild>
                <w:div w:id="1762292173">
                  <w:marLeft w:val="0"/>
                  <w:marRight w:val="0"/>
                  <w:marTop w:val="0"/>
                  <w:marBottom w:val="0"/>
                  <w:divBdr>
                    <w:top w:val="none" w:sz="0" w:space="0" w:color="auto"/>
                    <w:left w:val="none" w:sz="0" w:space="0" w:color="auto"/>
                    <w:bottom w:val="none" w:sz="0" w:space="0" w:color="auto"/>
                    <w:right w:val="none" w:sz="0" w:space="0" w:color="auto"/>
                  </w:divBdr>
                </w:div>
                <w:div w:id="754786083">
                  <w:marLeft w:val="0"/>
                  <w:marRight w:val="0"/>
                  <w:marTop w:val="0"/>
                  <w:marBottom w:val="0"/>
                  <w:divBdr>
                    <w:top w:val="none" w:sz="0" w:space="0" w:color="auto"/>
                    <w:left w:val="none" w:sz="0" w:space="0" w:color="auto"/>
                    <w:bottom w:val="none" w:sz="0" w:space="0" w:color="auto"/>
                    <w:right w:val="none" w:sz="0" w:space="0" w:color="auto"/>
                  </w:divBdr>
                </w:div>
                <w:div w:id="2094813879">
                  <w:marLeft w:val="0"/>
                  <w:marRight w:val="0"/>
                  <w:marTop w:val="0"/>
                  <w:marBottom w:val="0"/>
                  <w:divBdr>
                    <w:top w:val="none" w:sz="0" w:space="0" w:color="auto"/>
                    <w:left w:val="none" w:sz="0" w:space="0" w:color="auto"/>
                    <w:bottom w:val="none" w:sz="0" w:space="0" w:color="auto"/>
                    <w:right w:val="none" w:sz="0" w:space="0" w:color="auto"/>
                  </w:divBdr>
                </w:div>
              </w:divsChild>
            </w:div>
            <w:div w:id="1306348250">
              <w:marLeft w:val="0"/>
              <w:marRight w:val="0"/>
              <w:marTop w:val="0"/>
              <w:marBottom w:val="0"/>
              <w:divBdr>
                <w:top w:val="none" w:sz="0" w:space="0" w:color="auto"/>
                <w:left w:val="none" w:sz="0" w:space="0" w:color="auto"/>
                <w:bottom w:val="none" w:sz="0" w:space="0" w:color="auto"/>
                <w:right w:val="none" w:sz="0" w:space="0" w:color="auto"/>
              </w:divBdr>
              <w:divsChild>
                <w:div w:id="2023358573">
                  <w:marLeft w:val="0"/>
                  <w:marRight w:val="0"/>
                  <w:marTop w:val="0"/>
                  <w:marBottom w:val="0"/>
                  <w:divBdr>
                    <w:top w:val="none" w:sz="0" w:space="0" w:color="auto"/>
                    <w:left w:val="none" w:sz="0" w:space="0" w:color="auto"/>
                    <w:bottom w:val="none" w:sz="0" w:space="0" w:color="auto"/>
                    <w:right w:val="none" w:sz="0" w:space="0" w:color="auto"/>
                  </w:divBdr>
                </w:div>
                <w:div w:id="480197242">
                  <w:marLeft w:val="0"/>
                  <w:marRight w:val="0"/>
                  <w:marTop w:val="0"/>
                  <w:marBottom w:val="0"/>
                  <w:divBdr>
                    <w:top w:val="none" w:sz="0" w:space="0" w:color="auto"/>
                    <w:left w:val="none" w:sz="0" w:space="0" w:color="auto"/>
                    <w:bottom w:val="none" w:sz="0" w:space="0" w:color="auto"/>
                    <w:right w:val="none" w:sz="0" w:space="0" w:color="auto"/>
                  </w:divBdr>
                </w:div>
                <w:div w:id="325060853">
                  <w:marLeft w:val="0"/>
                  <w:marRight w:val="0"/>
                  <w:marTop w:val="0"/>
                  <w:marBottom w:val="0"/>
                  <w:divBdr>
                    <w:top w:val="none" w:sz="0" w:space="0" w:color="auto"/>
                    <w:left w:val="none" w:sz="0" w:space="0" w:color="auto"/>
                    <w:bottom w:val="none" w:sz="0" w:space="0" w:color="auto"/>
                    <w:right w:val="none" w:sz="0" w:space="0" w:color="auto"/>
                  </w:divBdr>
                </w:div>
                <w:div w:id="1346398020">
                  <w:marLeft w:val="0"/>
                  <w:marRight w:val="0"/>
                  <w:marTop w:val="0"/>
                  <w:marBottom w:val="0"/>
                  <w:divBdr>
                    <w:top w:val="none" w:sz="0" w:space="0" w:color="auto"/>
                    <w:left w:val="none" w:sz="0" w:space="0" w:color="auto"/>
                    <w:bottom w:val="none" w:sz="0" w:space="0" w:color="auto"/>
                    <w:right w:val="none" w:sz="0" w:space="0" w:color="auto"/>
                  </w:divBdr>
                </w:div>
                <w:div w:id="672686986">
                  <w:marLeft w:val="0"/>
                  <w:marRight w:val="0"/>
                  <w:marTop w:val="0"/>
                  <w:marBottom w:val="0"/>
                  <w:divBdr>
                    <w:top w:val="none" w:sz="0" w:space="0" w:color="auto"/>
                    <w:left w:val="none" w:sz="0" w:space="0" w:color="auto"/>
                    <w:bottom w:val="none" w:sz="0" w:space="0" w:color="auto"/>
                    <w:right w:val="none" w:sz="0" w:space="0" w:color="auto"/>
                  </w:divBdr>
                </w:div>
              </w:divsChild>
            </w:div>
            <w:div w:id="481698227">
              <w:marLeft w:val="0"/>
              <w:marRight w:val="0"/>
              <w:marTop w:val="0"/>
              <w:marBottom w:val="0"/>
              <w:divBdr>
                <w:top w:val="none" w:sz="0" w:space="0" w:color="auto"/>
                <w:left w:val="none" w:sz="0" w:space="0" w:color="auto"/>
                <w:bottom w:val="none" w:sz="0" w:space="0" w:color="auto"/>
                <w:right w:val="none" w:sz="0" w:space="0" w:color="auto"/>
              </w:divBdr>
            </w:div>
            <w:div w:id="1750272285">
              <w:marLeft w:val="0"/>
              <w:marRight w:val="0"/>
              <w:marTop w:val="0"/>
              <w:marBottom w:val="0"/>
              <w:divBdr>
                <w:top w:val="none" w:sz="0" w:space="0" w:color="auto"/>
                <w:left w:val="none" w:sz="0" w:space="0" w:color="auto"/>
                <w:bottom w:val="none" w:sz="0" w:space="0" w:color="auto"/>
                <w:right w:val="none" w:sz="0" w:space="0" w:color="auto"/>
              </w:divBdr>
            </w:div>
            <w:div w:id="395324518">
              <w:marLeft w:val="0"/>
              <w:marRight w:val="0"/>
              <w:marTop w:val="0"/>
              <w:marBottom w:val="0"/>
              <w:divBdr>
                <w:top w:val="none" w:sz="0" w:space="0" w:color="auto"/>
                <w:left w:val="none" w:sz="0" w:space="0" w:color="auto"/>
                <w:bottom w:val="none" w:sz="0" w:space="0" w:color="auto"/>
                <w:right w:val="none" w:sz="0" w:space="0" w:color="auto"/>
              </w:divBdr>
            </w:div>
            <w:div w:id="1304115788">
              <w:marLeft w:val="0"/>
              <w:marRight w:val="0"/>
              <w:marTop w:val="0"/>
              <w:marBottom w:val="0"/>
              <w:divBdr>
                <w:top w:val="none" w:sz="0" w:space="0" w:color="auto"/>
                <w:left w:val="none" w:sz="0" w:space="0" w:color="auto"/>
                <w:bottom w:val="none" w:sz="0" w:space="0" w:color="auto"/>
                <w:right w:val="none" w:sz="0" w:space="0" w:color="auto"/>
              </w:divBdr>
            </w:div>
            <w:div w:id="193344741">
              <w:marLeft w:val="0"/>
              <w:marRight w:val="0"/>
              <w:marTop w:val="0"/>
              <w:marBottom w:val="0"/>
              <w:divBdr>
                <w:top w:val="none" w:sz="0" w:space="0" w:color="auto"/>
                <w:left w:val="none" w:sz="0" w:space="0" w:color="auto"/>
                <w:bottom w:val="none" w:sz="0" w:space="0" w:color="auto"/>
                <w:right w:val="none" w:sz="0" w:space="0" w:color="auto"/>
              </w:divBdr>
            </w:div>
            <w:div w:id="1600017238">
              <w:marLeft w:val="0"/>
              <w:marRight w:val="0"/>
              <w:marTop w:val="0"/>
              <w:marBottom w:val="0"/>
              <w:divBdr>
                <w:top w:val="none" w:sz="0" w:space="0" w:color="auto"/>
                <w:left w:val="none" w:sz="0" w:space="0" w:color="auto"/>
                <w:bottom w:val="none" w:sz="0" w:space="0" w:color="auto"/>
                <w:right w:val="none" w:sz="0" w:space="0" w:color="auto"/>
              </w:divBdr>
            </w:div>
            <w:div w:id="807892244">
              <w:marLeft w:val="0"/>
              <w:marRight w:val="0"/>
              <w:marTop w:val="0"/>
              <w:marBottom w:val="0"/>
              <w:divBdr>
                <w:top w:val="none" w:sz="0" w:space="0" w:color="auto"/>
                <w:left w:val="none" w:sz="0" w:space="0" w:color="auto"/>
                <w:bottom w:val="none" w:sz="0" w:space="0" w:color="auto"/>
                <w:right w:val="none" w:sz="0" w:space="0" w:color="auto"/>
              </w:divBdr>
            </w:div>
            <w:div w:id="726876885">
              <w:marLeft w:val="0"/>
              <w:marRight w:val="0"/>
              <w:marTop w:val="0"/>
              <w:marBottom w:val="0"/>
              <w:divBdr>
                <w:top w:val="none" w:sz="0" w:space="0" w:color="auto"/>
                <w:left w:val="none" w:sz="0" w:space="0" w:color="auto"/>
                <w:bottom w:val="none" w:sz="0" w:space="0" w:color="auto"/>
                <w:right w:val="none" w:sz="0" w:space="0" w:color="auto"/>
              </w:divBdr>
            </w:div>
            <w:div w:id="8221103">
              <w:marLeft w:val="0"/>
              <w:marRight w:val="0"/>
              <w:marTop w:val="0"/>
              <w:marBottom w:val="0"/>
              <w:divBdr>
                <w:top w:val="none" w:sz="0" w:space="0" w:color="auto"/>
                <w:left w:val="none" w:sz="0" w:space="0" w:color="auto"/>
                <w:bottom w:val="none" w:sz="0" w:space="0" w:color="auto"/>
                <w:right w:val="none" w:sz="0" w:space="0" w:color="auto"/>
              </w:divBdr>
            </w:div>
            <w:div w:id="2038847386">
              <w:marLeft w:val="0"/>
              <w:marRight w:val="0"/>
              <w:marTop w:val="0"/>
              <w:marBottom w:val="0"/>
              <w:divBdr>
                <w:top w:val="none" w:sz="0" w:space="0" w:color="auto"/>
                <w:left w:val="none" w:sz="0" w:space="0" w:color="auto"/>
                <w:bottom w:val="none" w:sz="0" w:space="0" w:color="auto"/>
                <w:right w:val="none" w:sz="0" w:space="0" w:color="auto"/>
              </w:divBdr>
            </w:div>
            <w:div w:id="1630629988">
              <w:marLeft w:val="0"/>
              <w:marRight w:val="0"/>
              <w:marTop w:val="0"/>
              <w:marBottom w:val="0"/>
              <w:divBdr>
                <w:top w:val="none" w:sz="0" w:space="0" w:color="auto"/>
                <w:left w:val="none" w:sz="0" w:space="0" w:color="auto"/>
                <w:bottom w:val="none" w:sz="0" w:space="0" w:color="auto"/>
                <w:right w:val="none" w:sz="0" w:space="0" w:color="auto"/>
              </w:divBdr>
            </w:div>
            <w:div w:id="1196885627">
              <w:marLeft w:val="0"/>
              <w:marRight w:val="0"/>
              <w:marTop w:val="0"/>
              <w:marBottom w:val="0"/>
              <w:divBdr>
                <w:top w:val="none" w:sz="0" w:space="0" w:color="auto"/>
                <w:left w:val="none" w:sz="0" w:space="0" w:color="auto"/>
                <w:bottom w:val="none" w:sz="0" w:space="0" w:color="auto"/>
                <w:right w:val="none" w:sz="0" w:space="0" w:color="auto"/>
              </w:divBdr>
            </w:div>
            <w:div w:id="836044970">
              <w:marLeft w:val="0"/>
              <w:marRight w:val="0"/>
              <w:marTop w:val="0"/>
              <w:marBottom w:val="0"/>
              <w:divBdr>
                <w:top w:val="none" w:sz="0" w:space="0" w:color="auto"/>
                <w:left w:val="none" w:sz="0" w:space="0" w:color="auto"/>
                <w:bottom w:val="none" w:sz="0" w:space="0" w:color="auto"/>
                <w:right w:val="none" w:sz="0" w:space="0" w:color="auto"/>
              </w:divBdr>
            </w:div>
            <w:div w:id="1657415498">
              <w:marLeft w:val="0"/>
              <w:marRight w:val="0"/>
              <w:marTop w:val="0"/>
              <w:marBottom w:val="0"/>
              <w:divBdr>
                <w:top w:val="none" w:sz="0" w:space="0" w:color="auto"/>
                <w:left w:val="none" w:sz="0" w:space="0" w:color="auto"/>
                <w:bottom w:val="none" w:sz="0" w:space="0" w:color="auto"/>
                <w:right w:val="none" w:sz="0" w:space="0" w:color="auto"/>
              </w:divBdr>
            </w:div>
            <w:div w:id="1124468039">
              <w:marLeft w:val="0"/>
              <w:marRight w:val="0"/>
              <w:marTop w:val="0"/>
              <w:marBottom w:val="0"/>
              <w:divBdr>
                <w:top w:val="none" w:sz="0" w:space="0" w:color="auto"/>
                <w:left w:val="none" w:sz="0" w:space="0" w:color="auto"/>
                <w:bottom w:val="none" w:sz="0" w:space="0" w:color="auto"/>
                <w:right w:val="none" w:sz="0" w:space="0" w:color="auto"/>
              </w:divBdr>
            </w:div>
            <w:div w:id="1774668230">
              <w:marLeft w:val="0"/>
              <w:marRight w:val="0"/>
              <w:marTop w:val="0"/>
              <w:marBottom w:val="0"/>
              <w:divBdr>
                <w:top w:val="none" w:sz="0" w:space="0" w:color="auto"/>
                <w:left w:val="none" w:sz="0" w:space="0" w:color="auto"/>
                <w:bottom w:val="none" w:sz="0" w:space="0" w:color="auto"/>
                <w:right w:val="none" w:sz="0" w:space="0" w:color="auto"/>
              </w:divBdr>
              <w:divsChild>
                <w:div w:id="611282087">
                  <w:marLeft w:val="0"/>
                  <w:marRight w:val="0"/>
                  <w:marTop w:val="0"/>
                  <w:marBottom w:val="0"/>
                  <w:divBdr>
                    <w:top w:val="none" w:sz="0" w:space="0" w:color="auto"/>
                    <w:left w:val="none" w:sz="0" w:space="0" w:color="auto"/>
                    <w:bottom w:val="none" w:sz="0" w:space="0" w:color="auto"/>
                    <w:right w:val="none" w:sz="0" w:space="0" w:color="auto"/>
                  </w:divBdr>
                </w:div>
              </w:divsChild>
            </w:div>
            <w:div w:id="1364205628">
              <w:marLeft w:val="0"/>
              <w:marRight w:val="0"/>
              <w:marTop w:val="0"/>
              <w:marBottom w:val="0"/>
              <w:divBdr>
                <w:top w:val="none" w:sz="0" w:space="0" w:color="auto"/>
                <w:left w:val="none" w:sz="0" w:space="0" w:color="auto"/>
                <w:bottom w:val="none" w:sz="0" w:space="0" w:color="auto"/>
                <w:right w:val="none" w:sz="0" w:space="0" w:color="auto"/>
              </w:divBdr>
              <w:divsChild>
                <w:div w:id="671103411">
                  <w:marLeft w:val="0"/>
                  <w:marRight w:val="0"/>
                  <w:marTop w:val="0"/>
                  <w:marBottom w:val="0"/>
                  <w:divBdr>
                    <w:top w:val="none" w:sz="0" w:space="0" w:color="auto"/>
                    <w:left w:val="none" w:sz="0" w:space="0" w:color="auto"/>
                    <w:bottom w:val="none" w:sz="0" w:space="0" w:color="auto"/>
                    <w:right w:val="none" w:sz="0" w:space="0" w:color="auto"/>
                  </w:divBdr>
                </w:div>
                <w:div w:id="409887488">
                  <w:marLeft w:val="0"/>
                  <w:marRight w:val="0"/>
                  <w:marTop w:val="0"/>
                  <w:marBottom w:val="0"/>
                  <w:divBdr>
                    <w:top w:val="none" w:sz="0" w:space="0" w:color="auto"/>
                    <w:left w:val="none" w:sz="0" w:space="0" w:color="auto"/>
                    <w:bottom w:val="none" w:sz="0" w:space="0" w:color="auto"/>
                    <w:right w:val="none" w:sz="0" w:space="0" w:color="auto"/>
                  </w:divBdr>
                </w:div>
                <w:div w:id="400491738">
                  <w:marLeft w:val="0"/>
                  <w:marRight w:val="0"/>
                  <w:marTop w:val="0"/>
                  <w:marBottom w:val="0"/>
                  <w:divBdr>
                    <w:top w:val="none" w:sz="0" w:space="0" w:color="auto"/>
                    <w:left w:val="none" w:sz="0" w:space="0" w:color="auto"/>
                    <w:bottom w:val="none" w:sz="0" w:space="0" w:color="auto"/>
                    <w:right w:val="none" w:sz="0" w:space="0" w:color="auto"/>
                  </w:divBdr>
                </w:div>
                <w:div w:id="587688851">
                  <w:marLeft w:val="0"/>
                  <w:marRight w:val="0"/>
                  <w:marTop w:val="0"/>
                  <w:marBottom w:val="0"/>
                  <w:divBdr>
                    <w:top w:val="none" w:sz="0" w:space="0" w:color="auto"/>
                    <w:left w:val="none" w:sz="0" w:space="0" w:color="auto"/>
                    <w:bottom w:val="none" w:sz="0" w:space="0" w:color="auto"/>
                    <w:right w:val="none" w:sz="0" w:space="0" w:color="auto"/>
                  </w:divBdr>
                </w:div>
                <w:div w:id="165947310">
                  <w:marLeft w:val="0"/>
                  <w:marRight w:val="0"/>
                  <w:marTop w:val="0"/>
                  <w:marBottom w:val="0"/>
                  <w:divBdr>
                    <w:top w:val="none" w:sz="0" w:space="0" w:color="auto"/>
                    <w:left w:val="none" w:sz="0" w:space="0" w:color="auto"/>
                    <w:bottom w:val="none" w:sz="0" w:space="0" w:color="auto"/>
                    <w:right w:val="none" w:sz="0" w:space="0" w:color="auto"/>
                  </w:divBdr>
                </w:div>
              </w:divsChild>
            </w:div>
            <w:div w:id="900991966">
              <w:marLeft w:val="0"/>
              <w:marRight w:val="0"/>
              <w:marTop w:val="0"/>
              <w:marBottom w:val="0"/>
              <w:divBdr>
                <w:top w:val="none" w:sz="0" w:space="0" w:color="auto"/>
                <w:left w:val="none" w:sz="0" w:space="0" w:color="auto"/>
                <w:bottom w:val="none" w:sz="0" w:space="0" w:color="auto"/>
                <w:right w:val="none" w:sz="0" w:space="0" w:color="auto"/>
              </w:divBdr>
            </w:div>
            <w:div w:id="1244726406">
              <w:marLeft w:val="0"/>
              <w:marRight w:val="0"/>
              <w:marTop w:val="0"/>
              <w:marBottom w:val="0"/>
              <w:divBdr>
                <w:top w:val="none" w:sz="0" w:space="0" w:color="auto"/>
                <w:left w:val="none" w:sz="0" w:space="0" w:color="auto"/>
                <w:bottom w:val="none" w:sz="0" w:space="0" w:color="auto"/>
                <w:right w:val="none" w:sz="0" w:space="0" w:color="auto"/>
              </w:divBdr>
            </w:div>
            <w:div w:id="321743127">
              <w:marLeft w:val="0"/>
              <w:marRight w:val="0"/>
              <w:marTop w:val="0"/>
              <w:marBottom w:val="0"/>
              <w:divBdr>
                <w:top w:val="none" w:sz="0" w:space="0" w:color="auto"/>
                <w:left w:val="none" w:sz="0" w:space="0" w:color="auto"/>
                <w:bottom w:val="none" w:sz="0" w:space="0" w:color="auto"/>
                <w:right w:val="none" w:sz="0" w:space="0" w:color="auto"/>
              </w:divBdr>
            </w:div>
            <w:div w:id="797602106">
              <w:marLeft w:val="0"/>
              <w:marRight w:val="0"/>
              <w:marTop w:val="0"/>
              <w:marBottom w:val="0"/>
              <w:divBdr>
                <w:top w:val="none" w:sz="0" w:space="0" w:color="auto"/>
                <w:left w:val="none" w:sz="0" w:space="0" w:color="auto"/>
                <w:bottom w:val="none" w:sz="0" w:space="0" w:color="auto"/>
                <w:right w:val="none" w:sz="0" w:space="0" w:color="auto"/>
              </w:divBdr>
            </w:div>
            <w:div w:id="1927348372">
              <w:marLeft w:val="0"/>
              <w:marRight w:val="0"/>
              <w:marTop w:val="0"/>
              <w:marBottom w:val="0"/>
              <w:divBdr>
                <w:top w:val="none" w:sz="0" w:space="0" w:color="auto"/>
                <w:left w:val="none" w:sz="0" w:space="0" w:color="auto"/>
                <w:bottom w:val="none" w:sz="0" w:space="0" w:color="auto"/>
                <w:right w:val="none" w:sz="0" w:space="0" w:color="auto"/>
              </w:divBdr>
            </w:div>
            <w:div w:id="722798367">
              <w:marLeft w:val="0"/>
              <w:marRight w:val="0"/>
              <w:marTop w:val="0"/>
              <w:marBottom w:val="0"/>
              <w:divBdr>
                <w:top w:val="none" w:sz="0" w:space="0" w:color="auto"/>
                <w:left w:val="none" w:sz="0" w:space="0" w:color="auto"/>
                <w:bottom w:val="none" w:sz="0" w:space="0" w:color="auto"/>
                <w:right w:val="none" w:sz="0" w:space="0" w:color="auto"/>
              </w:divBdr>
            </w:div>
            <w:div w:id="1015574942">
              <w:marLeft w:val="0"/>
              <w:marRight w:val="0"/>
              <w:marTop w:val="0"/>
              <w:marBottom w:val="0"/>
              <w:divBdr>
                <w:top w:val="none" w:sz="0" w:space="0" w:color="auto"/>
                <w:left w:val="none" w:sz="0" w:space="0" w:color="auto"/>
                <w:bottom w:val="none" w:sz="0" w:space="0" w:color="auto"/>
                <w:right w:val="none" w:sz="0" w:space="0" w:color="auto"/>
              </w:divBdr>
            </w:div>
            <w:div w:id="1748763413">
              <w:marLeft w:val="0"/>
              <w:marRight w:val="0"/>
              <w:marTop w:val="0"/>
              <w:marBottom w:val="0"/>
              <w:divBdr>
                <w:top w:val="none" w:sz="0" w:space="0" w:color="auto"/>
                <w:left w:val="none" w:sz="0" w:space="0" w:color="auto"/>
                <w:bottom w:val="none" w:sz="0" w:space="0" w:color="auto"/>
                <w:right w:val="none" w:sz="0" w:space="0" w:color="auto"/>
              </w:divBdr>
            </w:div>
            <w:div w:id="915092267">
              <w:marLeft w:val="0"/>
              <w:marRight w:val="0"/>
              <w:marTop w:val="0"/>
              <w:marBottom w:val="0"/>
              <w:divBdr>
                <w:top w:val="none" w:sz="0" w:space="0" w:color="auto"/>
                <w:left w:val="none" w:sz="0" w:space="0" w:color="auto"/>
                <w:bottom w:val="none" w:sz="0" w:space="0" w:color="auto"/>
                <w:right w:val="none" w:sz="0" w:space="0" w:color="auto"/>
              </w:divBdr>
            </w:div>
            <w:div w:id="113523297">
              <w:marLeft w:val="0"/>
              <w:marRight w:val="0"/>
              <w:marTop w:val="0"/>
              <w:marBottom w:val="0"/>
              <w:divBdr>
                <w:top w:val="none" w:sz="0" w:space="0" w:color="auto"/>
                <w:left w:val="none" w:sz="0" w:space="0" w:color="auto"/>
                <w:bottom w:val="none" w:sz="0" w:space="0" w:color="auto"/>
                <w:right w:val="none" w:sz="0" w:space="0" w:color="auto"/>
              </w:divBdr>
            </w:div>
            <w:div w:id="901719890">
              <w:marLeft w:val="0"/>
              <w:marRight w:val="0"/>
              <w:marTop w:val="0"/>
              <w:marBottom w:val="0"/>
              <w:divBdr>
                <w:top w:val="none" w:sz="0" w:space="0" w:color="auto"/>
                <w:left w:val="none" w:sz="0" w:space="0" w:color="auto"/>
                <w:bottom w:val="none" w:sz="0" w:space="0" w:color="auto"/>
                <w:right w:val="none" w:sz="0" w:space="0" w:color="auto"/>
              </w:divBdr>
            </w:div>
            <w:div w:id="138235267">
              <w:marLeft w:val="0"/>
              <w:marRight w:val="0"/>
              <w:marTop w:val="0"/>
              <w:marBottom w:val="0"/>
              <w:divBdr>
                <w:top w:val="none" w:sz="0" w:space="0" w:color="auto"/>
                <w:left w:val="none" w:sz="0" w:space="0" w:color="auto"/>
                <w:bottom w:val="none" w:sz="0" w:space="0" w:color="auto"/>
                <w:right w:val="none" w:sz="0" w:space="0" w:color="auto"/>
              </w:divBdr>
            </w:div>
            <w:div w:id="691801511">
              <w:marLeft w:val="0"/>
              <w:marRight w:val="0"/>
              <w:marTop w:val="0"/>
              <w:marBottom w:val="0"/>
              <w:divBdr>
                <w:top w:val="none" w:sz="0" w:space="0" w:color="auto"/>
                <w:left w:val="none" w:sz="0" w:space="0" w:color="auto"/>
                <w:bottom w:val="none" w:sz="0" w:space="0" w:color="auto"/>
                <w:right w:val="none" w:sz="0" w:space="0" w:color="auto"/>
              </w:divBdr>
            </w:div>
            <w:div w:id="1144195972">
              <w:marLeft w:val="0"/>
              <w:marRight w:val="0"/>
              <w:marTop w:val="0"/>
              <w:marBottom w:val="0"/>
              <w:divBdr>
                <w:top w:val="none" w:sz="0" w:space="0" w:color="auto"/>
                <w:left w:val="none" w:sz="0" w:space="0" w:color="auto"/>
                <w:bottom w:val="none" w:sz="0" w:space="0" w:color="auto"/>
                <w:right w:val="none" w:sz="0" w:space="0" w:color="auto"/>
              </w:divBdr>
            </w:div>
            <w:div w:id="1257398929">
              <w:marLeft w:val="0"/>
              <w:marRight w:val="0"/>
              <w:marTop w:val="0"/>
              <w:marBottom w:val="0"/>
              <w:divBdr>
                <w:top w:val="none" w:sz="0" w:space="0" w:color="auto"/>
                <w:left w:val="none" w:sz="0" w:space="0" w:color="auto"/>
                <w:bottom w:val="none" w:sz="0" w:space="0" w:color="auto"/>
                <w:right w:val="none" w:sz="0" w:space="0" w:color="auto"/>
              </w:divBdr>
            </w:div>
            <w:div w:id="1810978497">
              <w:marLeft w:val="0"/>
              <w:marRight w:val="0"/>
              <w:marTop w:val="0"/>
              <w:marBottom w:val="0"/>
              <w:divBdr>
                <w:top w:val="none" w:sz="0" w:space="0" w:color="auto"/>
                <w:left w:val="none" w:sz="0" w:space="0" w:color="auto"/>
                <w:bottom w:val="none" w:sz="0" w:space="0" w:color="auto"/>
                <w:right w:val="none" w:sz="0" w:space="0" w:color="auto"/>
              </w:divBdr>
            </w:div>
            <w:div w:id="1328358464">
              <w:marLeft w:val="0"/>
              <w:marRight w:val="0"/>
              <w:marTop w:val="0"/>
              <w:marBottom w:val="0"/>
              <w:divBdr>
                <w:top w:val="none" w:sz="0" w:space="0" w:color="auto"/>
                <w:left w:val="none" w:sz="0" w:space="0" w:color="auto"/>
                <w:bottom w:val="none" w:sz="0" w:space="0" w:color="auto"/>
                <w:right w:val="none" w:sz="0" w:space="0" w:color="auto"/>
              </w:divBdr>
            </w:div>
            <w:div w:id="737826567">
              <w:marLeft w:val="0"/>
              <w:marRight w:val="0"/>
              <w:marTop w:val="0"/>
              <w:marBottom w:val="0"/>
              <w:divBdr>
                <w:top w:val="none" w:sz="0" w:space="0" w:color="auto"/>
                <w:left w:val="none" w:sz="0" w:space="0" w:color="auto"/>
                <w:bottom w:val="none" w:sz="0" w:space="0" w:color="auto"/>
                <w:right w:val="none" w:sz="0" w:space="0" w:color="auto"/>
              </w:divBdr>
            </w:div>
            <w:div w:id="1521772603">
              <w:marLeft w:val="0"/>
              <w:marRight w:val="0"/>
              <w:marTop w:val="0"/>
              <w:marBottom w:val="0"/>
              <w:divBdr>
                <w:top w:val="none" w:sz="0" w:space="0" w:color="auto"/>
                <w:left w:val="none" w:sz="0" w:space="0" w:color="auto"/>
                <w:bottom w:val="none" w:sz="0" w:space="0" w:color="auto"/>
                <w:right w:val="none" w:sz="0" w:space="0" w:color="auto"/>
              </w:divBdr>
            </w:div>
            <w:div w:id="1141771390">
              <w:marLeft w:val="0"/>
              <w:marRight w:val="0"/>
              <w:marTop w:val="0"/>
              <w:marBottom w:val="0"/>
              <w:divBdr>
                <w:top w:val="none" w:sz="0" w:space="0" w:color="auto"/>
                <w:left w:val="none" w:sz="0" w:space="0" w:color="auto"/>
                <w:bottom w:val="none" w:sz="0" w:space="0" w:color="auto"/>
                <w:right w:val="none" w:sz="0" w:space="0" w:color="auto"/>
              </w:divBdr>
            </w:div>
            <w:div w:id="1515071212">
              <w:marLeft w:val="0"/>
              <w:marRight w:val="0"/>
              <w:marTop w:val="0"/>
              <w:marBottom w:val="0"/>
              <w:divBdr>
                <w:top w:val="none" w:sz="0" w:space="0" w:color="auto"/>
                <w:left w:val="none" w:sz="0" w:space="0" w:color="auto"/>
                <w:bottom w:val="none" w:sz="0" w:space="0" w:color="auto"/>
                <w:right w:val="none" w:sz="0" w:space="0" w:color="auto"/>
              </w:divBdr>
            </w:div>
            <w:div w:id="1246723286">
              <w:marLeft w:val="0"/>
              <w:marRight w:val="0"/>
              <w:marTop w:val="0"/>
              <w:marBottom w:val="0"/>
              <w:divBdr>
                <w:top w:val="none" w:sz="0" w:space="0" w:color="auto"/>
                <w:left w:val="none" w:sz="0" w:space="0" w:color="auto"/>
                <w:bottom w:val="none" w:sz="0" w:space="0" w:color="auto"/>
                <w:right w:val="none" w:sz="0" w:space="0" w:color="auto"/>
              </w:divBdr>
            </w:div>
            <w:div w:id="1059983384">
              <w:marLeft w:val="0"/>
              <w:marRight w:val="0"/>
              <w:marTop w:val="0"/>
              <w:marBottom w:val="0"/>
              <w:divBdr>
                <w:top w:val="none" w:sz="0" w:space="0" w:color="auto"/>
                <w:left w:val="none" w:sz="0" w:space="0" w:color="auto"/>
                <w:bottom w:val="none" w:sz="0" w:space="0" w:color="auto"/>
                <w:right w:val="none" w:sz="0" w:space="0" w:color="auto"/>
              </w:divBdr>
            </w:div>
            <w:div w:id="1934781485">
              <w:marLeft w:val="0"/>
              <w:marRight w:val="0"/>
              <w:marTop w:val="0"/>
              <w:marBottom w:val="0"/>
              <w:divBdr>
                <w:top w:val="none" w:sz="0" w:space="0" w:color="auto"/>
                <w:left w:val="none" w:sz="0" w:space="0" w:color="auto"/>
                <w:bottom w:val="none" w:sz="0" w:space="0" w:color="auto"/>
                <w:right w:val="none" w:sz="0" w:space="0" w:color="auto"/>
              </w:divBdr>
            </w:div>
            <w:div w:id="365180480">
              <w:marLeft w:val="0"/>
              <w:marRight w:val="0"/>
              <w:marTop w:val="0"/>
              <w:marBottom w:val="0"/>
              <w:divBdr>
                <w:top w:val="none" w:sz="0" w:space="0" w:color="auto"/>
                <w:left w:val="none" w:sz="0" w:space="0" w:color="auto"/>
                <w:bottom w:val="none" w:sz="0" w:space="0" w:color="auto"/>
                <w:right w:val="none" w:sz="0" w:space="0" w:color="auto"/>
              </w:divBdr>
            </w:div>
            <w:div w:id="1286110695">
              <w:marLeft w:val="0"/>
              <w:marRight w:val="0"/>
              <w:marTop w:val="0"/>
              <w:marBottom w:val="0"/>
              <w:divBdr>
                <w:top w:val="none" w:sz="0" w:space="0" w:color="auto"/>
                <w:left w:val="none" w:sz="0" w:space="0" w:color="auto"/>
                <w:bottom w:val="none" w:sz="0" w:space="0" w:color="auto"/>
                <w:right w:val="none" w:sz="0" w:space="0" w:color="auto"/>
              </w:divBdr>
            </w:div>
            <w:div w:id="1007363193">
              <w:marLeft w:val="0"/>
              <w:marRight w:val="0"/>
              <w:marTop w:val="0"/>
              <w:marBottom w:val="0"/>
              <w:divBdr>
                <w:top w:val="none" w:sz="0" w:space="0" w:color="auto"/>
                <w:left w:val="none" w:sz="0" w:space="0" w:color="auto"/>
                <w:bottom w:val="none" w:sz="0" w:space="0" w:color="auto"/>
                <w:right w:val="none" w:sz="0" w:space="0" w:color="auto"/>
              </w:divBdr>
            </w:div>
            <w:div w:id="1465732470">
              <w:marLeft w:val="0"/>
              <w:marRight w:val="0"/>
              <w:marTop w:val="0"/>
              <w:marBottom w:val="0"/>
              <w:divBdr>
                <w:top w:val="none" w:sz="0" w:space="0" w:color="auto"/>
                <w:left w:val="none" w:sz="0" w:space="0" w:color="auto"/>
                <w:bottom w:val="none" w:sz="0" w:space="0" w:color="auto"/>
                <w:right w:val="none" w:sz="0" w:space="0" w:color="auto"/>
              </w:divBdr>
            </w:div>
            <w:div w:id="968704155">
              <w:marLeft w:val="0"/>
              <w:marRight w:val="0"/>
              <w:marTop w:val="0"/>
              <w:marBottom w:val="0"/>
              <w:divBdr>
                <w:top w:val="none" w:sz="0" w:space="0" w:color="auto"/>
                <w:left w:val="none" w:sz="0" w:space="0" w:color="auto"/>
                <w:bottom w:val="none" w:sz="0" w:space="0" w:color="auto"/>
                <w:right w:val="none" w:sz="0" w:space="0" w:color="auto"/>
              </w:divBdr>
            </w:div>
            <w:div w:id="507528501">
              <w:marLeft w:val="0"/>
              <w:marRight w:val="0"/>
              <w:marTop w:val="0"/>
              <w:marBottom w:val="0"/>
              <w:divBdr>
                <w:top w:val="none" w:sz="0" w:space="0" w:color="auto"/>
                <w:left w:val="none" w:sz="0" w:space="0" w:color="auto"/>
                <w:bottom w:val="none" w:sz="0" w:space="0" w:color="auto"/>
                <w:right w:val="none" w:sz="0" w:space="0" w:color="auto"/>
              </w:divBdr>
            </w:div>
            <w:div w:id="396514046">
              <w:marLeft w:val="0"/>
              <w:marRight w:val="0"/>
              <w:marTop w:val="0"/>
              <w:marBottom w:val="0"/>
              <w:divBdr>
                <w:top w:val="none" w:sz="0" w:space="0" w:color="auto"/>
                <w:left w:val="none" w:sz="0" w:space="0" w:color="auto"/>
                <w:bottom w:val="none" w:sz="0" w:space="0" w:color="auto"/>
                <w:right w:val="none" w:sz="0" w:space="0" w:color="auto"/>
              </w:divBdr>
            </w:div>
            <w:div w:id="2057925879">
              <w:marLeft w:val="0"/>
              <w:marRight w:val="0"/>
              <w:marTop w:val="0"/>
              <w:marBottom w:val="0"/>
              <w:divBdr>
                <w:top w:val="none" w:sz="0" w:space="0" w:color="auto"/>
                <w:left w:val="none" w:sz="0" w:space="0" w:color="auto"/>
                <w:bottom w:val="none" w:sz="0" w:space="0" w:color="auto"/>
                <w:right w:val="none" w:sz="0" w:space="0" w:color="auto"/>
              </w:divBdr>
            </w:div>
            <w:div w:id="1548495918">
              <w:marLeft w:val="0"/>
              <w:marRight w:val="0"/>
              <w:marTop w:val="0"/>
              <w:marBottom w:val="0"/>
              <w:divBdr>
                <w:top w:val="none" w:sz="0" w:space="0" w:color="auto"/>
                <w:left w:val="none" w:sz="0" w:space="0" w:color="auto"/>
                <w:bottom w:val="none" w:sz="0" w:space="0" w:color="auto"/>
                <w:right w:val="none" w:sz="0" w:space="0" w:color="auto"/>
              </w:divBdr>
            </w:div>
            <w:div w:id="66611839">
              <w:marLeft w:val="0"/>
              <w:marRight w:val="0"/>
              <w:marTop w:val="0"/>
              <w:marBottom w:val="0"/>
              <w:divBdr>
                <w:top w:val="none" w:sz="0" w:space="0" w:color="auto"/>
                <w:left w:val="none" w:sz="0" w:space="0" w:color="auto"/>
                <w:bottom w:val="none" w:sz="0" w:space="0" w:color="auto"/>
                <w:right w:val="none" w:sz="0" w:space="0" w:color="auto"/>
              </w:divBdr>
            </w:div>
            <w:div w:id="9623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BB210-1EA3-4A88-88FC-9B8E1916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10031</Words>
  <Characters>54168</Characters>
  <Application>Microsoft Office Word</Application>
  <DocSecurity>0</DocSecurity>
  <Lines>451</Lines>
  <Paragraphs>128</Paragraphs>
  <ScaleCrop>false</ScaleCrop>
  <Company/>
  <LinksUpToDate>false</LinksUpToDate>
  <CharactersWithSpaces>64071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Supplement_ACE Int I SP</dc:title>
  <dc:subject/>
  <dc:creator>Rafael Viana de Figueiredo Costa (RVC)</dc:creator>
  <cp:keywords/>
  <dc:description/>
  <cp:lastModifiedBy>Luiza Bartolini Martins Ferreira</cp:lastModifiedBy>
  <cp:revision>29</cp:revision>
  <dcterms:created xsi:type="dcterms:W3CDTF">2024-06-20T14:08:00Z</dcterms:created>
  <dcterms:modified xsi:type="dcterms:W3CDTF">2024-06-20T19:02:00Z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881dc9-f7f2-41de-a334-ceff3dc15b31_Enabled">
    <vt:lpwstr>true</vt:lpwstr>
  </property>
  <property fmtid="{D5CDD505-2E9C-101B-9397-08002B2CF9AE}" pid="3" name="MSIP_Label_40881dc9-f7f2-41de-a334-ceff3dc15b31_SetDate">
    <vt:lpwstr>2023-03-08T20:41:25Z</vt:lpwstr>
  </property>
  <property fmtid="{D5CDD505-2E9C-101B-9397-08002B2CF9AE}" pid="4" name="MSIP_Label_40881dc9-f7f2-41de-a334-ceff3dc15b31_Method">
    <vt:lpwstr>Standard</vt:lpwstr>
  </property>
  <property fmtid="{D5CDD505-2E9C-101B-9397-08002B2CF9AE}" pid="5" name="MSIP_Label_40881dc9-f7f2-41de-a334-ceff3dc15b31_Name">
    <vt:lpwstr>40881dc9-f7f2-41de-a334-ceff3dc15b31</vt:lpwstr>
  </property>
  <property fmtid="{D5CDD505-2E9C-101B-9397-08002B2CF9AE}" pid="6" name="MSIP_Label_40881dc9-f7f2-41de-a334-ceff3dc15b31_SiteId">
    <vt:lpwstr>ea0c2907-38d2-4181-8750-b0b190b60443</vt:lpwstr>
  </property>
  <property fmtid="{D5CDD505-2E9C-101B-9397-08002B2CF9AE}" pid="7" name="MSIP_Label_40881dc9-f7f2-41de-a334-ceff3dc15b31_ActionId">
    <vt:lpwstr>90206a44-ba1c-4a0f-b7b6-b832b76b3b56</vt:lpwstr>
  </property>
  <property fmtid="{D5CDD505-2E9C-101B-9397-08002B2CF9AE}" pid="8" name="MSIP_Label_40881dc9-f7f2-41de-a334-ceff3dc15b31_ContentBits">
    <vt:lpwstr>1</vt:lpwstr>
  </property>
</Properties>
</file>